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EE" w:rsidRPr="002C4EEE" w:rsidRDefault="00C55BA3" w:rsidP="002C4EEE">
      <w:pPr>
        <w:shd w:val="clear" w:color="auto" w:fill="D4E4E9"/>
        <w:spacing w:after="0" w:line="240" w:lineRule="auto"/>
        <w:outlineLvl w:val="0"/>
        <w:rPr>
          <w:rFonts w:ascii="Segoe UI" w:eastAsia="Times New Roman" w:hAnsi="Segoe UI" w:cs="Segoe UI"/>
          <w:b/>
          <w:bCs/>
          <w:color w:val="000000"/>
          <w:kern w:val="36"/>
          <w:sz w:val="36"/>
          <w:szCs w:val="36"/>
        </w:rPr>
      </w:pPr>
      <w:r>
        <w:rPr>
          <w:rFonts w:ascii="Segoe UI" w:eastAsia="Times New Roman" w:hAnsi="Segoe UI" w:cs="Segoe UI"/>
          <w:b/>
          <w:bCs/>
          <w:color w:val="000000"/>
          <w:kern w:val="36"/>
          <w:sz w:val="36"/>
          <w:szCs w:val="36"/>
        </w:rPr>
        <w:fldChar w:fldCharType="begin"/>
      </w:r>
      <w:r>
        <w:rPr>
          <w:rFonts w:ascii="Segoe UI" w:eastAsia="Times New Roman" w:hAnsi="Segoe UI" w:cs="Segoe UI"/>
          <w:b/>
          <w:bCs/>
          <w:color w:val="000000"/>
          <w:kern w:val="36"/>
          <w:sz w:val="36"/>
          <w:szCs w:val="36"/>
        </w:rPr>
        <w:instrText xml:space="preserve"> HYPERLINK "https://www.apsc.gov.au/publication/aps-values-and-code-conduct-practice/section-5-conflict-interest" </w:instrText>
      </w:r>
      <w:r>
        <w:rPr>
          <w:rFonts w:ascii="Segoe UI" w:eastAsia="Times New Roman" w:hAnsi="Segoe UI" w:cs="Segoe UI"/>
          <w:b/>
          <w:bCs/>
          <w:color w:val="000000"/>
          <w:kern w:val="36"/>
          <w:sz w:val="36"/>
          <w:szCs w:val="36"/>
        </w:rPr>
      </w:r>
      <w:r>
        <w:rPr>
          <w:rFonts w:ascii="Segoe UI" w:eastAsia="Times New Roman" w:hAnsi="Segoe UI" w:cs="Segoe UI"/>
          <w:b/>
          <w:bCs/>
          <w:color w:val="000000"/>
          <w:kern w:val="36"/>
          <w:sz w:val="36"/>
          <w:szCs w:val="36"/>
        </w:rPr>
        <w:fldChar w:fldCharType="separate"/>
      </w:r>
      <w:r w:rsidR="002C4EEE" w:rsidRPr="00C55BA3">
        <w:rPr>
          <w:rStyle w:val="Hyperlink"/>
          <w:rFonts w:ascii="Segoe UI" w:eastAsia="Times New Roman" w:hAnsi="Segoe UI" w:cs="Segoe UI"/>
          <w:b/>
          <w:bCs/>
          <w:kern w:val="36"/>
          <w:sz w:val="36"/>
          <w:szCs w:val="36"/>
        </w:rPr>
        <w:t>Section 5: Conflict of Interest</w:t>
      </w:r>
      <w:r>
        <w:rPr>
          <w:rFonts w:ascii="Segoe UI" w:eastAsia="Times New Roman" w:hAnsi="Segoe UI" w:cs="Segoe UI"/>
          <w:b/>
          <w:bCs/>
          <w:color w:val="000000"/>
          <w:kern w:val="36"/>
          <w:sz w:val="36"/>
          <w:szCs w:val="36"/>
        </w:rPr>
        <w:fldChar w:fldCharType="end"/>
      </w:r>
    </w:p>
    <w:p w:rsidR="002C4EEE" w:rsidRPr="002C4EEE" w:rsidRDefault="002C4EEE" w:rsidP="002C4EEE">
      <w:pPr>
        <w:shd w:val="clear" w:color="auto" w:fill="FFFFFF"/>
        <w:spacing w:after="0" w:line="240" w:lineRule="auto"/>
        <w:rPr>
          <w:rFonts w:ascii="Segoe UI" w:eastAsia="Times New Roman" w:hAnsi="Segoe UI" w:cs="Segoe UI"/>
          <w:color w:val="000000"/>
        </w:rPr>
      </w:pPr>
    </w:p>
    <w:p w:rsidR="002C4EEE" w:rsidRPr="002C4EEE" w:rsidRDefault="002C4EEE" w:rsidP="002C4EEE">
      <w:pPr>
        <w:shd w:val="clear" w:color="auto" w:fill="FFFFFF"/>
        <w:spacing w:after="0" w:line="240" w:lineRule="auto"/>
        <w:outlineLvl w:val="1"/>
        <w:rPr>
          <w:rFonts w:ascii="Segoe UI" w:eastAsia="Times New Roman" w:hAnsi="Segoe UI" w:cs="Segoe UI"/>
          <w:color w:val="000000"/>
          <w:sz w:val="36"/>
          <w:szCs w:val="36"/>
        </w:rPr>
      </w:pPr>
      <w:hyperlink r:id="rId5" w:history="1">
        <w:r w:rsidRPr="002C4EEE">
          <w:rPr>
            <w:rFonts w:ascii="Segoe UI" w:eastAsia="Times New Roman" w:hAnsi="Segoe UI" w:cs="Segoe UI"/>
            <w:color w:val="000000"/>
            <w:sz w:val="36"/>
            <w:szCs w:val="36"/>
            <w:u w:val="single"/>
          </w:rPr>
          <w:t>APS Values and Code of Conduct in practice</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6" w:history="1">
        <w:r w:rsidRPr="002C4EEE">
          <w:rPr>
            <w:rFonts w:ascii="Segoe UI" w:eastAsia="Times New Roman" w:hAnsi="Segoe UI" w:cs="Segoe UI"/>
            <w:color w:val="636363"/>
            <w:u w:val="single"/>
          </w:rPr>
          <w:t>Section 1: Working with the Government and the Parliament</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7" w:history="1">
        <w:r w:rsidRPr="002C4EEE">
          <w:rPr>
            <w:rFonts w:ascii="Segoe UI" w:eastAsia="Times New Roman" w:hAnsi="Segoe UI" w:cs="Segoe UI"/>
            <w:color w:val="636363"/>
            <w:u w:val="single"/>
          </w:rPr>
          <w:t>Section 2: Relationship with the public</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8" w:history="1">
        <w:r w:rsidRPr="002C4EEE">
          <w:rPr>
            <w:rFonts w:ascii="Segoe UI" w:eastAsia="Times New Roman" w:hAnsi="Segoe UI" w:cs="Segoe UI"/>
            <w:color w:val="636363"/>
            <w:u w:val="single"/>
          </w:rPr>
          <w:t>Section 3: Relationships in the workplace</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9" w:history="1">
        <w:r w:rsidRPr="002C4EEE">
          <w:rPr>
            <w:rFonts w:ascii="Segoe UI" w:eastAsia="Times New Roman" w:hAnsi="Segoe UI" w:cs="Segoe UI"/>
            <w:color w:val="636363"/>
            <w:u w:val="single"/>
          </w:rPr>
          <w:t>Section 4: Managing information</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r w:rsidRPr="002C4EEE">
        <w:rPr>
          <w:rFonts w:ascii="Segoe UI" w:eastAsia="Times New Roman" w:hAnsi="Segoe UI" w:cs="Segoe UI"/>
          <w:b/>
          <w:bCs/>
          <w:color w:val="000000"/>
        </w:rPr>
        <w:t>Section 5: Conflict of Interest</w:t>
      </w:r>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10" w:history="1">
        <w:r w:rsidRPr="002C4EEE">
          <w:rPr>
            <w:rFonts w:ascii="Segoe UI" w:eastAsia="Times New Roman" w:hAnsi="Segoe UI" w:cs="Segoe UI"/>
            <w:color w:val="636363"/>
            <w:u w:val="single"/>
          </w:rPr>
          <w:t>Section 6: Employees as citizens</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11" w:history="1">
        <w:r w:rsidRPr="002C4EEE">
          <w:rPr>
            <w:rFonts w:ascii="Segoe UI" w:eastAsia="Times New Roman" w:hAnsi="Segoe UI" w:cs="Segoe UI"/>
            <w:color w:val="636363"/>
            <w:u w:val="single"/>
          </w:rPr>
          <w:t>Section 7: Using Commonwealth resources</w:t>
        </w:r>
      </w:hyperlink>
    </w:p>
    <w:p w:rsidR="002C4EEE" w:rsidRPr="002C4EEE" w:rsidRDefault="002C4EEE" w:rsidP="002C4EEE">
      <w:pPr>
        <w:numPr>
          <w:ilvl w:val="0"/>
          <w:numId w:val="1"/>
        </w:numPr>
        <w:pBdr>
          <w:bottom w:val="single" w:sz="6" w:space="0" w:color="808080"/>
        </w:pBdr>
        <w:shd w:val="clear" w:color="auto" w:fill="FFFFFF"/>
        <w:spacing w:after="0" w:line="240" w:lineRule="auto"/>
        <w:ind w:left="0"/>
        <w:rPr>
          <w:rFonts w:ascii="Segoe UI" w:eastAsia="Times New Roman" w:hAnsi="Segoe UI" w:cs="Segoe UI"/>
          <w:color w:val="000000"/>
        </w:rPr>
      </w:pPr>
      <w:hyperlink r:id="rId12" w:history="1">
        <w:r w:rsidRPr="002C4EEE">
          <w:rPr>
            <w:rFonts w:ascii="Segoe UI" w:eastAsia="Times New Roman" w:hAnsi="Segoe UI" w:cs="Segoe UI"/>
            <w:color w:val="636363"/>
            <w:u w:val="single"/>
          </w:rPr>
          <w:t>Section 8: Working overseas</w:t>
        </w:r>
      </w:hyperlink>
    </w:p>
    <w:p w:rsidR="002C4EEE" w:rsidRPr="002C4EEE" w:rsidRDefault="002C4EEE" w:rsidP="002C4EEE">
      <w:pPr>
        <w:numPr>
          <w:ilvl w:val="0"/>
          <w:numId w:val="1"/>
        </w:numPr>
        <w:shd w:val="clear" w:color="auto" w:fill="FFFFFF"/>
        <w:spacing w:after="0" w:line="240" w:lineRule="auto"/>
        <w:ind w:left="0"/>
        <w:rPr>
          <w:rFonts w:ascii="Segoe UI" w:eastAsia="Times New Roman" w:hAnsi="Segoe UI" w:cs="Segoe UI"/>
          <w:color w:val="000000"/>
        </w:rPr>
      </w:pPr>
      <w:hyperlink r:id="rId13" w:history="1">
        <w:r w:rsidRPr="002C4EEE">
          <w:rPr>
            <w:rFonts w:ascii="Segoe UI" w:eastAsia="Times New Roman" w:hAnsi="Segoe UI" w:cs="Segoe UI"/>
            <w:color w:val="636363"/>
            <w:u w:val="single"/>
          </w:rPr>
          <w:t>Section 9: Reporting suspected misconduct</w:t>
        </w:r>
      </w:hyperlink>
    </w:p>
    <w:p w:rsidR="002C4EEE" w:rsidRPr="002C4EEE" w:rsidRDefault="002C4EEE" w:rsidP="002C4EEE">
      <w:pPr>
        <w:shd w:val="clear" w:color="auto" w:fill="FFFFFF"/>
        <w:spacing w:after="0"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5.1 Summary</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5.1.1 </w:t>
      </w:r>
      <w:r w:rsidRPr="002C4EEE">
        <w:rPr>
          <w:rFonts w:ascii="Segoe UI" w:eastAsia="Times New Roman" w:hAnsi="Segoe UI" w:cs="Segoe UI"/>
          <w:color w:val="000000"/>
          <w:highlight w:val="yellow"/>
        </w:rPr>
        <w:t>The public is entitled to have confidence in the integrity of their public officials, and to know that an Australian Public Service (APS) employee's personal interests do not conflict with his or her public duties</w:t>
      </w:r>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5.1.2 </w:t>
      </w:r>
      <w:r w:rsidRPr="002C4EEE">
        <w:rPr>
          <w:rFonts w:ascii="Segoe UI" w:eastAsia="Times New Roman" w:hAnsi="Segoe UI" w:cs="Segoe UI"/>
          <w:color w:val="000000"/>
          <w:highlight w:val="yellow"/>
        </w:rPr>
        <w:t>The APS Code of Conduct (the Code) requires employees to take reasonable steps to avoid any conflict of interest, real or apparent, in connection with their employment</w:t>
      </w:r>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5.1.3 </w:t>
      </w:r>
      <w:r w:rsidRPr="002C4EEE">
        <w:rPr>
          <w:rFonts w:ascii="Segoe UI" w:eastAsia="Times New Roman" w:hAnsi="Segoe UI" w:cs="Segoe UI"/>
          <w:color w:val="000000"/>
          <w:highlight w:val="yellow"/>
        </w:rPr>
        <w:t>A real conflict of interest occurs where there is a conflict between the public duty and personal interests of an employee that improperly influences the employee in the performance of his or her duties.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5.1.4 An apparent conflict of interest occurs where it appears that an employee's personal interests could improperly influence the performance of his or her duties but this is not in fact the case.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5.1.5 The appearance of a conflict can be just as damaging to public confidence in public administration as a conflict which gives rise to a concern based on objective facts.</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5.1.6 Conflicts of interest, real or apparent, cannot always be avoided. Where this is the case, the Code requires employees to disclose details of any material personal interest of the employee in connection with their employment. This obligation is analogous to the general duty of officials to disclose interests under section 29 of the </w:t>
      </w:r>
      <w:hyperlink r:id="rId14" w:history="1">
        <w:r w:rsidRPr="002C4EEE">
          <w:rPr>
            <w:rFonts w:ascii="Segoe UI" w:eastAsia="Times New Roman" w:hAnsi="Segoe UI" w:cs="Segoe UI"/>
            <w:i/>
            <w:iCs/>
            <w:color w:val="007099"/>
            <w:u w:val="single"/>
          </w:rPr>
          <w:t>Public Governance, Performance and Accountability Act 2013</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w:t>
      </w:r>
      <w:proofErr w:type="spellStart"/>
      <w:r w:rsidRPr="002C4EEE">
        <w:rPr>
          <w:rFonts w:ascii="Segoe UI" w:eastAsia="Times New Roman" w:hAnsi="Segoe UI" w:cs="Segoe UI"/>
          <w:color w:val="000000"/>
        </w:rPr>
        <w:t>PGPA</w:t>
      </w:r>
      <w:proofErr w:type="spellEnd"/>
      <w:r w:rsidRPr="002C4EEE">
        <w:rPr>
          <w:rFonts w:ascii="Segoe UI" w:eastAsia="Times New Roman" w:hAnsi="Segoe UI" w:cs="Segoe UI"/>
          <w:color w:val="000000"/>
        </w:rPr>
        <w:t xml:space="preserve"> Act).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5.1.7 Where there is credible evidence that a personal interest has compromised the decision made by an employee, that situation should be handled as suspected misconduct. See Section 9: </w:t>
      </w:r>
      <w:r w:rsidRPr="002C4EEE">
        <w:rPr>
          <w:rFonts w:ascii="Segoe UI" w:eastAsia="Times New Roman" w:hAnsi="Segoe UI" w:cs="Segoe UI"/>
          <w:i/>
          <w:iCs/>
          <w:color w:val="000000"/>
        </w:rPr>
        <w:t>Reporting suspected misconduct </w:t>
      </w:r>
      <w:r w:rsidRPr="002C4EEE">
        <w:rPr>
          <w:rFonts w:ascii="Segoe UI" w:eastAsia="Times New Roman" w:hAnsi="Segoe UI" w:cs="Segoe UI"/>
          <w:color w:val="000000"/>
        </w:rPr>
        <w:t>for further information.</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5.2 Disclosing material interests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5.2.1 The Code requires that where a material personal interest cannot be avoided, the employee must disclose that interest so that it can be managed.</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5.2.2 To be 'material' a personal interest needs to be of a type that can give rise to a real or apparent conflict of interest. Personal interests do not give rise to a conflict of interest unless there is a real or sensible possibility of conflict and not simply a remote or theoretical possibility of conflict. If no reasonable person could draw a connection between the employee's personal interest and their duties, then the personal interest is not 'material'.</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5.2.3 The Department of Finance has published similar </w:t>
      </w:r>
      <w:hyperlink r:id="rId15" w:history="1">
        <w:r w:rsidRPr="002C4EEE">
          <w:rPr>
            <w:rFonts w:ascii="Segoe UI" w:eastAsia="Times New Roman" w:hAnsi="Segoe UI" w:cs="Segoe UI"/>
            <w:color w:val="007099"/>
            <w:u w:val="single"/>
          </w:rPr>
          <w:t>guidance</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about the meaning of a 'material' interest.</w:t>
      </w:r>
      <w:hyperlink r:id="rId16" w:anchor="_edn16" w:history="1">
        <w:r w:rsidRPr="002C4EEE">
          <w:rPr>
            <w:rFonts w:ascii="Segoe UI" w:eastAsia="Times New Roman" w:hAnsi="Segoe UI" w:cs="Segoe UI"/>
            <w:color w:val="007099"/>
            <w:u w:val="single"/>
            <w:vertAlign w:val="superscript"/>
          </w:rPr>
          <w:t>[16]</w:t>
        </w:r>
        <w:r w:rsidRPr="002C4EEE">
          <w:rPr>
            <w:rFonts w:ascii="Segoe UI" w:eastAsia="Times New Roman" w:hAnsi="Segoe UI" w:cs="Segoe UI"/>
            <w:color w:val="007099"/>
            <w:u w:val="single"/>
            <w:bdr w:val="none" w:sz="0" w:space="0" w:color="auto" w:frame="1"/>
            <w:vertAlign w:val="superscript"/>
          </w:rPr>
          <w:t xml:space="preserve">- </w:t>
        </w:r>
        <w:proofErr w:type="gramStart"/>
        <w:r w:rsidRPr="002C4EEE">
          <w:rPr>
            <w:rFonts w:ascii="Segoe UI" w:eastAsia="Times New Roman" w:hAnsi="Segoe UI" w:cs="Segoe UI"/>
            <w:color w:val="007099"/>
            <w:u w:val="single"/>
            <w:bdr w:val="none" w:sz="0" w:space="0" w:color="auto" w:frame="1"/>
            <w:vertAlign w:val="superscript"/>
          </w:rPr>
          <w:t>external</w:t>
        </w:r>
        <w:proofErr w:type="gramEnd"/>
        <w:r w:rsidRPr="002C4EEE">
          <w:rPr>
            <w:rFonts w:ascii="Segoe UI" w:eastAsia="Times New Roman" w:hAnsi="Segoe UI" w:cs="Segoe UI"/>
            <w:color w:val="007099"/>
            <w:u w:val="single"/>
            <w:bdr w:val="none" w:sz="0" w:space="0" w:color="auto" w:frame="1"/>
            <w:vertAlign w:val="superscript"/>
          </w:rPr>
          <w:t xml:space="preserve"> site</w:t>
        </w:r>
      </w:hyperlink>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5.2.4 The purpose of disclosure is to ensure that heads of agencies are aware of any personal interests or relationships of employees which improperly influence, or could be seen to improperly influence, employees in their duties.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5.2.5 It may be possible to make arrangements to avoid the conflict. For example, duties can be reassigned, or the employee can stand aside from relevant decisions. Disclosures and strategies to manage them should be recorded appropriately.</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5.2.6 An employee holding a security clearance is subject to a separate requirement to notify their agency of any change in personal circumstances. The purpose of this notification is to determine the employee's suitability to access Australian Government resources. Guidance on notification requirements under the </w:t>
      </w:r>
      <w:hyperlink r:id="rId17" w:history="1">
        <w:r w:rsidRPr="002C4EEE">
          <w:rPr>
            <w:rFonts w:ascii="Segoe UI" w:eastAsia="Times New Roman" w:hAnsi="Segoe UI" w:cs="Segoe UI"/>
            <w:color w:val="007099"/>
            <w:u w:val="single"/>
          </w:rPr>
          <w:t>Protective Security Policy Framework</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can be found in the Agency personnel security responsibilities guidelines published by the Attorney-General's Department.</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Regular declarations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5.2.7 Agency heads and Senior Executive Service (SES) employees are subject to a specific regime that requires them to submit, at least annually, a written declaration of their own and their immediate </w:t>
      </w:r>
      <w:proofErr w:type="gramStart"/>
      <w:r w:rsidRPr="002C4EEE">
        <w:rPr>
          <w:rFonts w:ascii="Segoe UI" w:eastAsia="Times New Roman" w:hAnsi="Segoe UI" w:cs="Segoe UI"/>
          <w:color w:val="000000"/>
        </w:rPr>
        <w:t>family's</w:t>
      </w:r>
      <w:proofErr w:type="gramEnd"/>
      <w:r w:rsidRPr="002C4EEE">
        <w:rPr>
          <w:rFonts w:ascii="Segoe UI" w:eastAsia="Times New Roman" w:hAnsi="Segoe UI" w:cs="Segoe UI"/>
          <w:color w:val="000000"/>
        </w:rPr>
        <w:t xml:space="preserve"> financial and other material personal interests.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5.2.8 A template that agencies may wish to adapt for this purpose is available on the </w:t>
      </w:r>
      <w:hyperlink r:id="rId18" w:history="1">
        <w:r w:rsidRPr="002C4EEE">
          <w:rPr>
            <w:rFonts w:ascii="Segoe UI" w:eastAsia="Times New Roman" w:hAnsi="Segoe UI" w:cs="Segoe UI"/>
            <w:color w:val="007099"/>
            <w:u w:val="single"/>
          </w:rPr>
          <w:t>Australian Public Service Commission's website</w:t>
        </w:r>
      </w:hyperlink>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5.2.9 </w:t>
      </w:r>
      <w:proofErr w:type="gramStart"/>
      <w:r w:rsidRPr="002C4EEE">
        <w:rPr>
          <w:rFonts w:ascii="Segoe UI" w:eastAsia="Times New Roman" w:hAnsi="Segoe UI" w:cs="Segoe UI"/>
          <w:color w:val="000000"/>
        </w:rPr>
        <w:t>To</w:t>
      </w:r>
      <w:proofErr w:type="gramEnd"/>
      <w:r w:rsidRPr="002C4EEE">
        <w:rPr>
          <w:rFonts w:ascii="Segoe UI" w:eastAsia="Times New Roman" w:hAnsi="Segoe UI" w:cs="Segoe UI"/>
          <w:color w:val="000000"/>
        </w:rPr>
        <w:t xml:space="preserve"> whom this declaration must be made will depend on the employee's role. Generally, SES employees declare their interests to their agency head, and agency heads declare their interests to the Minister. Statutory office holders generally declare their interests to the Minister and in accordance with any requirements in legislation specific to their office.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5.2.10 </w:t>
      </w:r>
      <w:proofErr w:type="gramStart"/>
      <w:r w:rsidRPr="002C4EEE">
        <w:rPr>
          <w:rFonts w:ascii="Segoe UI" w:eastAsia="Times New Roman" w:hAnsi="Segoe UI" w:cs="Segoe UI"/>
          <w:color w:val="000000"/>
        </w:rPr>
        <w:t>If</w:t>
      </w:r>
      <w:proofErr w:type="gramEnd"/>
      <w:r w:rsidRPr="002C4EEE">
        <w:rPr>
          <w:rFonts w:ascii="Segoe UI" w:eastAsia="Times New Roman" w:hAnsi="Segoe UI" w:cs="Segoe UI"/>
          <w:color w:val="000000"/>
        </w:rPr>
        <w:t xml:space="preserve"> the statement discloses a conflict, the parties must take steps to resolve it. Employees do so in consultation with their agency head, and an agency head must take steps to resolve any conflict in which they, themselves, are involved, in consultation with the Minister.</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5.2.11 Agencies may choose to require similar regular written declarations of other employees at particular risk of conflict of interest. Activities which may involve a heightened risk of conflict of interest for employees are shown in Table 1.</w:t>
      </w:r>
    </w:p>
    <w:tbl>
      <w:tblPr>
        <w:tblW w:w="12780" w:type="dxa"/>
        <w:tblCellMar>
          <w:top w:w="15" w:type="dxa"/>
          <w:left w:w="15" w:type="dxa"/>
          <w:bottom w:w="15" w:type="dxa"/>
          <w:right w:w="15" w:type="dxa"/>
        </w:tblCellMar>
        <w:tblLook w:val="04A0" w:firstRow="1" w:lastRow="0" w:firstColumn="1" w:lastColumn="0" w:noHBand="0" w:noVBand="1"/>
      </w:tblPr>
      <w:tblGrid>
        <w:gridCol w:w="4380"/>
        <w:gridCol w:w="8400"/>
      </w:tblGrid>
      <w:tr w:rsidR="002C4EEE" w:rsidRPr="002C4EEE" w:rsidTr="002C4EEE">
        <w:tc>
          <w:tcPr>
            <w:tcW w:w="0" w:type="auto"/>
            <w:gridSpan w:val="2"/>
            <w:tcBorders>
              <w:top w:val="nil"/>
              <w:left w:val="nil"/>
              <w:bottom w:val="nil"/>
              <w:right w:val="nil"/>
            </w:tcBorders>
            <w:vAlign w:val="center"/>
            <w:hideMark/>
          </w:tcPr>
          <w:p w:rsidR="002C4EEE" w:rsidRPr="002C4EEE" w:rsidRDefault="002C4EEE" w:rsidP="002C4EEE">
            <w:pPr>
              <w:spacing w:after="0" w:line="240" w:lineRule="auto"/>
              <w:jc w:val="center"/>
              <w:rPr>
                <w:rFonts w:ascii="Times New Roman" w:eastAsia="Times New Roman" w:hAnsi="Times New Roman"/>
              </w:rPr>
            </w:pPr>
            <w:r w:rsidRPr="002C4EEE">
              <w:rPr>
                <w:rFonts w:ascii="Times New Roman" w:eastAsia="Times New Roman" w:hAnsi="Times New Roman"/>
              </w:rPr>
              <w:t>Table 1: Agency activities with heightened risk of conflict of interest</w:t>
            </w:r>
            <w:hyperlink r:id="rId19" w:anchor="_edn17" w:history="1">
              <w:r w:rsidRPr="002C4EEE">
                <w:rPr>
                  <w:rFonts w:ascii="Times New Roman" w:eastAsia="Times New Roman" w:hAnsi="Times New Roman"/>
                  <w:color w:val="007099"/>
                  <w:u w:val="single"/>
                  <w:vertAlign w:val="superscript"/>
                </w:rPr>
                <w:t> [17]</w:t>
              </w:r>
              <w:r w:rsidRPr="002C4EEE">
                <w:rPr>
                  <w:rFonts w:ascii="Times New Roman" w:eastAsia="Times New Roman" w:hAnsi="Times New Roman"/>
                  <w:color w:val="007099"/>
                  <w:u w:val="single"/>
                  <w:bdr w:val="none" w:sz="0" w:space="0" w:color="auto" w:frame="1"/>
                  <w:vertAlign w:val="superscript"/>
                </w:rPr>
                <w:t>- external site</w:t>
              </w:r>
            </w:hyperlink>
          </w:p>
        </w:tc>
      </w:tr>
      <w:tr w:rsidR="002C4EEE" w:rsidRPr="002C4EEE" w:rsidTr="002C4EEE">
        <w:tc>
          <w:tcPr>
            <w:tcW w:w="0" w:type="auto"/>
            <w:vAlign w:val="center"/>
            <w:hideMark/>
          </w:tcPr>
          <w:p w:rsidR="002C4EEE" w:rsidRPr="002C4EEE" w:rsidRDefault="002C4EEE" w:rsidP="002C4EEE">
            <w:pPr>
              <w:spacing w:after="0" w:line="240" w:lineRule="auto"/>
              <w:rPr>
                <w:rFonts w:ascii="Times New Roman" w:eastAsia="Times New Roman" w:hAnsi="Times New Roman"/>
              </w:rPr>
            </w:pPr>
            <w:r w:rsidRPr="002C4EEE">
              <w:rPr>
                <w:rFonts w:ascii="Times New Roman" w:eastAsia="Times New Roman" w:hAnsi="Times New Roman"/>
              </w:rPr>
              <w:t>Procurement and recruitment</w:t>
            </w:r>
          </w:p>
        </w:tc>
        <w:tc>
          <w:tcPr>
            <w:tcW w:w="0" w:type="auto"/>
            <w:vAlign w:val="center"/>
            <w:hideMark/>
          </w:tcPr>
          <w:p w:rsidR="002C4EEE" w:rsidRPr="002C4EEE" w:rsidRDefault="002C4EEE" w:rsidP="002C4EEE">
            <w:pPr>
              <w:numPr>
                <w:ilvl w:val="0"/>
                <w:numId w:val="2"/>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procuring goods or services</w:t>
            </w:r>
          </w:p>
          <w:p w:rsidR="002C4EEE" w:rsidRPr="002C4EEE" w:rsidRDefault="002C4EEE" w:rsidP="002C4EEE">
            <w:pPr>
              <w:numPr>
                <w:ilvl w:val="0"/>
                <w:numId w:val="2"/>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tendering for and managing contracts</w:t>
            </w:r>
          </w:p>
          <w:p w:rsidR="002C4EEE" w:rsidRPr="002C4EEE" w:rsidRDefault="002C4EEE" w:rsidP="002C4EEE">
            <w:pPr>
              <w:numPr>
                <w:ilvl w:val="0"/>
                <w:numId w:val="2"/>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engaging and promoting employees</w:t>
            </w:r>
          </w:p>
          <w:p w:rsidR="002C4EEE" w:rsidRPr="002C4EEE" w:rsidRDefault="002C4EEE" w:rsidP="002C4EEE">
            <w:pPr>
              <w:numPr>
                <w:ilvl w:val="0"/>
                <w:numId w:val="2"/>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making appointments to statutory positions</w:t>
            </w:r>
          </w:p>
        </w:tc>
      </w:tr>
      <w:tr w:rsidR="002C4EEE" w:rsidRPr="002C4EEE" w:rsidTr="002C4EEE">
        <w:tc>
          <w:tcPr>
            <w:tcW w:w="0" w:type="auto"/>
            <w:vAlign w:val="center"/>
            <w:hideMark/>
          </w:tcPr>
          <w:p w:rsidR="002C4EEE" w:rsidRPr="002C4EEE" w:rsidRDefault="002C4EEE" w:rsidP="002C4EEE">
            <w:pPr>
              <w:spacing w:after="0" w:line="240" w:lineRule="auto"/>
              <w:rPr>
                <w:rFonts w:ascii="Times New Roman" w:eastAsia="Times New Roman" w:hAnsi="Times New Roman"/>
              </w:rPr>
            </w:pPr>
            <w:r w:rsidRPr="002C4EEE">
              <w:rPr>
                <w:rFonts w:ascii="Times New Roman" w:eastAsia="Times New Roman" w:hAnsi="Times New Roman"/>
              </w:rPr>
              <w:t>Regulating individual or business activities</w:t>
            </w:r>
          </w:p>
        </w:tc>
        <w:tc>
          <w:tcPr>
            <w:tcW w:w="0" w:type="auto"/>
            <w:vAlign w:val="center"/>
            <w:hideMark/>
          </w:tcPr>
          <w:p w:rsidR="002C4EEE" w:rsidRPr="002C4EEE" w:rsidRDefault="002C4EEE" w:rsidP="002C4EEE">
            <w:pPr>
              <w:numPr>
                <w:ilvl w:val="0"/>
                <w:numId w:val="3"/>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inspecting, regulating or monitoring standards, businesses, equipment or premises</w:t>
            </w:r>
          </w:p>
          <w:p w:rsidR="002C4EEE" w:rsidRPr="002C4EEE" w:rsidRDefault="002C4EEE" w:rsidP="002C4EEE">
            <w:pPr>
              <w:numPr>
                <w:ilvl w:val="0"/>
                <w:numId w:val="3"/>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 xml:space="preserve">issuing qualifications or </w:t>
            </w:r>
            <w:proofErr w:type="spellStart"/>
            <w:r w:rsidRPr="002C4EEE">
              <w:rPr>
                <w:rFonts w:ascii="Times New Roman" w:eastAsia="Times New Roman" w:hAnsi="Times New Roman"/>
              </w:rPr>
              <w:t>licences</w:t>
            </w:r>
            <w:proofErr w:type="spellEnd"/>
          </w:p>
          <w:p w:rsidR="002C4EEE" w:rsidRPr="002C4EEE" w:rsidRDefault="002C4EEE" w:rsidP="002C4EEE">
            <w:pPr>
              <w:numPr>
                <w:ilvl w:val="0"/>
                <w:numId w:val="3"/>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issuing or reviewing fines or penalties</w:t>
            </w:r>
          </w:p>
        </w:tc>
      </w:tr>
      <w:tr w:rsidR="002C4EEE" w:rsidRPr="002C4EEE" w:rsidTr="002C4EEE">
        <w:tc>
          <w:tcPr>
            <w:tcW w:w="0" w:type="auto"/>
            <w:vAlign w:val="center"/>
            <w:hideMark/>
          </w:tcPr>
          <w:p w:rsidR="002C4EEE" w:rsidRPr="002C4EEE" w:rsidRDefault="002C4EEE" w:rsidP="002C4EEE">
            <w:pPr>
              <w:spacing w:after="0" w:line="240" w:lineRule="auto"/>
              <w:rPr>
                <w:rFonts w:ascii="Times New Roman" w:eastAsia="Times New Roman" w:hAnsi="Times New Roman"/>
              </w:rPr>
            </w:pPr>
            <w:r w:rsidRPr="002C4EEE">
              <w:rPr>
                <w:rFonts w:ascii="Times New Roman" w:eastAsia="Times New Roman" w:hAnsi="Times New Roman"/>
              </w:rPr>
              <w:t>Distributing goods, services or funds</w:t>
            </w:r>
          </w:p>
        </w:tc>
        <w:tc>
          <w:tcPr>
            <w:tcW w:w="0" w:type="auto"/>
            <w:vAlign w:val="center"/>
            <w:hideMark/>
          </w:tcPr>
          <w:p w:rsidR="002C4EEE" w:rsidRPr="002C4EEE" w:rsidRDefault="002C4EEE" w:rsidP="002C4EEE">
            <w:pPr>
              <w:numPr>
                <w:ilvl w:val="0"/>
                <w:numId w:val="4"/>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providing a service</w:t>
            </w:r>
          </w:p>
          <w:p w:rsidR="002C4EEE" w:rsidRPr="002C4EEE" w:rsidRDefault="002C4EEE" w:rsidP="002C4EEE">
            <w:pPr>
              <w:numPr>
                <w:ilvl w:val="0"/>
                <w:numId w:val="4"/>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allocating grants of public funds</w:t>
            </w:r>
          </w:p>
          <w:p w:rsidR="002C4EEE" w:rsidRPr="002C4EEE" w:rsidRDefault="002C4EEE" w:rsidP="002C4EEE">
            <w:pPr>
              <w:numPr>
                <w:ilvl w:val="0"/>
                <w:numId w:val="4"/>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allocating subsidies, financial assistance, concessions or other relief</w:t>
            </w:r>
          </w:p>
        </w:tc>
      </w:tr>
      <w:tr w:rsidR="002C4EEE" w:rsidRPr="002C4EEE" w:rsidTr="002C4EEE">
        <w:tc>
          <w:tcPr>
            <w:tcW w:w="0" w:type="auto"/>
            <w:vAlign w:val="center"/>
            <w:hideMark/>
          </w:tcPr>
          <w:p w:rsidR="002C4EEE" w:rsidRPr="002C4EEE" w:rsidRDefault="002C4EEE" w:rsidP="002C4EEE">
            <w:pPr>
              <w:spacing w:after="0" w:line="240" w:lineRule="auto"/>
              <w:rPr>
                <w:rFonts w:ascii="Times New Roman" w:eastAsia="Times New Roman" w:hAnsi="Times New Roman"/>
              </w:rPr>
            </w:pPr>
            <w:r w:rsidRPr="002C4EEE">
              <w:rPr>
                <w:rFonts w:ascii="Times New Roman" w:eastAsia="Times New Roman" w:hAnsi="Times New Roman"/>
              </w:rPr>
              <w:t>Making binding decisions</w:t>
            </w:r>
          </w:p>
        </w:tc>
        <w:tc>
          <w:tcPr>
            <w:tcW w:w="0" w:type="auto"/>
            <w:vAlign w:val="center"/>
            <w:hideMark/>
          </w:tcPr>
          <w:p w:rsidR="002C4EEE" w:rsidRPr="002C4EEE" w:rsidRDefault="002C4EEE" w:rsidP="002C4EEE">
            <w:pPr>
              <w:numPr>
                <w:ilvl w:val="0"/>
                <w:numId w:val="5"/>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issuing determinations on matters</w:t>
            </w:r>
          </w:p>
          <w:p w:rsidR="002C4EEE" w:rsidRPr="002C4EEE" w:rsidRDefault="002C4EEE" w:rsidP="002C4EEE">
            <w:pPr>
              <w:numPr>
                <w:ilvl w:val="0"/>
                <w:numId w:val="5"/>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passing binding judgements</w:t>
            </w:r>
          </w:p>
          <w:p w:rsidR="002C4EEE" w:rsidRPr="002C4EEE" w:rsidRDefault="002C4EEE" w:rsidP="002C4EEE">
            <w:pPr>
              <w:numPr>
                <w:ilvl w:val="0"/>
                <w:numId w:val="5"/>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exercising statutory powers</w:t>
            </w:r>
          </w:p>
          <w:p w:rsidR="002C4EEE" w:rsidRPr="002C4EEE" w:rsidRDefault="002C4EEE" w:rsidP="002C4EEE">
            <w:pPr>
              <w:numPr>
                <w:ilvl w:val="0"/>
                <w:numId w:val="5"/>
              </w:numPr>
              <w:spacing w:before="100" w:beforeAutospacing="1" w:after="100" w:afterAutospacing="1" w:line="240" w:lineRule="auto"/>
              <w:ind w:left="0"/>
              <w:rPr>
                <w:rFonts w:ascii="Times New Roman" w:eastAsia="Times New Roman" w:hAnsi="Times New Roman"/>
              </w:rPr>
            </w:pPr>
            <w:r w:rsidRPr="002C4EEE">
              <w:rPr>
                <w:rFonts w:ascii="Times New Roman" w:eastAsia="Times New Roman" w:hAnsi="Times New Roman"/>
              </w:rPr>
              <w:t>voting as a member of a board or committee</w:t>
            </w:r>
          </w:p>
        </w:tc>
      </w:tr>
    </w:tbl>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5.2.12 </w:t>
      </w:r>
      <w:proofErr w:type="gramStart"/>
      <w:r w:rsidRPr="002C4EEE">
        <w:rPr>
          <w:rFonts w:ascii="Segoe UI" w:eastAsia="Times New Roman" w:hAnsi="Segoe UI" w:cs="Segoe UI"/>
          <w:color w:val="000000"/>
        </w:rPr>
        <w:t>It</w:t>
      </w:r>
      <w:proofErr w:type="gramEnd"/>
      <w:r w:rsidRPr="002C4EEE">
        <w:rPr>
          <w:rFonts w:ascii="Segoe UI" w:eastAsia="Times New Roman" w:hAnsi="Segoe UI" w:cs="Segoe UI"/>
          <w:color w:val="000000"/>
        </w:rPr>
        <w:t xml:space="preserve"> may be useful to require declarations when certain events occur, for example on appointment to a board or committee or before making certain types of decisions. The extent to which routine declarations are required of employees in each agency will depend on assessments of the sensitivity of the work, the administrative and resource implications, and the risks involved.</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What needs to be disclosed?</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5.2.13 </w:t>
      </w:r>
      <w:proofErr w:type="gramStart"/>
      <w:r w:rsidRPr="002C4EEE">
        <w:rPr>
          <w:rFonts w:ascii="Segoe UI" w:eastAsia="Times New Roman" w:hAnsi="Segoe UI" w:cs="Segoe UI"/>
          <w:color w:val="000000"/>
        </w:rPr>
        <w:t>There</w:t>
      </w:r>
      <w:proofErr w:type="gramEnd"/>
      <w:r w:rsidRPr="002C4EEE">
        <w:rPr>
          <w:rFonts w:ascii="Segoe UI" w:eastAsia="Times New Roman" w:hAnsi="Segoe UI" w:cs="Segoe UI"/>
          <w:color w:val="000000"/>
        </w:rPr>
        <w:t xml:space="preserve"> is no standard list of items that must be disclosed. It is the responsibility of employees to consider and disclose those personal interests or relationships that influence, or could be seen to influence, their actions.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5.2.14 </w:t>
      </w:r>
      <w:proofErr w:type="gramStart"/>
      <w:r w:rsidRPr="002C4EEE">
        <w:rPr>
          <w:rFonts w:ascii="Segoe UI" w:eastAsia="Times New Roman" w:hAnsi="Segoe UI" w:cs="Segoe UI"/>
          <w:color w:val="000000"/>
        </w:rPr>
        <w:t>The</w:t>
      </w:r>
      <w:proofErr w:type="gramEnd"/>
      <w:r w:rsidRPr="002C4EEE">
        <w:rPr>
          <w:rFonts w:ascii="Segoe UI" w:eastAsia="Times New Roman" w:hAnsi="Segoe UI" w:cs="Segoe UI"/>
          <w:color w:val="000000"/>
        </w:rPr>
        <w:t> </w:t>
      </w:r>
      <w:hyperlink r:id="rId20" w:history="1">
        <w:r w:rsidRPr="002C4EEE">
          <w:rPr>
            <w:rFonts w:ascii="Segoe UI" w:eastAsia="Times New Roman" w:hAnsi="Segoe UI" w:cs="Segoe UI"/>
            <w:color w:val="007099"/>
            <w:u w:val="single"/>
          </w:rPr>
          <w:t>conflicts of interest template </w:t>
        </w:r>
      </w:hyperlink>
      <w:r w:rsidRPr="002C4EEE">
        <w:rPr>
          <w:rFonts w:ascii="Segoe UI" w:eastAsia="Times New Roman" w:hAnsi="Segoe UI" w:cs="Segoe UI"/>
          <w:color w:val="000000"/>
        </w:rPr>
        <w:t>available on the Australian Public Service Commission's website provides examples of the types of interests and relationships that could be considered.</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5.2.15 Factors to be taken into account in considering what to disclose include:</w:t>
      </w:r>
    </w:p>
    <w:p w:rsidR="002C4EEE" w:rsidRPr="002C4EEE" w:rsidRDefault="002C4EEE" w:rsidP="002C4EEE">
      <w:pPr>
        <w:numPr>
          <w:ilvl w:val="0"/>
          <w:numId w:val="6"/>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the particular roles and responsibilities of the employee's agency and its probity concerns</w:t>
      </w:r>
    </w:p>
    <w:p w:rsidR="002C4EEE" w:rsidRPr="002C4EEE" w:rsidRDefault="002C4EEE" w:rsidP="002C4EEE">
      <w:pPr>
        <w:numPr>
          <w:ilvl w:val="0"/>
          <w:numId w:val="6"/>
        </w:numPr>
        <w:shd w:val="clear" w:color="auto" w:fill="FFFFFF"/>
        <w:spacing w:before="100" w:beforeAutospacing="1" w:after="100" w:afterAutospacing="1" w:line="240" w:lineRule="auto"/>
        <w:rPr>
          <w:rFonts w:ascii="Segoe UI" w:eastAsia="Times New Roman" w:hAnsi="Segoe UI" w:cs="Segoe UI"/>
          <w:color w:val="000000"/>
        </w:rPr>
      </w:pPr>
      <w:proofErr w:type="gramStart"/>
      <w:r w:rsidRPr="002C4EEE">
        <w:rPr>
          <w:rFonts w:ascii="Segoe UI" w:eastAsia="Times New Roman" w:hAnsi="Segoe UI" w:cs="Segoe UI"/>
          <w:color w:val="000000"/>
        </w:rPr>
        <w:t>the</w:t>
      </w:r>
      <w:proofErr w:type="gramEnd"/>
      <w:r w:rsidRPr="002C4EEE">
        <w:rPr>
          <w:rFonts w:ascii="Segoe UI" w:eastAsia="Times New Roman" w:hAnsi="Segoe UI" w:cs="Segoe UI"/>
          <w:color w:val="000000"/>
        </w:rPr>
        <w:t xml:space="preserve"> particular roles and responsibilities of the employee.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5.2.16 </w:t>
      </w:r>
      <w:proofErr w:type="gramStart"/>
      <w:r w:rsidRPr="002C4EEE">
        <w:rPr>
          <w:rFonts w:ascii="Segoe UI" w:eastAsia="Times New Roman" w:hAnsi="Segoe UI" w:cs="Segoe UI"/>
          <w:color w:val="000000"/>
        </w:rPr>
        <w:t>The</w:t>
      </w:r>
      <w:proofErr w:type="gramEnd"/>
      <w:r w:rsidRPr="002C4EEE">
        <w:rPr>
          <w:rFonts w:ascii="Segoe UI" w:eastAsia="Times New Roman" w:hAnsi="Segoe UI" w:cs="Segoe UI"/>
          <w:color w:val="000000"/>
        </w:rPr>
        <w:t xml:space="preserve"> types of financial interests that may need to be disclosed include directorships, shareholdings, real estate, trusts or involvement in self-managed superannuation funds which have the potential to conflict with official duties.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5.2.17 Personal and other interests that may need to be disclosed include family relationships, sexual relationships or relationships formed through work or engagement with the local community, including sporting, social, cultural or voluntary activities, which have the potential to conflict with official duties.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5.2.18 </w:t>
      </w:r>
      <w:proofErr w:type="gramStart"/>
      <w:r w:rsidRPr="002C4EEE">
        <w:rPr>
          <w:rFonts w:ascii="Segoe UI" w:eastAsia="Times New Roman" w:hAnsi="Segoe UI" w:cs="Segoe UI"/>
          <w:color w:val="000000"/>
        </w:rPr>
        <w:t>As</w:t>
      </w:r>
      <w:proofErr w:type="gramEnd"/>
      <w:r w:rsidRPr="002C4EEE">
        <w:rPr>
          <w:rFonts w:ascii="Segoe UI" w:eastAsia="Times New Roman" w:hAnsi="Segoe UI" w:cs="Segoe UI"/>
          <w:color w:val="000000"/>
        </w:rPr>
        <w:t xml:space="preserve"> well as financial interests and personal relationships, certain types of incidents may need to be disclosed. For example, most agencies have policies on the registration of gift or benefits. Some agencies may require employees to disclose offers which were not accepted, for example where the offer could be perceived as a bribe.</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5.2.19 The Australian Security Intelligence Organisation manages the </w:t>
      </w:r>
      <w:hyperlink r:id="rId21" w:history="1">
        <w:r w:rsidRPr="002C4EEE">
          <w:rPr>
            <w:rFonts w:ascii="Segoe UI" w:eastAsia="Times New Roman" w:hAnsi="Segoe UI" w:cs="Segoe UI"/>
            <w:color w:val="007099"/>
            <w:u w:val="single"/>
          </w:rPr>
          <w:t>Australian Government Contact Reporting Scheme</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Employees should complete a contact report when a contact, either official or social, with embassy or foreign government officials within Australia or foreign officials or nationals outside Australia, seems suspicious, persistent or unusual in any respect, or becomes ongoing. Foreign officials could include trade or business representatives. The scheme also requires employees to complete a contact report for instances when an individual or group, regardless of nationality, seeks to obtain official information for which they do not need to have access in order to fulfil their work function.</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5.2.20 Agencies may require employees to report contact with other groups of people, for example contractors involved in a tender process, or criminal elements.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5.2.21 Disclosure promotes transparency, and is always better than the employee trying to manage the situation by themselves.</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Interests of immediate family members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5.2.22 Employees must disclose any personal interests or relationships of their immediate family that are known to them, where they consider that these interests influence, or could be seen to influence, the decisions they are taking or the advice they are giving. The term 'immediate family member' applies to spouses and dependent children. It may also apply to any other relatives and close friends who live with the employee or with whom the employee has a dependent relationship.</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5.2.23 </w:t>
      </w:r>
      <w:proofErr w:type="gramStart"/>
      <w:r w:rsidRPr="002C4EEE">
        <w:rPr>
          <w:rFonts w:ascii="Segoe UI" w:eastAsia="Times New Roman" w:hAnsi="Segoe UI" w:cs="Segoe UI"/>
          <w:color w:val="000000"/>
        </w:rPr>
        <w:t>If</w:t>
      </w:r>
      <w:proofErr w:type="gramEnd"/>
      <w:r w:rsidRPr="002C4EEE">
        <w:rPr>
          <w:rFonts w:ascii="Segoe UI" w:eastAsia="Times New Roman" w:hAnsi="Segoe UI" w:cs="Segoe UI"/>
          <w:color w:val="000000"/>
        </w:rPr>
        <w:t xml:space="preserve"> a disclosure contains the personal information of a family member it will generally be necessary for the employee to obtain the family member's consent for the collection of this information, consistent with the requirements of the Australian Privacy Principles contained in the </w:t>
      </w:r>
      <w:hyperlink r:id="rId22" w:history="1">
        <w:r w:rsidRPr="002C4EEE">
          <w:rPr>
            <w:rFonts w:ascii="Segoe UI" w:eastAsia="Times New Roman" w:hAnsi="Segoe UI" w:cs="Segoe UI"/>
            <w:i/>
            <w:iCs/>
            <w:color w:val="007099"/>
            <w:u w:val="single"/>
          </w:rPr>
          <w:t>Privacy Act 1988</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(Privacy Act).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5.2.24 </w:t>
      </w:r>
      <w:proofErr w:type="gramStart"/>
      <w:r w:rsidRPr="002C4EEE">
        <w:rPr>
          <w:rFonts w:ascii="Segoe UI" w:eastAsia="Times New Roman" w:hAnsi="Segoe UI" w:cs="Segoe UI"/>
          <w:color w:val="000000"/>
        </w:rPr>
        <w:t>If</w:t>
      </w:r>
      <w:proofErr w:type="gramEnd"/>
      <w:r w:rsidRPr="002C4EEE">
        <w:rPr>
          <w:rFonts w:ascii="Segoe UI" w:eastAsia="Times New Roman" w:hAnsi="Segoe UI" w:cs="Segoe UI"/>
          <w:color w:val="000000"/>
        </w:rPr>
        <w:t xml:space="preserve"> consent is not given, or is unable to be sought, then the employee should discuss with his or her agency head, in general terms, their understanding of the conflict of interest. The agency head can then decide what action may need to be taken.</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5.3 Managing conflicts of interest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 xml:space="preserve">5.3.1 Agency heads are responsible for ensuring that conflicts of interest are effectively managed. The agency head must also monitor compliance with the agency's policy for disclosing and managing conflicts of interest to meet the requirements of the </w:t>
      </w:r>
      <w:proofErr w:type="spellStart"/>
      <w:r w:rsidRPr="002C4EEE">
        <w:rPr>
          <w:rFonts w:ascii="Segoe UI" w:eastAsia="Times New Roman" w:hAnsi="Segoe UI" w:cs="Segoe UI"/>
          <w:color w:val="000000"/>
        </w:rPr>
        <w:t>PGPA</w:t>
      </w:r>
      <w:proofErr w:type="spellEnd"/>
      <w:r w:rsidRPr="002C4EEE">
        <w:rPr>
          <w:rFonts w:ascii="Segoe UI" w:eastAsia="Times New Roman" w:hAnsi="Segoe UI" w:cs="Segoe UI"/>
          <w:color w:val="000000"/>
        </w:rPr>
        <w:t xml:space="preserve"> Act.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5.3.2 Agency heads may decide to put in place systems that give primary responsibility for reviewing and managing disclosures to senior SES level staff, for example a Deputy Secretary, the Head of Corporate Services or an Area or State Manager.</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5.3.3 A system for registering interests is necessary if the interests are to be managed properly. Such systems will need to:</w:t>
      </w:r>
    </w:p>
    <w:p w:rsidR="002C4EEE" w:rsidRPr="002C4EEE" w:rsidRDefault="002C4EEE" w:rsidP="002C4EEE">
      <w:pPr>
        <w:numPr>
          <w:ilvl w:val="0"/>
          <w:numId w:val="7"/>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ensure that disclosures of conflict of interest are managed in accordance with the Privacy Act</w:t>
      </w:r>
    </w:p>
    <w:p w:rsidR="002C4EEE" w:rsidRPr="002C4EEE" w:rsidRDefault="002C4EEE" w:rsidP="002C4EEE">
      <w:pPr>
        <w:numPr>
          <w:ilvl w:val="0"/>
          <w:numId w:val="7"/>
        </w:num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ensure that disclosures are retained in accordance with the </w:t>
      </w:r>
      <w:hyperlink r:id="rId23" w:history="1">
        <w:r w:rsidRPr="002C4EEE">
          <w:rPr>
            <w:rFonts w:ascii="Segoe UI" w:eastAsia="Times New Roman" w:hAnsi="Segoe UI" w:cs="Segoe UI"/>
            <w:i/>
            <w:iCs/>
            <w:color w:val="007099"/>
            <w:u w:val="single"/>
          </w:rPr>
          <w:t>Archives Act 1983</w:t>
        </w:r>
        <w:r w:rsidRPr="002C4EEE">
          <w:rPr>
            <w:rFonts w:ascii="Segoe UI" w:eastAsia="Times New Roman" w:hAnsi="Segoe UI" w:cs="Segoe UI"/>
            <w:color w:val="007099"/>
            <w:u w:val="single"/>
            <w:bdr w:val="none" w:sz="0" w:space="0" w:color="auto" w:frame="1"/>
          </w:rPr>
          <w:t>- external site</w:t>
        </w:r>
      </w:hyperlink>
    </w:p>
    <w:p w:rsidR="002C4EEE" w:rsidRPr="002C4EEE" w:rsidRDefault="002C4EEE" w:rsidP="002C4EEE">
      <w:pPr>
        <w:numPr>
          <w:ilvl w:val="0"/>
          <w:numId w:val="7"/>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monitor disclosures to ensure they remain current—this might include, for example, internal controls or external audit</w:t>
      </w:r>
    </w:p>
    <w:p w:rsidR="002C4EEE" w:rsidRPr="002C4EEE" w:rsidRDefault="002C4EEE" w:rsidP="002C4EEE">
      <w:pPr>
        <w:numPr>
          <w:ilvl w:val="0"/>
          <w:numId w:val="7"/>
        </w:numPr>
        <w:shd w:val="clear" w:color="auto" w:fill="FFFFFF"/>
        <w:spacing w:before="100" w:beforeAutospacing="1" w:after="100" w:afterAutospacing="1" w:line="240" w:lineRule="auto"/>
        <w:rPr>
          <w:rFonts w:ascii="Segoe UI" w:eastAsia="Times New Roman" w:hAnsi="Segoe UI" w:cs="Segoe UI"/>
          <w:color w:val="000000"/>
        </w:rPr>
      </w:pPr>
      <w:proofErr w:type="gramStart"/>
      <w:r w:rsidRPr="002C4EEE">
        <w:rPr>
          <w:rFonts w:ascii="Segoe UI" w:eastAsia="Times New Roman" w:hAnsi="Segoe UI" w:cs="Segoe UI"/>
          <w:color w:val="000000"/>
        </w:rPr>
        <w:t>bring</w:t>
      </w:r>
      <w:proofErr w:type="gramEnd"/>
      <w:r w:rsidRPr="002C4EEE">
        <w:rPr>
          <w:rFonts w:ascii="Segoe UI" w:eastAsia="Times New Roman" w:hAnsi="Segoe UI" w:cs="Segoe UI"/>
          <w:color w:val="000000"/>
        </w:rPr>
        <w:t xml:space="preserve"> any serious real or apparent conflicts of interest to the attention of the agency head.</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5.3.4 Generally, disclosures of interest will be held with the employee's personnel records. Where a disclosure is made for the purpose of a certain decision it is appropriate to include a copy in the file relating to the decision.</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Assessing the materiality of a conflict of interest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5.3.5 Factors that may need to be weighed in assessing the materiality of the conflict of interest include:</w:t>
      </w:r>
    </w:p>
    <w:p w:rsidR="002C4EEE" w:rsidRPr="002C4EEE" w:rsidRDefault="002C4EEE" w:rsidP="002C4EEE">
      <w:pPr>
        <w:numPr>
          <w:ilvl w:val="0"/>
          <w:numId w:val="8"/>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the type or size of the employee's personal interest, real or apparent</w:t>
      </w:r>
    </w:p>
    <w:p w:rsidR="002C4EEE" w:rsidRPr="002C4EEE" w:rsidRDefault="002C4EEE" w:rsidP="002C4EEE">
      <w:pPr>
        <w:numPr>
          <w:ilvl w:val="0"/>
          <w:numId w:val="8"/>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the nature or significance of the particular decision or activity being carried out by the agency</w:t>
      </w:r>
    </w:p>
    <w:p w:rsidR="002C4EEE" w:rsidRPr="002C4EEE" w:rsidRDefault="002C4EEE" w:rsidP="002C4EEE">
      <w:pPr>
        <w:numPr>
          <w:ilvl w:val="0"/>
          <w:numId w:val="8"/>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the extent to which the employee's personal interest could affect, or be affected by, the agency's decision or activity</w:t>
      </w:r>
    </w:p>
    <w:p w:rsidR="002C4EEE" w:rsidRPr="002C4EEE" w:rsidRDefault="002C4EEE" w:rsidP="002C4EEE">
      <w:pPr>
        <w:numPr>
          <w:ilvl w:val="0"/>
          <w:numId w:val="8"/>
        </w:numPr>
        <w:shd w:val="clear" w:color="auto" w:fill="FFFFFF"/>
        <w:spacing w:before="100" w:beforeAutospacing="1" w:after="100" w:afterAutospacing="1" w:line="240" w:lineRule="auto"/>
        <w:rPr>
          <w:rFonts w:ascii="Segoe UI" w:eastAsia="Times New Roman" w:hAnsi="Segoe UI" w:cs="Segoe UI"/>
          <w:color w:val="000000"/>
        </w:rPr>
      </w:pPr>
      <w:proofErr w:type="gramStart"/>
      <w:r w:rsidRPr="002C4EEE">
        <w:rPr>
          <w:rFonts w:ascii="Segoe UI" w:eastAsia="Times New Roman" w:hAnsi="Segoe UI" w:cs="Segoe UI"/>
          <w:color w:val="000000"/>
        </w:rPr>
        <w:t>the</w:t>
      </w:r>
      <w:proofErr w:type="gramEnd"/>
      <w:r w:rsidRPr="002C4EEE">
        <w:rPr>
          <w:rFonts w:ascii="Segoe UI" w:eastAsia="Times New Roman" w:hAnsi="Segoe UI" w:cs="Segoe UI"/>
          <w:color w:val="000000"/>
        </w:rPr>
        <w:t xml:space="preserve"> nature or extent of the employee's current or intended involvement in the agency's decision or activity.</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Mitigating the conflict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5.3.6 Where a conflict of interest, real or apparent, arises it will need to be managed. Appropriate management actions may include withdrawing from particular discussions, restricting the flow of information, abstaining from decisions, reassignment of duties, or relinquishing the interest or the position.</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5.3.7 Agencies engaged in activities which may involve a heightened risk of conflict of interest for employees may develop a management plan that can be invoked when a conflict is disclosed. Section 16 of the </w:t>
      </w:r>
      <w:proofErr w:type="spellStart"/>
      <w:r w:rsidRPr="002C4EEE">
        <w:rPr>
          <w:rFonts w:ascii="Segoe UI" w:eastAsia="Times New Roman" w:hAnsi="Segoe UI" w:cs="Segoe UI"/>
          <w:color w:val="000000"/>
        </w:rPr>
        <w:t>PGPA</w:t>
      </w:r>
      <w:proofErr w:type="spellEnd"/>
      <w:r w:rsidRPr="002C4EEE">
        <w:rPr>
          <w:rFonts w:ascii="Segoe UI" w:eastAsia="Times New Roman" w:hAnsi="Segoe UI" w:cs="Segoe UI"/>
          <w:color w:val="000000"/>
        </w:rPr>
        <w:t xml:space="preserve"> Act sets out a duty for accountable authorities to establish and maintain appropriate systems of risk oversight and internal control.</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lastRenderedPageBreak/>
        <w:t>5.4 Gifts and benefits</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5.4.1 Acceptance of a gift or benefit that is connected with an employee's employment can create a real or apparent conflict of interest that should be avoided. At the extreme, it could be perceived as a bribe. Accepting a bribe is an offence under the Commonwealth </w:t>
      </w:r>
      <w:hyperlink r:id="rId24" w:history="1">
        <w:r w:rsidRPr="002C4EEE">
          <w:rPr>
            <w:rFonts w:ascii="Segoe UI" w:eastAsia="Times New Roman" w:hAnsi="Segoe UI" w:cs="Segoe UI"/>
            <w:i/>
            <w:iCs/>
            <w:color w:val="007099"/>
            <w:u w:val="single"/>
          </w:rPr>
          <w:t>Criminal Code Act 1995</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(the Criminal Code) and a breach of the Code of Conduct.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5.4.2 When deciding whether to accept a gift or benefit, an employee is advised to consult their agency's policy. If an employee is uncertain about whether they should accept a gift or benefit, they should discuss the matter with their manager or supervisor.</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5.4.3 It is not possible to establish definitive rules about accepting gifts or benefits, as the appropriate course of action will depend on the circumstances of the offer and the roles and responsibilities of the employee and the agency.</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5.4.4 A gift or benefit may generally be accepted if the offer is open to the community, or to the APS as a whole. The risk that the offer could influence, or be perceived to influence, the decisions or actions of an individual employee in these circumstances is low. An example of this type of offer is a briefing or information session provided by a company to outline their services.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5.4.5 It is not usually appropriate to accept a gift or benefit from a person or company if they are involved in a tender process with the agency, either for the procurement of goods and services or sale of assets. The same principle applies where the person or company is the subject of a decision within the discretion or the sphere of influence of the APS employee concerned, for example a regulated business or a junior colleague.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5.4.6 Particular care should also be taken if the person or organisation is in a contractual or regulatory relationship with the agency, or if the organisation's primary purpose is to lobby Ministers, Members of Parliament or agencies.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5.4.7 If a gift or benefit is accepted, and its acceptance creates a material conflict of interest, it must be disclosed. Acceptance of a gift or benefit by an immediate family member may also create a material conflict of interest for an employee.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5.4.8 All valuable gifts or benefits should be registered. Any gift accepted by an employee because of their employment becomes the property of the agency, unless there are agency policies to the contrary.</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Hospitality, entertainment and sponsored travel</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5.4.9 The nature of work in the APS and the relationship of the APS with external clients and stakeholders is such that employees, particularly at senior levels, often deal with heads of corporations and senior business representatives, heads of non-government organisations, and international officials. In many of these sectors, offers of gifts and hospitality are commonplace.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 xml:space="preserve">5.4.10 </w:t>
      </w:r>
      <w:proofErr w:type="gramStart"/>
      <w:r w:rsidRPr="002C4EEE">
        <w:rPr>
          <w:rFonts w:ascii="Segoe UI" w:eastAsia="Times New Roman" w:hAnsi="Segoe UI" w:cs="Segoe UI"/>
          <w:color w:val="000000"/>
        </w:rPr>
        <w:t>Senior</w:t>
      </w:r>
      <w:proofErr w:type="gramEnd"/>
      <w:r w:rsidRPr="002C4EEE">
        <w:rPr>
          <w:rFonts w:ascii="Segoe UI" w:eastAsia="Times New Roman" w:hAnsi="Segoe UI" w:cs="Segoe UI"/>
          <w:color w:val="000000"/>
        </w:rPr>
        <w:t xml:space="preserve"> employees, and agency heads in particular, are often required to make finely balanced judgements as to whether an offered gift or benefit should be accepted.</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5.4.11 When deciding whether to accept such an offer, an employee should balance the benefits to their agency and the APS with the risks that acceptance will raise, including the risk that agency employees or the public may view acceptance as compromising the employee's integrity.</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5.4.12 </w:t>
      </w:r>
      <w:proofErr w:type="gramStart"/>
      <w:r w:rsidRPr="002C4EEE">
        <w:rPr>
          <w:rFonts w:ascii="Segoe UI" w:eastAsia="Times New Roman" w:hAnsi="Segoe UI" w:cs="Segoe UI"/>
          <w:color w:val="000000"/>
        </w:rPr>
        <w:t>It</w:t>
      </w:r>
      <w:proofErr w:type="gramEnd"/>
      <w:r w:rsidRPr="002C4EEE">
        <w:rPr>
          <w:rFonts w:ascii="Segoe UI" w:eastAsia="Times New Roman" w:hAnsi="Segoe UI" w:cs="Segoe UI"/>
          <w:color w:val="000000"/>
        </w:rPr>
        <w:t xml:space="preserve"> may be necessary to bring the offer to the attention of the agency head. An agency head may decide that the benefits to the agency of accepting an offer outweigh any risks that its acceptance creates. They may also decide that the risks can be effectively mitigated.</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5.4.13 </w:t>
      </w:r>
      <w:proofErr w:type="gramStart"/>
      <w:r w:rsidRPr="002C4EEE">
        <w:rPr>
          <w:rFonts w:ascii="Segoe UI" w:eastAsia="Times New Roman" w:hAnsi="Segoe UI" w:cs="Segoe UI"/>
          <w:color w:val="000000"/>
        </w:rPr>
        <w:t>While</w:t>
      </w:r>
      <w:proofErr w:type="gramEnd"/>
      <w:r w:rsidRPr="002C4EEE">
        <w:rPr>
          <w:rFonts w:ascii="Segoe UI" w:eastAsia="Times New Roman" w:hAnsi="Segoe UI" w:cs="Segoe UI"/>
          <w:color w:val="000000"/>
        </w:rPr>
        <w:t xml:space="preserve"> it may be in the interests of the agency, or the government, for employees to accept invitations to some events, it is not generally appropriate for them to accept offers of paid travel or accommodation associated with their attendance. As a general rule, the Commonwealth pays for employees to travel as part of their official duties.</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5.4.14 Loyalty reward points such as frequent flyer points ceased to accrue with the introduction of the </w:t>
      </w:r>
      <w:hyperlink r:id="rId25" w:history="1">
        <w:r w:rsidRPr="002C4EEE">
          <w:rPr>
            <w:rFonts w:ascii="Segoe UI" w:eastAsia="Times New Roman" w:hAnsi="Segoe UI" w:cs="Segoe UI"/>
            <w:color w:val="007099"/>
            <w:u w:val="single"/>
          </w:rPr>
          <w:t>Whole of Australian Government Travel Arrangements</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on 1 July 2010. Any points accrued after this date must be reversed in accordance with the guidance on the </w:t>
      </w:r>
      <w:hyperlink r:id="rId26" w:history="1">
        <w:r w:rsidRPr="002C4EEE">
          <w:rPr>
            <w:rFonts w:ascii="Segoe UI" w:eastAsia="Times New Roman" w:hAnsi="Segoe UI" w:cs="Segoe UI"/>
            <w:color w:val="007099"/>
            <w:u w:val="single"/>
          </w:rPr>
          <w:t>Department of Finance website</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Accepting fees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5.4.15 </w:t>
      </w:r>
      <w:proofErr w:type="gramStart"/>
      <w:r w:rsidRPr="002C4EEE">
        <w:rPr>
          <w:rFonts w:ascii="Segoe UI" w:eastAsia="Times New Roman" w:hAnsi="Segoe UI" w:cs="Segoe UI"/>
          <w:color w:val="000000"/>
        </w:rPr>
        <w:t>Generally</w:t>
      </w:r>
      <w:proofErr w:type="gramEnd"/>
      <w:r w:rsidRPr="002C4EEE">
        <w:rPr>
          <w:rFonts w:ascii="Segoe UI" w:eastAsia="Times New Roman" w:hAnsi="Segoe UI" w:cs="Segoe UI"/>
          <w:color w:val="000000"/>
        </w:rPr>
        <w:t>, it is expected that employees will not accept outside payment for activities considered part of their normal duties. However, there will be circumstances where the agency considers acceptance of a fee to be appropriate. For example, if an employee is offered a fee to speak at a work-related conference, it may be accepted providing the agency receives the benefit, not the individual.</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Awards and prizes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5.4.16 </w:t>
      </w:r>
      <w:proofErr w:type="gramStart"/>
      <w:r w:rsidRPr="002C4EEE">
        <w:rPr>
          <w:rFonts w:ascii="Segoe UI" w:eastAsia="Times New Roman" w:hAnsi="Segoe UI" w:cs="Segoe UI"/>
          <w:color w:val="000000"/>
        </w:rPr>
        <w:t>A</w:t>
      </w:r>
      <w:proofErr w:type="gramEnd"/>
      <w:r w:rsidRPr="002C4EEE">
        <w:rPr>
          <w:rFonts w:ascii="Segoe UI" w:eastAsia="Times New Roman" w:hAnsi="Segoe UI" w:cs="Segoe UI"/>
          <w:color w:val="000000"/>
        </w:rPr>
        <w:t xml:space="preserve"> conflict of interest would not generally arise from acceptance of a prize or award that was open to the wider community.</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5.4.17 </w:t>
      </w:r>
      <w:proofErr w:type="gramStart"/>
      <w:r w:rsidRPr="002C4EEE">
        <w:rPr>
          <w:rFonts w:ascii="Segoe UI" w:eastAsia="Times New Roman" w:hAnsi="Segoe UI" w:cs="Segoe UI"/>
          <w:color w:val="000000"/>
        </w:rPr>
        <w:t>A</w:t>
      </w:r>
      <w:proofErr w:type="gramEnd"/>
      <w:r w:rsidRPr="002C4EEE">
        <w:rPr>
          <w:rFonts w:ascii="Segoe UI" w:eastAsia="Times New Roman" w:hAnsi="Segoe UI" w:cs="Segoe UI"/>
          <w:color w:val="000000"/>
        </w:rPr>
        <w:t xml:space="preserve"> conflict of interest may arise if the award or prize is offered as a result of attendance in an official capacity at an external work-related event. Offers of awards or prizes that are connected with work should be considered in accordance with agency policy. Some agencies allow prizes to be raffled by their social clubs, or some other arrangement whereby the agency benefits rather than the individual.</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5.5 Offering gifts and benefits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5.5.1 Employees should ensure that their decisions are transparent and their intent clear when offering gifts and benefits—including official hospitality—to people or representatives of organisations, such as members of an international delegation. Depending on the circumstances, a </w:t>
      </w:r>
      <w:r w:rsidRPr="002C4EEE">
        <w:rPr>
          <w:rFonts w:ascii="Segoe UI" w:eastAsia="Times New Roman" w:hAnsi="Segoe UI" w:cs="Segoe UI"/>
          <w:color w:val="000000"/>
        </w:rPr>
        <w:lastRenderedPageBreak/>
        <w:t xml:space="preserve">payment </w:t>
      </w:r>
      <w:proofErr w:type="spellStart"/>
      <w:r w:rsidRPr="002C4EEE">
        <w:rPr>
          <w:rFonts w:ascii="Segoe UI" w:eastAsia="Times New Roman" w:hAnsi="Segoe UI" w:cs="Segoe UI"/>
          <w:color w:val="000000"/>
        </w:rPr>
        <w:t>characterised</w:t>
      </w:r>
      <w:proofErr w:type="spellEnd"/>
      <w:r w:rsidRPr="002C4EEE">
        <w:rPr>
          <w:rFonts w:ascii="Segoe UI" w:eastAsia="Times New Roman" w:hAnsi="Segoe UI" w:cs="Segoe UI"/>
          <w:color w:val="000000"/>
        </w:rPr>
        <w:t xml:space="preserve"> as hospitality or a promotional expense may be considered a bribe, particularly if the payment is lavish, disproportionate or over-frequent.</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5.5.2 Employees must comply with the </w:t>
      </w:r>
      <w:proofErr w:type="spellStart"/>
      <w:r w:rsidRPr="002C4EEE">
        <w:rPr>
          <w:rFonts w:ascii="Segoe UI" w:eastAsia="Times New Roman" w:hAnsi="Segoe UI" w:cs="Segoe UI"/>
          <w:color w:val="000000"/>
        </w:rPr>
        <w:t>PGPA</w:t>
      </w:r>
      <w:proofErr w:type="spellEnd"/>
      <w:r w:rsidRPr="002C4EEE">
        <w:rPr>
          <w:rFonts w:ascii="Segoe UI" w:eastAsia="Times New Roman" w:hAnsi="Segoe UI" w:cs="Segoe UI"/>
          <w:color w:val="000000"/>
        </w:rPr>
        <w:t xml:space="preserve"> Act—see Section 7: </w:t>
      </w:r>
      <w:r w:rsidRPr="002C4EEE">
        <w:rPr>
          <w:rFonts w:ascii="Segoe UI" w:eastAsia="Times New Roman" w:hAnsi="Segoe UI" w:cs="Segoe UI"/>
          <w:i/>
          <w:iCs/>
          <w:color w:val="000000"/>
        </w:rPr>
        <w:t>Using Commonwealth resources</w:t>
      </w:r>
      <w:r w:rsidRPr="002C4EEE">
        <w:rPr>
          <w:rFonts w:ascii="Segoe UI" w:eastAsia="Times New Roman" w:hAnsi="Segoe UI" w:cs="Segoe UI"/>
          <w:color w:val="000000"/>
        </w:rPr>
        <w:t> and any relevant </w:t>
      </w:r>
      <w:hyperlink r:id="rId27" w:history="1">
        <w:r w:rsidRPr="002C4EEE">
          <w:rPr>
            <w:rFonts w:ascii="Segoe UI" w:eastAsia="Times New Roman" w:hAnsi="Segoe UI" w:cs="Segoe UI"/>
            <w:color w:val="007099"/>
            <w:u w:val="single"/>
          </w:rPr>
          <w:t>Accountable Authority Instructions</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5.5.3 As a general principle, gifts and benefits should be representative of the agency and proportionate to the occasion.</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5.5.4 Consistent with Australia's obligations under the Organisation for Economic Co-operation and Development (OECD) </w:t>
      </w:r>
      <w:hyperlink r:id="rId28" w:history="1">
        <w:r w:rsidRPr="002C4EEE">
          <w:rPr>
            <w:rFonts w:ascii="Segoe UI" w:eastAsia="Times New Roman" w:hAnsi="Segoe UI" w:cs="Segoe UI"/>
            <w:color w:val="007099"/>
            <w:u w:val="single"/>
          </w:rPr>
          <w:t>Convention on Combating Bribery of Foreign Public Officials in International Business Transactions</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under section 70.2 of the Criminal Code it is an offence to bribe a foreign public official, whether in Australia or in another country. An Australian in another country who bribes or attempts to bribe an official of that country can be prosecuted for bribery in an Australian court. Where an employee becomes aware of information which they suspect relates to the bribery of a foreign public official by another employee, they must report it—see Section 9: </w:t>
      </w:r>
      <w:r w:rsidRPr="002C4EEE">
        <w:rPr>
          <w:rFonts w:ascii="Segoe UI" w:eastAsia="Times New Roman" w:hAnsi="Segoe UI" w:cs="Segoe UI"/>
          <w:i/>
          <w:iCs/>
          <w:color w:val="000000"/>
        </w:rPr>
        <w:t>Reporting suspected misconduct</w:t>
      </w:r>
      <w:r w:rsidRPr="002C4EEE">
        <w:rPr>
          <w:rFonts w:ascii="Segoe UI" w:eastAsia="Times New Roman" w:hAnsi="Segoe UI" w:cs="Segoe UI"/>
          <w:color w:val="000000"/>
        </w:rPr>
        <w:t>. If the information relates to a person who is not an APS employee, the employee should discuss the matter with an appropriate senior person in their agency to determine the best course of action, which may include reporting the matter to the Australian Federal Police.</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5.5.5 More information about foreign bribery is available from the Attorney-General's Department </w:t>
      </w:r>
      <w:hyperlink r:id="rId29" w:history="1">
        <w:r w:rsidRPr="002C4EEE">
          <w:rPr>
            <w:rFonts w:ascii="Segoe UI" w:eastAsia="Times New Roman" w:hAnsi="Segoe UI" w:cs="Segoe UI"/>
            <w:color w:val="007099"/>
            <w:u w:val="single"/>
          </w:rPr>
          <w:t>website</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5.6 Personal relationships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5.6.1 In carrying out their duties, employees may find themselves in situations where a decision has to be made that would directly affect a person with whom the decision-maker has a relationship, or has had a relationship in the past.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5.6.2 Where a person involved in a recruitment or promotion exercise has a relationship with an applicant that might give rise to a conflict of interest, it must be disclosed, for example to the delegate and any other panel members. It may then be decided whether the employee making the disclosure should stand aside from the process or the consideration of the particular candidate.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5.6.3 Where a panel member needs to provide a reference for a candidate it is advisable to disclose this at the start of the process. It is good practice for the reference to be provided before information on other applicants has been accessed to avoid any perception that it was influenced by the claims of the other candidates.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5.6.4 While it is not uncommon or wrong for couples or other family members to be working in the same agency it is not usually appropriate for one to have any line responsibility over another.</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5.7 Grant selection</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5.7.1 The granting of money to private and public agencies is a core approach used to implement government programs. Some of these grants are awarded through competitive programs in which publicly sought applications are assessed by 'peer review', a process that uses expert assessors to select the best projects for funding.</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5.7.2 Grant assessors need to be particularly alert to the scope for real or apparent conflict of interest. They may have professional or personal relationships within the sector from which grant applications are sought.</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5.8 Working with lobbyists</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5.8.1 The </w:t>
      </w:r>
      <w:hyperlink r:id="rId30" w:history="1">
        <w:r w:rsidRPr="002C4EEE">
          <w:rPr>
            <w:rFonts w:ascii="Segoe UI" w:eastAsia="Times New Roman" w:hAnsi="Segoe UI" w:cs="Segoe UI"/>
            <w:color w:val="007099"/>
            <w:u w:val="single"/>
          </w:rPr>
          <w:t>Lobbying Code of Conduct</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(the Lobbying Code) imposes obligations on lobbyists and APS employees dealing with them.</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5.8.2 The Lobbying Code aims to ensure that government representatives who deal with lobbyists are able to establish the interests the lobbyist represents in order to make appropriate judgements about their motives.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5.8.3 Compliance with the Lobbying Code means, in short, that:</w:t>
      </w:r>
    </w:p>
    <w:p w:rsidR="002C4EEE" w:rsidRPr="002C4EEE" w:rsidRDefault="002C4EEE" w:rsidP="002C4EEE">
      <w:pPr>
        <w:numPr>
          <w:ilvl w:val="0"/>
          <w:numId w:val="9"/>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public servants can only deal with registered lobbyists</w:t>
      </w:r>
    </w:p>
    <w:p w:rsidR="002C4EEE" w:rsidRPr="002C4EEE" w:rsidRDefault="002C4EEE" w:rsidP="002C4EEE">
      <w:pPr>
        <w:numPr>
          <w:ilvl w:val="0"/>
          <w:numId w:val="9"/>
        </w:numPr>
        <w:shd w:val="clear" w:color="auto" w:fill="FFFFFF"/>
        <w:spacing w:before="100" w:beforeAutospacing="1" w:after="100" w:afterAutospacing="1" w:line="240" w:lineRule="auto"/>
        <w:rPr>
          <w:rFonts w:ascii="Segoe UI" w:eastAsia="Times New Roman" w:hAnsi="Segoe UI" w:cs="Segoe UI"/>
          <w:color w:val="000000"/>
        </w:rPr>
      </w:pPr>
      <w:proofErr w:type="gramStart"/>
      <w:r w:rsidRPr="002C4EEE">
        <w:rPr>
          <w:rFonts w:ascii="Segoe UI" w:eastAsia="Times New Roman" w:hAnsi="Segoe UI" w:cs="Segoe UI"/>
          <w:color w:val="000000"/>
        </w:rPr>
        <w:t>lobbyists</w:t>
      </w:r>
      <w:proofErr w:type="gramEnd"/>
      <w:r w:rsidRPr="002C4EEE">
        <w:rPr>
          <w:rFonts w:ascii="Segoe UI" w:eastAsia="Times New Roman" w:hAnsi="Segoe UI" w:cs="Segoe UI"/>
          <w:color w:val="000000"/>
        </w:rPr>
        <w:t xml:space="preserve"> are obliged to inform public servants of the third party interests they represent and the issues that the third party wishes the lobbyist to raise.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5.8.4 The Lobbying Code restricts the engagement of former government representatives in lobbying activities. SES employees and equivalents who leave the APS must not, for a 12 month period, engage in lobbying Government representatives on any matters in which they have had official dealings as public servants over their last 12 months of employment.</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5.9 Outside employment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5.9.1 APS employees should consult their agency's policy when considering whether to engage in outside employment, including directorships of an organisation. Outside employment includes paid work, such as running a business, maintaining a professional practice, or acting as a tax agent, as well as unpaid work. Generally, employees are able to work outside the APS if it does not conflict with their official duties.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5.9.2 The main risk of engaging in outside employment is that it may create a real or apparent conflict of interest.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5.9.3 If an employee is inclined to accept an offer of outside employment they should notify their agency head, or a nominated person, so that the risks can be assessed. In deciding whether it is appropriate for an employee to engage in outside employment, a balance needs to be struck between the agency's interests and those of the employee. However, the overriding principle is the need to maintain public confidence in the integrity and administration of the APS.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lastRenderedPageBreak/>
        <w:t>5.9.4 Outside employment that would not otherwise be appropriate is not made acceptable by being undertaken during a period of leave, whether the leave is unpaid or paid and including annual/recreation and long service leave.</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5.9.5 The interests of an agency can never be the same as the interests of a company with which it is in contractual relations. Agencies may need to take steps to ensure that an APS employee does not become a director of such a company. Company directors have duties under the </w:t>
      </w:r>
      <w:r w:rsidRPr="002C4EEE">
        <w:rPr>
          <w:rFonts w:ascii="Segoe UI" w:eastAsia="Times New Roman" w:hAnsi="Segoe UI" w:cs="Segoe UI"/>
          <w:i/>
          <w:iCs/>
          <w:color w:val="000000"/>
        </w:rPr>
        <w:t>Corporations Act 2001</w:t>
      </w:r>
      <w:r w:rsidRPr="002C4EEE">
        <w:rPr>
          <w:rFonts w:ascii="Segoe UI" w:eastAsia="Times New Roman" w:hAnsi="Segoe UI" w:cs="Segoe UI"/>
          <w:color w:val="000000"/>
        </w:rPr>
        <w:t> that may conflict with an employee's obligations under the </w:t>
      </w:r>
      <w:r w:rsidRPr="002C4EEE">
        <w:rPr>
          <w:rFonts w:ascii="Segoe UI" w:eastAsia="Times New Roman" w:hAnsi="Segoe UI" w:cs="Segoe UI"/>
          <w:i/>
          <w:iCs/>
          <w:color w:val="000000"/>
        </w:rPr>
        <w:t>Public Service Act 1999</w:t>
      </w:r>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2C4EEE">
        <w:rPr>
          <w:rFonts w:ascii="Segoe UI" w:eastAsia="Times New Roman" w:hAnsi="Segoe UI" w:cs="Segoe UI"/>
          <w:b/>
          <w:bCs/>
          <w:color w:val="000000"/>
          <w:sz w:val="36"/>
          <w:szCs w:val="36"/>
        </w:rPr>
        <w:t>5.10 Post-separation employment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5.10.1 Many agencies have developed policies on identifying and managing the risks that arise from post-separation employment.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5.10.2 There are three key risks involved when an employee accepts employment in a field that is aligned to his or her APS responsibilities:</w:t>
      </w:r>
    </w:p>
    <w:p w:rsidR="002C4EEE" w:rsidRPr="002C4EEE" w:rsidRDefault="002C4EEE" w:rsidP="002C4EEE">
      <w:pPr>
        <w:numPr>
          <w:ilvl w:val="0"/>
          <w:numId w:val="10"/>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that the employee, while still employed in the APS, would use their position to influence decisions and advice in favour of the prospective new employer</w:t>
      </w:r>
    </w:p>
    <w:p w:rsidR="002C4EEE" w:rsidRPr="002C4EEE" w:rsidRDefault="002C4EEE" w:rsidP="002C4EEE">
      <w:pPr>
        <w:numPr>
          <w:ilvl w:val="0"/>
          <w:numId w:val="10"/>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that the former employee would reveal confidential Commonwealth information to their new employer or provide other information that would give the new employer an advantage in its business dealings</w:t>
      </w:r>
    </w:p>
    <w:p w:rsidR="002C4EEE" w:rsidRPr="002C4EEE" w:rsidRDefault="002C4EEE" w:rsidP="002C4EEE">
      <w:pPr>
        <w:numPr>
          <w:ilvl w:val="0"/>
          <w:numId w:val="10"/>
        </w:numPr>
        <w:shd w:val="clear" w:color="auto" w:fill="FFFFFF"/>
        <w:spacing w:before="100" w:beforeAutospacing="1" w:after="100" w:afterAutospacing="1" w:line="240" w:lineRule="auto"/>
        <w:rPr>
          <w:rFonts w:ascii="Segoe UI" w:eastAsia="Times New Roman" w:hAnsi="Segoe UI" w:cs="Segoe UI"/>
          <w:color w:val="000000"/>
        </w:rPr>
      </w:pPr>
      <w:proofErr w:type="gramStart"/>
      <w:r w:rsidRPr="002C4EEE">
        <w:rPr>
          <w:rFonts w:ascii="Segoe UI" w:eastAsia="Times New Roman" w:hAnsi="Segoe UI" w:cs="Segoe UI"/>
          <w:color w:val="000000"/>
        </w:rPr>
        <w:t>that</w:t>
      </w:r>
      <w:proofErr w:type="gramEnd"/>
      <w:r w:rsidRPr="002C4EEE">
        <w:rPr>
          <w:rFonts w:ascii="Segoe UI" w:eastAsia="Times New Roman" w:hAnsi="Segoe UI" w:cs="Segoe UI"/>
          <w:color w:val="000000"/>
        </w:rPr>
        <w:t xml:space="preserve"> the former employee would exploit their knowledge of the APS and other areas of the Commonwealth public sector and the Government to lobby, or otherwise seek advantage, for their new employer in dealing with the Commonwealth. There may be a perception that the former employee will have a greater ability to influence their former colleagues in their decision-making.</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Before leaving the APS—managing conflicts of interest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5.10.3 Employees are required to disclose any conflict of interest as it arises. Agencies are advised to ensure that their system for registering and monitoring these disclosures brings to the attention of the agency head any conflict that may arise when an employee intends to separate from the APS.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5.10.4 Even where an employee receives an offer of employment that they are not inclined to accept, an apparent conflict of interest may still arise, for example where an employee involved in a tender process is offered employment by a tenderer.</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5.10.5 On receiving advice of a conflict arising from an employee's intention to leave the APS, it would be good practice for the agency head, or a nominated person, to discuss with the employee steps to be taken to avoid or mitigate any conflict of interest while the employee is still employed in the APS. The steps may include:</w:t>
      </w:r>
    </w:p>
    <w:p w:rsidR="002C4EEE" w:rsidRPr="002C4EEE" w:rsidRDefault="002C4EEE" w:rsidP="002C4EEE">
      <w:pPr>
        <w:numPr>
          <w:ilvl w:val="0"/>
          <w:numId w:val="11"/>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re-allocation of the employee's duties</w:t>
      </w:r>
    </w:p>
    <w:p w:rsidR="002C4EEE" w:rsidRPr="002C4EEE" w:rsidRDefault="002C4EEE" w:rsidP="002C4EEE">
      <w:pPr>
        <w:numPr>
          <w:ilvl w:val="0"/>
          <w:numId w:val="11"/>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temporary movement of the employee to a different work area</w:t>
      </w:r>
    </w:p>
    <w:p w:rsidR="002C4EEE" w:rsidRPr="002C4EEE" w:rsidRDefault="002C4EEE" w:rsidP="002C4EEE">
      <w:pPr>
        <w:numPr>
          <w:ilvl w:val="0"/>
          <w:numId w:val="11"/>
        </w:numPr>
        <w:shd w:val="clear" w:color="auto" w:fill="FFFFFF"/>
        <w:spacing w:before="100" w:beforeAutospacing="1" w:after="100" w:afterAutospacing="1" w:line="240" w:lineRule="auto"/>
        <w:rPr>
          <w:rFonts w:ascii="Segoe UI" w:eastAsia="Times New Roman" w:hAnsi="Segoe UI" w:cs="Segoe UI"/>
          <w:color w:val="000000"/>
        </w:rPr>
      </w:pPr>
      <w:proofErr w:type="gramStart"/>
      <w:r w:rsidRPr="002C4EEE">
        <w:rPr>
          <w:rFonts w:ascii="Segoe UI" w:eastAsia="Times New Roman" w:hAnsi="Segoe UI" w:cs="Segoe UI"/>
          <w:color w:val="000000"/>
        </w:rPr>
        <w:lastRenderedPageBreak/>
        <w:t>taking</w:t>
      </w:r>
      <w:proofErr w:type="gramEnd"/>
      <w:r w:rsidRPr="002C4EEE">
        <w:rPr>
          <w:rFonts w:ascii="Segoe UI" w:eastAsia="Times New Roman" w:hAnsi="Segoe UI" w:cs="Segoe UI"/>
          <w:color w:val="000000"/>
        </w:rPr>
        <w:t xml:space="preserve"> leave until the new appointment commences.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5.10.6 Agency heads should likewise consider appropriate steps to manage any conflicts if they themselves are offered employment outside the APS which they are inclined to accept. The nature and timing of steps they need to take will depend on the circumstances of the case. However, no later than the point at which an agency head is inclined to accept an offer, they should inform the Secretary of the Department of the Prime Minister and Cabinet, the Australian Public Service Commissioner and the Minister about their intentions and any conflict of interest arising as a result. They should also outline the steps they are taking to mitigate the risks.</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Protecting the interests of the Commonwealth</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5.10.7 There are clear provisions under law that protect the disclosure and use of official information after an employee has left the APS. See Section 4: </w:t>
      </w:r>
      <w:r w:rsidRPr="002C4EEE">
        <w:rPr>
          <w:rFonts w:ascii="Segoe UI" w:eastAsia="Times New Roman" w:hAnsi="Segoe UI" w:cs="Segoe UI"/>
          <w:i/>
          <w:iCs/>
          <w:color w:val="000000"/>
        </w:rPr>
        <w:t>Managing information</w:t>
      </w:r>
      <w:r w:rsidRPr="002C4EEE">
        <w:rPr>
          <w:rFonts w:ascii="Segoe UI" w:eastAsia="Times New Roman" w:hAnsi="Segoe UI" w:cs="Segoe UI"/>
          <w:color w:val="000000"/>
        </w:rPr>
        <w:t> for more information.</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5.10.8 Agency heads may wish to restrict the actions of former employees in other ways. There are no legislative provisions which allow the Commonwealth to impose general post-separation employment restrictions on former employees. However, policy can operate to restrict the dealings of current employees with their former colleagues.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5.10.9 A restraint clause can be included in an employee's contract of employment, where an employee may agree not to work for certain employers, or establish certain types of businesses, for a period of time after they leave the APS. For such an agreement to be enforceable it would need to be 'reasonable' in terms of the interests of the parties and the interests of the public. Any such agreement must also comply with the competition provisions of the </w:t>
      </w:r>
      <w:r w:rsidRPr="002C4EEE">
        <w:rPr>
          <w:rFonts w:ascii="Segoe UI" w:eastAsia="Times New Roman" w:hAnsi="Segoe UI" w:cs="Segoe UI"/>
          <w:i/>
          <w:iCs/>
          <w:color w:val="000000"/>
        </w:rPr>
        <w:t>Competition and Consumer Act 2010</w:t>
      </w:r>
      <w:r w:rsidRPr="002C4EEE">
        <w:rPr>
          <w:rFonts w:ascii="Segoe UI" w:eastAsia="Times New Roman" w:hAnsi="Segoe UI" w:cs="Segoe UI"/>
          <w:color w:val="000000"/>
        </w:rPr>
        <w:t>.</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 xml:space="preserve">5.10.10 </w:t>
      </w:r>
      <w:proofErr w:type="gramStart"/>
      <w:r w:rsidRPr="002C4EEE">
        <w:rPr>
          <w:rFonts w:ascii="Segoe UI" w:eastAsia="Times New Roman" w:hAnsi="Segoe UI" w:cs="Segoe UI"/>
          <w:color w:val="000000"/>
        </w:rPr>
        <w:t>It</w:t>
      </w:r>
      <w:proofErr w:type="gramEnd"/>
      <w:r w:rsidRPr="002C4EEE">
        <w:rPr>
          <w:rFonts w:ascii="Segoe UI" w:eastAsia="Times New Roman" w:hAnsi="Segoe UI" w:cs="Segoe UI"/>
          <w:color w:val="000000"/>
        </w:rPr>
        <w:t xml:space="preserve"> may also be appropriate to include provisions in contracts with successful tenderers to restrict the employment of APS employees who managed the tender process. Restrictions may apply during and after the tender process. Similar provisions may be included in requests for tender to preclude the solicitation, enticement or engagement of particular employees during the process.</w:t>
      </w:r>
    </w:p>
    <w:p w:rsidR="002C4EEE" w:rsidRPr="002C4EEE" w:rsidRDefault="002C4EEE" w:rsidP="002C4EEE">
      <w:p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5.10.11 Agency heads may put in place broad policy guidelines which include, for example, suggested periods of time that an employee should wait after leaving the APS before they work in business areas that have direct contact with their former agency. Some agencies, such as the Department of Defence, have developed common understandings of ethical behaviour with relevant industry associations to help promote the acceptance of agency guidelines. These arrangements are not enforceable, and depend on the goodwill of parties and their perceptions of mutual benefit.</w:t>
      </w:r>
    </w:p>
    <w:p w:rsidR="002C4EEE" w:rsidRPr="002C4EEE" w:rsidRDefault="002C4EEE" w:rsidP="002C4EEE">
      <w:pPr>
        <w:shd w:val="clear" w:color="auto" w:fill="FFFFFF"/>
        <w:spacing w:before="100" w:beforeAutospacing="1" w:after="100" w:afterAutospacing="1" w:line="240" w:lineRule="auto"/>
        <w:outlineLvl w:val="3"/>
        <w:rPr>
          <w:rFonts w:ascii="Segoe UI" w:eastAsia="Times New Roman" w:hAnsi="Segoe UI" w:cs="Segoe UI"/>
          <w:b/>
          <w:bCs/>
          <w:color w:val="000000"/>
        </w:rPr>
      </w:pPr>
      <w:r w:rsidRPr="002C4EEE">
        <w:rPr>
          <w:rFonts w:ascii="Segoe UI" w:eastAsia="Times New Roman" w:hAnsi="Segoe UI" w:cs="Segoe UI"/>
          <w:b/>
          <w:bCs/>
          <w:color w:val="000000"/>
        </w:rPr>
        <w:t>Agency policies and procedures</w:t>
      </w:r>
    </w:p>
    <w:p w:rsidR="002C4EEE" w:rsidRPr="002C4EEE" w:rsidRDefault="002C4EEE" w:rsidP="002C4EEE">
      <w:pPr>
        <w:numPr>
          <w:ilvl w:val="0"/>
          <w:numId w:val="12"/>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Agency policy and guidance on identifying and managing conflicts of interest needs to be tailored to reflect the agency's key business risks.</w:t>
      </w:r>
    </w:p>
    <w:p w:rsidR="002C4EEE" w:rsidRPr="002C4EEE" w:rsidRDefault="002C4EEE" w:rsidP="002C4EEE">
      <w:pPr>
        <w:numPr>
          <w:ilvl w:val="0"/>
          <w:numId w:val="12"/>
        </w:num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A template for mandatory SES </w:t>
      </w:r>
      <w:hyperlink r:id="rId31" w:history="1">
        <w:r w:rsidRPr="002C4EEE">
          <w:rPr>
            <w:rFonts w:ascii="Segoe UI" w:eastAsia="Times New Roman" w:hAnsi="Segoe UI" w:cs="Segoe UI"/>
            <w:color w:val="007099"/>
            <w:u w:val="single"/>
          </w:rPr>
          <w:t>conflict of interests declarations</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xml:space="preserve"> is available for agencies to use, and may be adapted to meet particular requirements and for use in other </w:t>
      </w:r>
      <w:r w:rsidRPr="002C4EEE">
        <w:rPr>
          <w:rFonts w:ascii="Segoe UI" w:eastAsia="Times New Roman" w:hAnsi="Segoe UI" w:cs="Segoe UI"/>
          <w:color w:val="000000"/>
        </w:rPr>
        <w:lastRenderedPageBreak/>
        <w:t>situations. The template contains a consent form for immediate family members if disclosure of their interests is considered necessary.</w:t>
      </w:r>
    </w:p>
    <w:p w:rsidR="002C4EEE" w:rsidRPr="002C4EEE" w:rsidRDefault="002C4EEE" w:rsidP="002C4EEE">
      <w:pPr>
        <w:numPr>
          <w:ilvl w:val="0"/>
          <w:numId w:val="12"/>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Agencies are advised to set out clearly in their policies the circumstances in which a gift or benefit may be accepted and retained by an employee, or how it might otherwise be dealt with.</w:t>
      </w:r>
    </w:p>
    <w:p w:rsidR="002C4EEE" w:rsidRPr="002C4EEE" w:rsidRDefault="002C4EEE" w:rsidP="002C4EEE">
      <w:pPr>
        <w:numPr>
          <w:ilvl w:val="0"/>
          <w:numId w:val="12"/>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Agencies are encouraged to establish procedures to alert grant assessors to the need to identify, disclose and avoid or manage the conflicts of interest that are inherent in the grant selection process.</w:t>
      </w:r>
    </w:p>
    <w:p w:rsidR="002C4EEE" w:rsidRPr="002C4EEE" w:rsidRDefault="002C4EEE" w:rsidP="002C4EEE">
      <w:pPr>
        <w:numPr>
          <w:ilvl w:val="0"/>
          <w:numId w:val="12"/>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It may be useful to develop strategies and plans to assist employees working with contractors to identify and disclose any conflicts of interest.</w:t>
      </w:r>
    </w:p>
    <w:p w:rsidR="002C4EEE" w:rsidRPr="002C4EEE" w:rsidRDefault="002C4EEE" w:rsidP="002C4EEE">
      <w:pPr>
        <w:numPr>
          <w:ilvl w:val="0"/>
          <w:numId w:val="12"/>
        </w:numPr>
        <w:shd w:val="clear" w:color="auto" w:fill="FFFFFF"/>
        <w:spacing w:before="100" w:beforeAutospacing="1" w:after="100" w:afterAutospacing="1" w:line="240" w:lineRule="auto"/>
        <w:rPr>
          <w:rFonts w:ascii="Segoe UI" w:eastAsia="Times New Roman" w:hAnsi="Segoe UI" w:cs="Segoe UI"/>
          <w:color w:val="000000"/>
        </w:rPr>
      </w:pPr>
      <w:r w:rsidRPr="002C4EEE">
        <w:rPr>
          <w:rFonts w:ascii="Segoe UI" w:eastAsia="Times New Roman" w:hAnsi="Segoe UI" w:cs="Segoe UI"/>
          <w:color w:val="000000"/>
        </w:rPr>
        <w:t>It is good practice for agencies to inform suppliers and contractors about their conflict of interest policies so that they can avoid making inappropriate offers.</w:t>
      </w:r>
    </w:p>
    <w:p w:rsidR="002C4EEE" w:rsidRPr="002C4EEE" w:rsidRDefault="002C4EEE" w:rsidP="002C4EEE">
      <w:pPr>
        <w:numPr>
          <w:ilvl w:val="0"/>
          <w:numId w:val="12"/>
        </w:numPr>
        <w:shd w:val="clear" w:color="auto" w:fill="FFFFFF"/>
        <w:spacing w:beforeAutospacing="1" w:after="0" w:afterAutospacing="1" w:line="240" w:lineRule="auto"/>
        <w:rPr>
          <w:rFonts w:ascii="Segoe UI" w:eastAsia="Times New Roman" w:hAnsi="Segoe UI" w:cs="Segoe UI"/>
          <w:color w:val="000000"/>
        </w:rPr>
      </w:pPr>
      <w:r w:rsidRPr="002C4EEE">
        <w:rPr>
          <w:rFonts w:ascii="Segoe UI" w:eastAsia="Times New Roman" w:hAnsi="Segoe UI" w:cs="Segoe UI"/>
          <w:color w:val="000000"/>
        </w:rPr>
        <w:t>Agencies are expected to ensure that employees are aware of the </w:t>
      </w:r>
      <w:hyperlink r:id="rId32" w:history="1">
        <w:r w:rsidRPr="002C4EEE">
          <w:rPr>
            <w:rFonts w:ascii="Segoe UI" w:eastAsia="Times New Roman" w:hAnsi="Segoe UI" w:cs="Segoe UI"/>
            <w:color w:val="007099"/>
            <w:u w:val="single"/>
          </w:rPr>
          <w:t>Lobbying Code</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and their obligations in dealing with lobbyists.</w:t>
      </w:r>
    </w:p>
    <w:p w:rsidR="002C4EEE" w:rsidRPr="002C4EEE" w:rsidRDefault="002C4EEE" w:rsidP="002C4EEE">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rPr>
      </w:pPr>
      <w:r w:rsidRPr="002C4EEE">
        <w:rPr>
          <w:rFonts w:ascii="Segoe UI" w:eastAsia="Times New Roman" w:hAnsi="Segoe UI" w:cs="Segoe UI"/>
          <w:b/>
          <w:bCs/>
          <w:color w:val="000000"/>
          <w:sz w:val="27"/>
          <w:szCs w:val="27"/>
        </w:rPr>
        <w:t>Footnotes</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hyperlink r:id="rId33" w:anchor="_ednref16" w:history="1">
        <w:r w:rsidRPr="002C4EEE">
          <w:rPr>
            <w:rFonts w:ascii="Segoe UI" w:eastAsia="Times New Roman" w:hAnsi="Segoe UI" w:cs="Segoe UI"/>
            <w:color w:val="007099"/>
            <w:u w:val="single"/>
          </w:rPr>
          <w:t>[16] </w:t>
        </w:r>
        <w:r w:rsidRPr="002C4EEE">
          <w:rPr>
            <w:rFonts w:ascii="Segoe UI" w:eastAsia="Times New Roman" w:hAnsi="Segoe UI" w:cs="Segoe UI"/>
            <w:color w:val="007099"/>
            <w:u w:val="single"/>
            <w:bdr w:val="none" w:sz="0" w:space="0" w:color="auto" w:frame="1"/>
          </w:rPr>
          <w:t xml:space="preserve">- external </w:t>
        </w:r>
        <w:proofErr w:type="spellStart"/>
        <w:r w:rsidRPr="002C4EEE">
          <w:rPr>
            <w:rFonts w:ascii="Segoe UI" w:eastAsia="Times New Roman" w:hAnsi="Segoe UI" w:cs="Segoe UI"/>
            <w:color w:val="007099"/>
            <w:u w:val="single"/>
            <w:bdr w:val="none" w:sz="0" w:space="0" w:color="auto" w:frame="1"/>
          </w:rPr>
          <w:t>site</w:t>
        </w:r>
      </w:hyperlink>
      <w:r w:rsidRPr="002C4EEE">
        <w:rPr>
          <w:rFonts w:ascii="Segoe UI" w:eastAsia="Times New Roman" w:hAnsi="Segoe UI" w:cs="Segoe UI"/>
          <w:color w:val="000000"/>
        </w:rPr>
        <w:t>See</w:t>
      </w:r>
      <w:proofErr w:type="spellEnd"/>
      <w:r w:rsidRPr="002C4EEE">
        <w:rPr>
          <w:rFonts w:ascii="Segoe UI" w:eastAsia="Times New Roman" w:hAnsi="Segoe UI" w:cs="Segoe UI"/>
          <w:color w:val="000000"/>
        </w:rPr>
        <w:t> </w:t>
      </w:r>
      <w:hyperlink r:id="rId34" w:history="1">
        <w:r w:rsidRPr="002C4EEE">
          <w:rPr>
            <w:rFonts w:ascii="Segoe UI" w:eastAsia="Times New Roman" w:hAnsi="Segoe UI" w:cs="Segoe UI"/>
            <w:color w:val="007099"/>
            <w:u w:val="single"/>
          </w:rPr>
          <w:t>Resource Management Guide No. 203: General Duties of Officials</w:t>
        </w:r>
        <w:r w:rsidRPr="002C4EEE">
          <w:rPr>
            <w:rFonts w:ascii="Segoe UI" w:eastAsia="Times New Roman" w:hAnsi="Segoe UI" w:cs="Segoe UI"/>
            <w:color w:val="007099"/>
            <w:u w:val="single"/>
            <w:bdr w:val="none" w:sz="0" w:space="0" w:color="auto" w:frame="1"/>
          </w:rPr>
          <w:t>- external site</w:t>
        </w:r>
      </w:hyperlink>
      <w:r w:rsidRPr="002C4EEE">
        <w:rPr>
          <w:rFonts w:ascii="Segoe UI" w:eastAsia="Times New Roman" w:hAnsi="Segoe UI" w:cs="Segoe UI"/>
          <w:color w:val="000000"/>
        </w:rPr>
        <w:t>, paragraph 49, for further information.</w:t>
      </w:r>
    </w:p>
    <w:p w:rsidR="002C4EEE" w:rsidRPr="002C4EEE" w:rsidRDefault="002C4EEE" w:rsidP="002C4EEE">
      <w:pPr>
        <w:shd w:val="clear" w:color="auto" w:fill="FFFFFF"/>
        <w:spacing w:beforeAutospacing="1" w:after="0" w:afterAutospacing="1" w:line="240" w:lineRule="auto"/>
        <w:rPr>
          <w:rFonts w:ascii="Segoe UI" w:eastAsia="Times New Roman" w:hAnsi="Segoe UI" w:cs="Segoe UI"/>
          <w:color w:val="000000"/>
        </w:rPr>
      </w:pPr>
      <w:hyperlink r:id="rId35" w:anchor="_ednref17" w:history="1">
        <w:r w:rsidRPr="002C4EEE">
          <w:rPr>
            <w:rFonts w:ascii="Segoe UI" w:eastAsia="Times New Roman" w:hAnsi="Segoe UI" w:cs="Segoe UI"/>
            <w:color w:val="007099"/>
            <w:u w:val="single"/>
          </w:rPr>
          <w:t>[17] </w:t>
        </w:r>
        <w:r w:rsidRPr="002C4EEE">
          <w:rPr>
            <w:rFonts w:ascii="Segoe UI" w:eastAsia="Times New Roman" w:hAnsi="Segoe UI" w:cs="Segoe UI"/>
            <w:color w:val="007099"/>
            <w:u w:val="single"/>
            <w:bdr w:val="none" w:sz="0" w:space="0" w:color="auto" w:frame="1"/>
          </w:rPr>
          <w:t xml:space="preserve">- external </w:t>
        </w:r>
        <w:proofErr w:type="spellStart"/>
        <w:r w:rsidRPr="002C4EEE">
          <w:rPr>
            <w:rFonts w:ascii="Segoe UI" w:eastAsia="Times New Roman" w:hAnsi="Segoe UI" w:cs="Segoe UI"/>
            <w:color w:val="007099"/>
            <w:u w:val="single"/>
            <w:bdr w:val="none" w:sz="0" w:space="0" w:color="auto" w:frame="1"/>
          </w:rPr>
          <w:t>site</w:t>
        </w:r>
      </w:hyperlink>
      <w:r w:rsidRPr="002C4EEE">
        <w:rPr>
          <w:rFonts w:ascii="Segoe UI" w:eastAsia="Times New Roman" w:hAnsi="Segoe UI" w:cs="Segoe UI"/>
          <w:color w:val="000000"/>
        </w:rPr>
        <w:t>Adapted</w:t>
      </w:r>
      <w:proofErr w:type="spellEnd"/>
      <w:r w:rsidRPr="002C4EEE">
        <w:rPr>
          <w:rFonts w:ascii="Segoe UI" w:eastAsia="Times New Roman" w:hAnsi="Segoe UI" w:cs="Segoe UI"/>
          <w:color w:val="000000"/>
        </w:rPr>
        <w:t xml:space="preserve"> from </w:t>
      </w:r>
      <w:r w:rsidRPr="002C4EEE">
        <w:rPr>
          <w:rFonts w:ascii="Segoe UI" w:eastAsia="Times New Roman" w:hAnsi="Segoe UI" w:cs="Segoe UI"/>
          <w:i/>
          <w:iCs/>
          <w:color w:val="000000"/>
        </w:rPr>
        <w:t>Victorian Public Service, Managing Conflicts of Interest: A guide to policy development and implementation</w:t>
      </w:r>
      <w:r w:rsidRPr="002C4EEE">
        <w:rPr>
          <w:rFonts w:ascii="Segoe UI" w:eastAsia="Times New Roman" w:hAnsi="Segoe UI" w:cs="Segoe UI"/>
          <w:color w:val="000000"/>
        </w:rPr>
        <w:t>, October 2014, p 5.</w:t>
      </w:r>
    </w:p>
    <w:p w:rsidR="0067749D" w:rsidRDefault="0067749D"/>
    <w:sectPr w:rsidR="0067749D" w:rsidSect="002C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10C"/>
    <w:multiLevelType w:val="multilevel"/>
    <w:tmpl w:val="F23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3351"/>
    <w:multiLevelType w:val="multilevel"/>
    <w:tmpl w:val="CA2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7B25"/>
    <w:multiLevelType w:val="multilevel"/>
    <w:tmpl w:val="20F2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E0963"/>
    <w:multiLevelType w:val="multilevel"/>
    <w:tmpl w:val="8CAE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93CF3"/>
    <w:multiLevelType w:val="multilevel"/>
    <w:tmpl w:val="E176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E11BD"/>
    <w:multiLevelType w:val="multilevel"/>
    <w:tmpl w:val="5CAA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976C10"/>
    <w:multiLevelType w:val="multilevel"/>
    <w:tmpl w:val="E0D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72DCB"/>
    <w:multiLevelType w:val="multilevel"/>
    <w:tmpl w:val="13A4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3538B"/>
    <w:multiLevelType w:val="multilevel"/>
    <w:tmpl w:val="6AA6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34C37"/>
    <w:multiLevelType w:val="multilevel"/>
    <w:tmpl w:val="18A0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65105"/>
    <w:multiLevelType w:val="multilevel"/>
    <w:tmpl w:val="C47C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D1B44"/>
    <w:multiLevelType w:val="multilevel"/>
    <w:tmpl w:val="873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
  </w:num>
  <w:num w:numId="4">
    <w:abstractNumId w:val="0"/>
  </w:num>
  <w:num w:numId="5">
    <w:abstractNumId w:val="7"/>
  </w:num>
  <w:num w:numId="6">
    <w:abstractNumId w:val="9"/>
  </w:num>
  <w:num w:numId="7">
    <w:abstractNumId w:val="4"/>
  </w:num>
  <w:num w:numId="8">
    <w:abstractNumId w:val="3"/>
  </w:num>
  <w:num w:numId="9">
    <w:abstractNumId w:val="5"/>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E"/>
    <w:rsid w:val="002C4EEE"/>
    <w:rsid w:val="0067749D"/>
    <w:rsid w:val="00744012"/>
    <w:rsid w:val="009079ED"/>
    <w:rsid w:val="00A94D17"/>
    <w:rsid w:val="00C5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8BE6-C717-44A1-A522-6D265431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EE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C4EE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C4EE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2C4EEE"/>
    <w:pPr>
      <w:spacing w:before="100" w:beforeAutospacing="1" w:after="100" w:afterAutospacing="1" w:line="240" w:lineRule="auto"/>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EEE"/>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C4EE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2C4EEE"/>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C4EEE"/>
    <w:rPr>
      <w:rFonts w:ascii="Times New Roman" w:eastAsia="Times New Roman" w:hAnsi="Times New Roman"/>
      <w:b/>
      <w:bCs/>
    </w:rPr>
  </w:style>
  <w:style w:type="character" w:customStyle="1" w:styleId="share-text">
    <w:name w:val="share-text"/>
    <w:basedOn w:val="DefaultParagraphFont"/>
    <w:rsid w:val="002C4EEE"/>
  </w:style>
  <w:style w:type="character" w:styleId="Hyperlink">
    <w:name w:val="Hyperlink"/>
    <w:basedOn w:val="DefaultParagraphFont"/>
    <w:uiPriority w:val="99"/>
    <w:unhideWhenUsed/>
    <w:rsid w:val="002C4EEE"/>
    <w:rPr>
      <w:color w:val="0000FF"/>
      <w:u w:val="single"/>
    </w:rPr>
  </w:style>
  <w:style w:type="paragraph" w:styleId="NormalWeb">
    <w:name w:val="Normal (Web)"/>
    <w:basedOn w:val="Normal"/>
    <w:uiPriority w:val="99"/>
    <w:semiHidden/>
    <w:unhideWhenUsed/>
    <w:rsid w:val="002C4EEE"/>
    <w:pPr>
      <w:spacing w:before="100" w:beforeAutospacing="1" w:after="100" w:afterAutospacing="1" w:line="240" w:lineRule="auto"/>
    </w:pPr>
    <w:rPr>
      <w:rFonts w:ascii="Times New Roman" w:eastAsia="Times New Roman" w:hAnsi="Times New Roman"/>
    </w:rPr>
  </w:style>
  <w:style w:type="character" w:styleId="Emphasis">
    <w:name w:val="Emphasis"/>
    <w:basedOn w:val="DefaultParagraphFont"/>
    <w:uiPriority w:val="20"/>
    <w:qFormat/>
    <w:rsid w:val="002C4EEE"/>
    <w:rPr>
      <w:i/>
      <w:iCs/>
    </w:rPr>
  </w:style>
  <w:style w:type="character" w:customStyle="1" w:styleId="sr-only">
    <w:name w:val="sr-only"/>
    <w:basedOn w:val="DefaultParagraphFont"/>
    <w:rsid w:val="002C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7569">
      <w:bodyDiv w:val="1"/>
      <w:marLeft w:val="0"/>
      <w:marRight w:val="0"/>
      <w:marTop w:val="0"/>
      <w:marBottom w:val="0"/>
      <w:divBdr>
        <w:top w:val="none" w:sz="0" w:space="0" w:color="auto"/>
        <w:left w:val="none" w:sz="0" w:space="0" w:color="auto"/>
        <w:bottom w:val="none" w:sz="0" w:space="0" w:color="auto"/>
        <w:right w:val="none" w:sz="0" w:space="0" w:color="auto"/>
      </w:divBdr>
      <w:divsChild>
        <w:div w:id="151332986">
          <w:marLeft w:val="0"/>
          <w:marRight w:val="0"/>
          <w:marTop w:val="0"/>
          <w:marBottom w:val="0"/>
          <w:divBdr>
            <w:top w:val="none" w:sz="0" w:space="0" w:color="auto"/>
            <w:left w:val="none" w:sz="0" w:space="0" w:color="auto"/>
            <w:bottom w:val="none" w:sz="0" w:space="0" w:color="auto"/>
            <w:right w:val="none" w:sz="0" w:space="0" w:color="auto"/>
          </w:divBdr>
          <w:divsChild>
            <w:div w:id="1322925527">
              <w:marLeft w:val="0"/>
              <w:marRight w:val="0"/>
              <w:marTop w:val="0"/>
              <w:marBottom w:val="0"/>
              <w:divBdr>
                <w:top w:val="none" w:sz="0" w:space="0" w:color="auto"/>
                <w:left w:val="none" w:sz="0" w:space="0" w:color="auto"/>
                <w:bottom w:val="none" w:sz="0" w:space="0" w:color="auto"/>
                <w:right w:val="none" w:sz="0" w:space="0" w:color="auto"/>
              </w:divBdr>
              <w:divsChild>
                <w:div w:id="871960289">
                  <w:marLeft w:val="-180"/>
                  <w:marRight w:val="-180"/>
                  <w:marTop w:val="0"/>
                  <w:marBottom w:val="0"/>
                  <w:divBdr>
                    <w:top w:val="none" w:sz="0" w:space="0" w:color="auto"/>
                    <w:left w:val="none" w:sz="0" w:space="0" w:color="auto"/>
                    <w:bottom w:val="none" w:sz="0" w:space="0" w:color="auto"/>
                    <w:right w:val="none" w:sz="0" w:space="0" w:color="auto"/>
                  </w:divBdr>
                  <w:divsChild>
                    <w:div w:id="1177186003">
                      <w:marLeft w:val="0"/>
                      <w:marRight w:val="0"/>
                      <w:marTop w:val="0"/>
                      <w:marBottom w:val="0"/>
                      <w:divBdr>
                        <w:top w:val="none" w:sz="0" w:space="0" w:color="auto"/>
                        <w:left w:val="none" w:sz="0" w:space="0" w:color="auto"/>
                        <w:bottom w:val="none" w:sz="0" w:space="0" w:color="auto"/>
                        <w:right w:val="none" w:sz="0" w:space="0" w:color="auto"/>
                      </w:divBdr>
                      <w:divsChild>
                        <w:div w:id="850222622">
                          <w:marLeft w:val="0"/>
                          <w:marRight w:val="0"/>
                          <w:marTop w:val="0"/>
                          <w:marBottom w:val="0"/>
                          <w:divBdr>
                            <w:top w:val="none" w:sz="0" w:space="0" w:color="auto"/>
                            <w:left w:val="none" w:sz="0" w:space="0" w:color="auto"/>
                            <w:bottom w:val="none" w:sz="0" w:space="0" w:color="auto"/>
                            <w:right w:val="none" w:sz="0" w:space="0" w:color="auto"/>
                          </w:divBdr>
                          <w:divsChild>
                            <w:div w:id="16208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52656">
          <w:marLeft w:val="0"/>
          <w:marRight w:val="0"/>
          <w:marTop w:val="0"/>
          <w:marBottom w:val="0"/>
          <w:divBdr>
            <w:top w:val="none" w:sz="0" w:space="0" w:color="auto"/>
            <w:left w:val="none" w:sz="0" w:space="0" w:color="auto"/>
            <w:bottom w:val="none" w:sz="0" w:space="0" w:color="auto"/>
            <w:right w:val="none" w:sz="0" w:space="0" w:color="auto"/>
          </w:divBdr>
          <w:divsChild>
            <w:div w:id="1667901452">
              <w:marLeft w:val="0"/>
              <w:marRight w:val="0"/>
              <w:marTop w:val="0"/>
              <w:marBottom w:val="0"/>
              <w:divBdr>
                <w:top w:val="none" w:sz="0" w:space="0" w:color="auto"/>
                <w:left w:val="none" w:sz="0" w:space="0" w:color="auto"/>
                <w:bottom w:val="none" w:sz="0" w:space="0" w:color="auto"/>
                <w:right w:val="none" w:sz="0" w:space="0" w:color="auto"/>
              </w:divBdr>
              <w:divsChild>
                <w:div w:id="660307849">
                  <w:marLeft w:val="0"/>
                  <w:marRight w:val="0"/>
                  <w:marTop w:val="0"/>
                  <w:marBottom w:val="0"/>
                  <w:divBdr>
                    <w:top w:val="none" w:sz="0" w:space="0" w:color="auto"/>
                    <w:left w:val="none" w:sz="0" w:space="0" w:color="auto"/>
                    <w:bottom w:val="none" w:sz="0" w:space="0" w:color="auto"/>
                    <w:right w:val="none" w:sz="0" w:space="0" w:color="auto"/>
                  </w:divBdr>
                  <w:divsChild>
                    <w:div w:id="397676222">
                      <w:marLeft w:val="0"/>
                      <w:marRight w:val="0"/>
                      <w:marTop w:val="0"/>
                      <w:marBottom w:val="0"/>
                      <w:divBdr>
                        <w:top w:val="none" w:sz="0" w:space="0" w:color="auto"/>
                        <w:left w:val="none" w:sz="0" w:space="0" w:color="auto"/>
                        <w:bottom w:val="none" w:sz="0" w:space="0" w:color="auto"/>
                        <w:right w:val="none" w:sz="0" w:space="0" w:color="auto"/>
                      </w:divBdr>
                      <w:divsChild>
                        <w:div w:id="415128733">
                          <w:marLeft w:val="0"/>
                          <w:marRight w:val="0"/>
                          <w:marTop w:val="0"/>
                          <w:marBottom w:val="0"/>
                          <w:divBdr>
                            <w:top w:val="none" w:sz="0" w:space="0" w:color="auto"/>
                            <w:left w:val="none" w:sz="0" w:space="0" w:color="auto"/>
                            <w:bottom w:val="none" w:sz="0" w:space="0" w:color="auto"/>
                            <w:right w:val="none" w:sz="0" w:space="0" w:color="auto"/>
                          </w:divBdr>
                          <w:divsChild>
                            <w:div w:id="229851631">
                              <w:marLeft w:val="0"/>
                              <w:marRight w:val="0"/>
                              <w:marTop w:val="0"/>
                              <w:marBottom w:val="0"/>
                              <w:divBdr>
                                <w:top w:val="none" w:sz="0" w:space="0" w:color="auto"/>
                                <w:left w:val="none" w:sz="0" w:space="0" w:color="auto"/>
                                <w:bottom w:val="none" w:sz="0" w:space="0" w:color="auto"/>
                                <w:right w:val="none" w:sz="0" w:space="0" w:color="auto"/>
                              </w:divBdr>
                              <w:divsChild>
                                <w:div w:id="1735661068">
                                  <w:marLeft w:val="0"/>
                                  <w:marRight w:val="0"/>
                                  <w:marTop w:val="0"/>
                                  <w:marBottom w:val="0"/>
                                  <w:divBdr>
                                    <w:top w:val="none" w:sz="0" w:space="0" w:color="auto"/>
                                    <w:left w:val="none" w:sz="0" w:space="0" w:color="auto"/>
                                    <w:bottom w:val="none" w:sz="0" w:space="0" w:color="auto"/>
                                    <w:right w:val="none" w:sz="0" w:space="0" w:color="auto"/>
                                  </w:divBdr>
                                </w:div>
                                <w:div w:id="16035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26162">
          <w:marLeft w:val="0"/>
          <w:marRight w:val="0"/>
          <w:marTop w:val="0"/>
          <w:marBottom w:val="0"/>
          <w:divBdr>
            <w:top w:val="none" w:sz="0" w:space="0" w:color="auto"/>
            <w:left w:val="none" w:sz="0" w:space="0" w:color="auto"/>
            <w:bottom w:val="none" w:sz="0" w:space="0" w:color="auto"/>
            <w:right w:val="none" w:sz="0" w:space="0" w:color="auto"/>
          </w:divBdr>
          <w:divsChild>
            <w:div w:id="485978702">
              <w:marLeft w:val="0"/>
              <w:marRight w:val="0"/>
              <w:marTop w:val="0"/>
              <w:marBottom w:val="0"/>
              <w:divBdr>
                <w:top w:val="none" w:sz="0" w:space="0" w:color="auto"/>
                <w:left w:val="none" w:sz="0" w:space="0" w:color="auto"/>
                <w:bottom w:val="none" w:sz="0" w:space="0" w:color="auto"/>
                <w:right w:val="none" w:sz="0" w:space="0" w:color="auto"/>
              </w:divBdr>
              <w:divsChild>
                <w:div w:id="674264256">
                  <w:marLeft w:val="0"/>
                  <w:marRight w:val="0"/>
                  <w:marTop w:val="0"/>
                  <w:marBottom w:val="0"/>
                  <w:divBdr>
                    <w:top w:val="none" w:sz="0" w:space="0" w:color="auto"/>
                    <w:left w:val="none" w:sz="0" w:space="0" w:color="auto"/>
                    <w:bottom w:val="none" w:sz="0" w:space="0" w:color="auto"/>
                    <w:right w:val="none" w:sz="0" w:space="0" w:color="auto"/>
                  </w:divBdr>
                  <w:divsChild>
                    <w:div w:id="1668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817">
              <w:marLeft w:val="0"/>
              <w:marRight w:val="0"/>
              <w:marTop w:val="0"/>
              <w:marBottom w:val="0"/>
              <w:divBdr>
                <w:top w:val="none" w:sz="0" w:space="0" w:color="auto"/>
                <w:left w:val="none" w:sz="0" w:space="0" w:color="auto"/>
                <w:bottom w:val="none" w:sz="0" w:space="0" w:color="auto"/>
                <w:right w:val="none" w:sz="0" w:space="0" w:color="auto"/>
              </w:divBdr>
              <w:divsChild>
                <w:div w:id="1177619507">
                  <w:marLeft w:val="0"/>
                  <w:marRight w:val="0"/>
                  <w:marTop w:val="0"/>
                  <w:marBottom w:val="0"/>
                  <w:divBdr>
                    <w:top w:val="none" w:sz="0" w:space="0" w:color="auto"/>
                    <w:left w:val="none" w:sz="0" w:space="0" w:color="auto"/>
                    <w:bottom w:val="none" w:sz="0" w:space="0" w:color="auto"/>
                    <w:right w:val="none" w:sz="0" w:space="0" w:color="auto"/>
                  </w:divBdr>
                  <w:divsChild>
                    <w:div w:id="569928827">
                      <w:marLeft w:val="0"/>
                      <w:marRight w:val="0"/>
                      <w:marTop w:val="0"/>
                      <w:marBottom w:val="0"/>
                      <w:divBdr>
                        <w:top w:val="none" w:sz="0" w:space="0" w:color="auto"/>
                        <w:left w:val="none" w:sz="0" w:space="0" w:color="auto"/>
                        <w:bottom w:val="none" w:sz="0" w:space="0" w:color="auto"/>
                        <w:right w:val="none" w:sz="0" w:space="0" w:color="auto"/>
                      </w:divBdr>
                      <w:divsChild>
                        <w:div w:id="1894079055">
                          <w:marLeft w:val="0"/>
                          <w:marRight w:val="0"/>
                          <w:marTop w:val="0"/>
                          <w:marBottom w:val="0"/>
                          <w:divBdr>
                            <w:top w:val="none" w:sz="0" w:space="0" w:color="auto"/>
                            <w:left w:val="none" w:sz="0" w:space="0" w:color="auto"/>
                            <w:bottom w:val="none" w:sz="0" w:space="0" w:color="auto"/>
                            <w:right w:val="none" w:sz="0" w:space="0" w:color="auto"/>
                          </w:divBdr>
                          <w:divsChild>
                            <w:div w:id="3392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publication/aps-values-and-code-conduct-practice/section-3-relationships-workplace" TargetMode="External"/><Relationship Id="rId13" Type="http://schemas.openxmlformats.org/officeDocument/2006/relationships/hyperlink" Target="https://www.apsc.gov.au/publication/aps-values-and-code-conduct-practice/section-9-reporting-suspected-misconduct" TargetMode="External"/><Relationship Id="rId18" Type="http://schemas.openxmlformats.org/officeDocument/2006/relationships/hyperlink" Target="https://www.apsc.gov.au/working-aps/integrity/integrity-resources/declaration-interests" TargetMode="External"/><Relationship Id="rId26" Type="http://schemas.openxmlformats.org/officeDocument/2006/relationships/hyperlink" Target="http://www.finance.gov.au/procurement/travel-and-related-services/faqs-airlines-and-travel-management-companies.html" TargetMode="External"/><Relationship Id="rId3" Type="http://schemas.openxmlformats.org/officeDocument/2006/relationships/settings" Target="settings.xml"/><Relationship Id="rId21" Type="http://schemas.openxmlformats.org/officeDocument/2006/relationships/hyperlink" Target="http://www.protectivesecurity.gov.au/personnelsecurity/Documents/Contact%20reporting%20guidelines.pdf" TargetMode="External"/><Relationship Id="rId34" Type="http://schemas.openxmlformats.org/officeDocument/2006/relationships/hyperlink" Target="https://www.finance.gov.au/government/managing-commonwealth-resources/general-duties-officials-rmg-203" TargetMode="External"/><Relationship Id="rId7" Type="http://schemas.openxmlformats.org/officeDocument/2006/relationships/hyperlink" Target="https://www.apsc.gov.au/publication/aps-values-and-code-conduct-practice/section-2-relationship-public" TargetMode="External"/><Relationship Id="rId12" Type="http://schemas.openxmlformats.org/officeDocument/2006/relationships/hyperlink" Target="https://www.apsc.gov.au/publication/aps-values-and-code-conduct-practice/section-8-working-overseas" TargetMode="External"/><Relationship Id="rId17" Type="http://schemas.openxmlformats.org/officeDocument/2006/relationships/hyperlink" Target="https://www.protectivesecurity.gov.au/about" TargetMode="External"/><Relationship Id="rId25" Type="http://schemas.openxmlformats.org/officeDocument/2006/relationships/hyperlink" Target="http://www.finance.gov.au/procurement/travel-and-related-services/" TargetMode="External"/><Relationship Id="rId33" Type="http://schemas.openxmlformats.org/officeDocument/2006/relationships/hyperlink" Target="https://apsc.govcms.gov.au/section-5-conflict-interest" TargetMode="External"/><Relationship Id="rId2" Type="http://schemas.openxmlformats.org/officeDocument/2006/relationships/styles" Target="styles.xml"/><Relationship Id="rId16" Type="http://schemas.openxmlformats.org/officeDocument/2006/relationships/hyperlink" Target="https://apsc.govcms.gov.au/section-5-conflict-interest" TargetMode="External"/><Relationship Id="rId20" Type="http://schemas.openxmlformats.org/officeDocument/2006/relationships/hyperlink" Target="https://www.apsc.gov.au/working-aps/integrity/integrity-resources/declaration-interests" TargetMode="External"/><Relationship Id="rId29" Type="http://schemas.openxmlformats.org/officeDocument/2006/relationships/hyperlink" Target="http://www.ag.gov.au/CrimeAndCorruption/Foreignbribery/Pages/default.aspx" TargetMode="External"/><Relationship Id="rId1" Type="http://schemas.openxmlformats.org/officeDocument/2006/relationships/numbering" Target="numbering.xml"/><Relationship Id="rId6" Type="http://schemas.openxmlformats.org/officeDocument/2006/relationships/hyperlink" Target="https://www.apsc.gov.au/publication/aps-values-and-code-conduct-practice/section-1-working-government-and-parliament" TargetMode="External"/><Relationship Id="rId11" Type="http://schemas.openxmlformats.org/officeDocument/2006/relationships/hyperlink" Target="https://www.apsc.gov.au/publication/aps-values-and-code-conduct-practice/section-7-using-commonwealth-resources" TargetMode="External"/><Relationship Id="rId24" Type="http://schemas.openxmlformats.org/officeDocument/2006/relationships/hyperlink" Target="https://www.comlaw.gov.au/Series/C2004A04868" TargetMode="External"/><Relationship Id="rId32" Type="http://schemas.openxmlformats.org/officeDocument/2006/relationships/hyperlink" Target="http://lobbyists.pmc.gov.au/conduct_code.cfm" TargetMode="External"/><Relationship Id="rId37" Type="http://schemas.openxmlformats.org/officeDocument/2006/relationships/theme" Target="theme/theme1.xml"/><Relationship Id="rId5" Type="http://schemas.openxmlformats.org/officeDocument/2006/relationships/hyperlink" Target="https://www.apsc.gov.au/publication/aps-values-and-code-conduct-practice" TargetMode="External"/><Relationship Id="rId15" Type="http://schemas.openxmlformats.org/officeDocument/2006/relationships/hyperlink" Target="https://www.finance.gov.au/government/managing-commonwealth-resources/general-duties-officials-rmg-203" TargetMode="External"/><Relationship Id="rId23" Type="http://schemas.openxmlformats.org/officeDocument/2006/relationships/hyperlink" Target="https://www.comlaw.gov.au/Series/C2004A02796" TargetMode="External"/><Relationship Id="rId28" Type="http://schemas.openxmlformats.org/officeDocument/2006/relationships/hyperlink" Target="http://www.oecd.org/corruption/oecdantibriberyconvention.htm" TargetMode="External"/><Relationship Id="rId36" Type="http://schemas.openxmlformats.org/officeDocument/2006/relationships/fontTable" Target="fontTable.xml"/><Relationship Id="rId10" Type="http://schemas.openxmlformats.org/officeDocument/2006/relationships/hyperlink" Target="https://www.apsc.gov.au/publication/aps-values-and-code-conduct-practice/section-6-employees-citizens" TargetMode="External"/><Relationship Id="rId19" Type="http://schemas.openxmlformats.org/officeDocument/2006/relationships/hyperlink" Target="https://apsc.govcms.gov.au/section-5-conflict-interest" TargetMode="External"/><Relationship Id="rId31" Type="http://schemas.openxmlformats.org/officeDocument/2006/relationships/hyperlink" Target="https://apsc.govcms.gov.au/declaration-interests" TargetMode="External"/><Relationship Id="rId4" Type="http://schemas.openxmlformats.org/officeDocument/2006/relationships/webSettings" Target="webSettings.xml"/><Relationship Id="rId9" Type="http://schemas.openxmlformats.org/officeDocument/2006/relationships/hyperlink" Target="https://www.apsc.gov.au/publication/aps-values-and-code-conduct-practice/section-4-managing-information" TargetMode="External"/><Relationship Id="rId14" Type="http://schemas.openxmlformats.org/officeDocument/2006/relationships/hyperlink" Target="https://www.comlaw.gov.au/Series/C2013A00123" TargetMode="External"/><Relationship Id="rId22" Type="http://schemas.openxmlformats.org/officeDocument/2006/relationships/hyperlink" Target="https://www.comlaw.gov.au/Series/C2004A03712" TargetMode="External"/><Relationship Id="rId27" Type="http://schemas.openxmlformats.org/officeDocument/2006/relationships/hyperlink" Target="http://www.finance.gov.au/resource-management/accountability/accountable-authority-instructions/" TargetMode="External"/><Relationship Id="rId30" Type="http://schemas.openxmlformats.org/officeDocument/2006/relationships/hyperlink" Target="http://lobbyists.pmc.gov.au/conduct_code.cfm" TargetMode="External"/><Relationship Id="rId35" Type="http://schemas.openxmlformats.org/officeDocument/2006/relationships/hyperlink" Target="https://apsc.govcms.gov.au/section-5-conflict-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2023-08-11T01:46:00Z</dcterms:created>
  <dcterms:modified xsi:type="dcterms:W3CDTF">2023-08-11T02:46:00Z</dcterms:modified>
</cp:coreProperties>
</file>