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8E9" w:rsidRDefault="00BE2153">
      <w:pPr>
        <w:pStyle w:val="BodyText"/>
        <w:spacing w:line="180" w:lineRule="exact"/>
        <w:ind w:left="9181"/>
        <w:rPr>
          <w:rFonts w:ascii="Times New Roman"/>
          <w:sz w:val="18"/>
        </w:rPr>
      </w:pPr>
      <w:r>
        <w:rPr>
          <w:rFonts w:ascii="Times New Roman"/>
          <w:noProof/>
          <w:position w:val="-3"/>
          <w:sz w:val="18"/>
          <w:lang w:val="en-AU" w:eastAsia="en-AU"/>
        </w:rPr>
        <w:drawing>
          <wp:inline distT="0" distB="0" distL="0" distR="0">
            <wp:extent cx="900310" cy="114300"/>
            <wp:effectExtent l="0" t="0" r="0" b="0"/>
            <wp:docPr id="1" name="Image 1">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7"/>
                    </pic:cNvPr>
                    <pic:cNvPicPr/>
                  </pic:nvPicPr>
                  <pic:blipFill>
                    <a:blip r:embed="rId8" cstate="print"/>
                    <a:stretch>
                      <a:fillRect/>
                    </a:stretch>
                  </pic:blipFill>
                  <pic:spPr>
                    <a:xfrm>
                      <a:off x="0" y="0"/>
                      <a:ext cx="900310" cy="114300"/>
                    </a:xfrm>
                    <a:prstGeom prst="rect">
                      <a:avLst/>
                    </a:prstGeom>
                  </pic:spPr>
                </pic:pic>
              </a:graphicData>
            </a:graphic>
          </wp:inline>
        </w:drawing>
      </w:r>
    </w:p>
    <w:p w:rsidR="000078E9" w:rsidRDefault="000078E9">
      <w:pPr>
        <w:pStyle w:val="BodyText"/>
        <w:rPr>
          <w:rFonts w:ascii="Times New Roman"/>
          <w:sz w:val="12"/>
        </w:rPr>
      </w:pPr>
    </w:p>
    <w:p w:rsidR="000078E9" w:rsidRDefault="000078E9">
      <w:pPr>
        <w:pStyle w:val="BodyText"/>
        <w:rPr>
          <w:rFonts w:ascii="Times New Roman"/>
          <w:sz w:val="12"/>
        </w:rPr>
      </w:pPr>
    </w:p>
    <w:p w:rsidR="000078E9" w:rsidRDefault="000078E9">
      <w:pPr>
        <w:pStyle w:val="BodyText"/>
        <w:rPr>
          <w:rFonts w:ascii="Times New Roman"/>
          <w:sz w:val="12"/>
        </w:rPr>
      </w:pPr>
    </w:p>
    <w:p w:rsidR="000078E9" w:rsidRDefault="000078E9">
      <w:pPr>
        <w:pStyle w:val="BodyText"/>
        <w:spacing w:before="36"/>
        <w:rPr>
          <w:rFonts w:ascii="Times New Roman"/>
          <w:sz w:val="12"/>
        </w:rPr>
      </w:pPr>
    </w:p>
    <w:p w:rsidR="000078E9" w:rsidRDefault="00BE2153">
      <w:pPr>
        <w:ind w:left="115"/>
        <w:rPr>
          <w:rFonts w:ascii="Source Sans 3"/>
          <w:sz w:val="12"/>
        </w:rPr>
      </w:pPr>
      <w:r>
        <w:rPr>
          <w:rFonts w:ascii="Source Sans 3"/>
          <w:sz w:val="12"/>
        </w:rPr>
        <w:t>See</w:t>
      </w:r>
      <w:r>
        <w:rPr>
          <w:rFonts w:ascii="Source Sans 3"/>
          <w:spacing w:val="-4"/>
          <w:sz w:val="12"/>
        </w:rPr>
        <w:t xml:space="preserve"> </w:t>
      </w:r>
      <w:r>
        <w:rPr>
          <w:rFonts w:ascii="Source Sans 3"/>
          <w:sz w:val="12"/>
        </w:rPr>
        <w:t>discussions,</w:t>
      </w:r>
      <w:r>
        <w:rPr>
          <w:rFonts w:ascii="Source Sans 3"/>
          <w:spacing w:val="-4"/>
          <w:sz w:val="12"/>
        </w:rPr>
        <w:t xml:space="preserve"> </w:t>
      </w:r>
      <w:r>
        <w:rPr>
          <w:rFonts w:ascii="Source Sans 3"/>
          <w:sz w:val="12"/>
        </w:rPr>
        <w:t>stats,</w:t>
      </w:r>
      <w:r>
        <w:rPr>
          <w:rFonts w:ascii="Source Sans 3"/>
          <w:spacing w:val="-4"/>
          <w:sz w:val="12"/>
        </w:rPr>
        <w:t xml:space="preserve"> </w:t>
      </w:r>
      <w:r>
        <w:rPr>
          <w:rFonts w:ascii="Source Sans 3"/>
          <w:sz w:val="12"/>
        </w:rPr>
        <w:t>and</w:t>
      </w:r>
      <w:r>
        <w:rPr>
          <w:rFonts w:ascii="Source Sans 3"/>
          <w:spacing w:val="-3"/>
          <w:sz w:val="12"/>
        </w:rPr>
        <w:t xml:space="preserve"> </w:t>
      </w:r>
      <w:r>
        <w:rPr>
          <w:rFonts w:ascii="Source Sans 3"/>
          <w:sz w:val="12"/>
        </w:rPr>
        <w:t>author</w:t>
      </w:r>
      <w:r>
        <w:rPr>
          <w:rFonts w:ascii="Source Sans 3"/>
          <w:spacing w:val="-4"/>
          <w:sz w:val="12"/>
        </w:rPr>
        <w:t xml:space="preserve"> </w:t>
      </w:r>
      <w:r>
        <w:rPr>
          <w:rFonts w:ascii="Source Sans 3"/>
          <w:sz w:val="12"/>
        </w:rPr>
        <w:t>profiles</w:t>
      </w:r>
      <w:r>
        <w:rPr>
          <w:rFonts w:ascii="Source Sans 3"/>
          <w:spacing w:val="-4"/>
          <w:sz w:val="12"/>
        </w:rPr>
        <w:t xml:space="preserve"> </w:t>
      </w:r>
      <w:r>
        <w:rPr>
          <w:rFonts w:ascii="Source Sans 3"/>
          <w:sz w:val="12"/>
        </w:rPr>
        <w:t>for</w:t>
      </w:r>
      <w:r>
        <w:rPr>
          <w:rFonts w:ascii="Source Sans 3"/>
          <w:spacing w:val="-4"/>
          <w:sz w:val="12"/>
        </w:rPr>
        <w:t xml:space="preserve"> </w:t>
      </w:r>
      <w:r>
        <w:rPr>
          <w:rFonts w:ascii="Source Sans 3"/>
          <w:sz w:val="12"/>
        </w:rPr>
        <w:t>this</w:t>
      </w:r>
      <w:r>
        <w:rPr>
          <w:rFonts w:ascii="Source Sans 3"/>
          <w:spacing w:val="-3"/>
          <w:sz w:val="12"/>
        </w:rPr>
        <w:t xml:space="preserve"> </w:t>
      </w:r>
      <w:r>
        <w:rPr>
          <w:rFonts w:ascii="Source Sans 3"/>
          <w:sz w:val="12"/>
        </w:rPr>
        <w:t>publication</w:t>
      </w:r>
      <w:r>
        <w:rPr>
          <w:rFonts w:ascii="Source Sans 3"/>
          <w:spacing w:val="-4"/>
          <w:sz w:val="12"/>
        </w:rPr>
        <w:t xml:space="preserve"> </w:t>
      </w:r>
      <w:r>
        <w:rPr>
          <w:rFonts w:ascii="Source Sans 3"/>
          <w:sz w:val="12"/>
        </w:rPr>
        <w:t>at:</w:t>
      </w:r>
      <w:r>
        <w:rPr>
          <w:rFonts w:ascii="Source Sans 3"/>
          <w:spacing w:val="-5"/>
          <w:sz w:val="12"/>
        </w:rPr>
        <w:t xml:space="preserve"> </w:t>
      </w:r>
      <w:hyperlink r:id="rId9">
        <w:r>
          <w:rPr>
            <w:rFonts w:ascii="Source Sans 3"/>
            <w:color w:val="3773A1"/>
            <w:spacing w:val="-2"/>
            <w:sz w:val="12"/>
          </w:rPr>
          <w:t>https://www.researchgate.net/publication/322853709</w:t>
        </w:r>
      </w:hyperlink>
    </w:p>
    <w:p w:rsidR="000078E9" w:rsidRDefault="000078E9">
      <w:pPr>
        <w:pStyle w:val="BodyText"/>
        <w:spacing w:before="86"/>
        <w:rPr>
          <w:rFonts w:ascii="Source Sans 3"/>
          <w:sz w:val="12"/>
        </w:rPr>
      </w:pPr>
    </w:p>
    <w:p w:rsidR="000078E9" w:rsidRPr="008604F8" w:rsidRDefault="008604F8" w:rsidP="008604F8">
      <w:pPr>
        <w:pStyle w:val="Title"/>
        <w:ind w:hanging="541"/>
        <w:rPr>
          <w:rStyle w:val="Hyperlink"/>
          <w:b/>
        </w:rPr>
      </w:pPr>
      <w:r>
        <w:rPr>
          <w:b/>
          <w:w w:val="115"/>
        </w:rPr>
        <w:fldChar w:fldCharType="begin"/>
      </w:r>
      <w:r>
        <w:rPr>
          <w:b/>
          <w:w w:val="115"/>
        </w:rPr>
        <w:instrText xml:space="preserve"> HYPERLINK "https://www.researchgate.net/publication/322853709_The_Use_of_Cost-Benefit_Analyses_in_Norway_And_Sweden_A_Comparison?enrichId=rgreq-64fafb49c3904a62ea3762fc0cbf9ee2-XXX&amp;enrichSource=Y292ZXJQYWdlOzMyMjg1MzcwOTtBUzo1ODkxNDc2MjY1NDUxNTJAMTUxNzQ3NTE0ODEwNQ%3D%3D&amp;el=1_x_3&amp;_esc=publicationCoverPdf" </w:instrText>
      </w:r>
      <w:r>
        <w:rPr>
          <w:b/>
          <w:w w:val="115"/>
        </w:rPr>
        <w:fldChar w:fldCharType="separate"/>
      </w:r>
      <w:r w:rsidR="00BE2153" w:rsidRPr="008604F8">
        <w:rPr>
          <w:rStyle w:val="Hyperlink"/>
          <w:b/>
          <w:w w:val="115"/>
        </w:rPr>
        <w:t>The</w:t>
      </w:r>
      <w:r w:rsidR="00BE2153" w:rsidRPr="008604F8">
        <w:rPr>
          <w:rStyle w:val="Hyperlink"/>
          <w:b/>
          <w:spacing w:val="-11"/>
          <w:w w:val="115"/>
        </w:rPr>
        <w:t xml:space="preserve"> </w:t>
      </w:r>
      <w:r w:rsidR="00BE2153" w:rsidRPr="008604F8">
        <w:rPr>
          <w:rStyle w:val="Hyperlink"/>
          <w:b/>
          <w:w w:val="115"/>
        </w:rPr>
        <w:t>Use</w:t>
      </w:r>
      <w:r w:rsidR="00BE2153" w:rsidRPr="008604F8">
        <w:rPr>
          <w:rStyle w:val="Hyperlink"/>
          <w:b/>
          <w:spacing w:val="-10"/>
          <w:w w:val="115"/>
        </w:rPr>
        <w:t xml:space="preserve"> </w:t>
      </w:r>
      <w:r w:rsidR="00BE2153" w:rsidRPr="008604F8">
        <w:rPr>
          <w:rStyle w:val="Hyperlink"/>
          <w:b/>
          <w:w w:val="115"/>
        </w:rPr>
        <w:t>of</w:t>
      </w:r>
      <w:r w:rsidR="00BE2153" w:rsidRPr="008604F8">
        <w:rPr>
          <w:rStyle w:val="Hyperlink"/>
          <w:b/>
          <w:spacing w:val="-11"/>
          <w:w w:val="115"/>
        </w:rPr>
        <w:t xml:space="preserve"> </w:t>
      </w:r>
      <w:r w:rsidR="00BE2153" w:rsidRPr="008604F8">
        <w:rPr>
          <w:rStyle w:val="Hyperlink"/>
          <w:b/>
          <w:w w:val="115"/>
        </w:rPr>
        <w:t>Cost-Beneﬁt</w:t>
      </w:r>
      <w:r w:rsidR="00BE2153" w:rsidRPr="008604F8">
        <w:rPr>
          <w:rStyle w:val="Hyperlink"/>
          <w:b/>
          <w:spacing w:val="-10"/>
          <w:w w:val="115"/>
        </w:rPr>
        <w:t xml:space="preserve"> </w:t>
      </w:r>
      <w:r w:rsidR="00BE2153" w:rsidRPr="008604F8">
        <w:rPr>
          <w:rStyle w:val="Hyperlink"/>
          <w:b/>
          <w:w w:val="115"/>
        </w:rPr>
        <w:t>Analyses</w:t>
      </w:r>
      <w:r w:rsidR="00BE2153" w:rsidRPr="008604F8">
        <w:rPr>
          <w:rStyle w:val="Hyperlink"/>
          <w:b/>
          <w:spacing w:val="-10"/>
          <w:w w:val="115"/>
        </w:rPr>
        <w:t xml:space="preserve"> </w:t>
      </w:r>
      <w:r w:rsidR="00BE2153" w:rsidRPr="008604F8">
        <w:rPr>
          <w:rStyle w:val="Hyperlink"/>
          <w:b/>
          <w:w w:val="115"/>
        </w:rPr>
        <w:t>in</w:t>
      </w:r>
      <w:r w:rsidR="00BE2153" w:rsidRPr="008604F8">
        <w:rPr>
          <w:rStyle w:val="Hyperlink"/>
          <w:b/>
          <w:spacing w:val="-11"/>
          <w:w w:val="115"/>
        </w:rPr>
        <w:t xml:space="preserve"> </w:t>
      </w:r>
      <w:r w:rsidR="00BE2153" w:rsidRPr="008604F8">
        <w:rPr>
          <w:rStyle w:val="Hyperlink"/>
          <w:b/>
          <w:w w:val="115"/>
        </w:rPr>
        <w:t>Norway</w:t>
      </w:r>
      <w:r w:rsidR="00BE2153" w:rsidRPr="008604F8">
        <w:rPr>
          <w:rStyle w:val="Hyperlink"/>
          <w:b/>
          <w:spacing w:val="-10"/>
          <w:w w:val="115"/>
        </w:rPr>
        <w:t xml:space="preserve"> </w:t>
      </w:r>
      <w:r w:rsidRPr="008604F8">
        <w:rPr>
          <w:rStyle w:val="Hyperlink"/>
          <w:b/>
          <w:w w:val="115"/>
        </w:rPr>
        <w:t>a</w:t>
      </w:r>
      <w:r w:rsidR="00BE2153" w:rsidRPr="008604F8">
        <w:rPr>
          <w:rStyle w:val="Hyperlink"/>
          <w:b/>
          <w:w w:val="115"/>
        </w:rPr>
        <w:t>nd</w:t>
      </w:r>
      <w:r w:rsidR="00BE2153" w:rsidRPr="008604F8">
        <w:rPr>
          <w:rStyle w:val="Hyperlink"/>
          <w:b/>
          <w:spacing w:val="-11"/>
          <w:w w:val="115"/>
        </w:rPr>
        <w:t xml:space="preserve"> </w:t>
      </w:r>
      <w:r w:rsidR="00BE2153" w:rsidRPr="008604F8">
        <w:rPr>
          <w:rStyle w:val="Hyperlink"/>
          <w:b/>
          <w:w w:val="115"/>
        </w:rPr>
        <w:t>Sweden:</w:t>
      </w:r>
      <w:r w:rsidR="00BE2153" w:rsidRPr="008604F8">
        <w:rPr>
          <w:rStyle w:val="Hyperlink"/>
          <w:b/>
          <w:spacing w:val="-10"/>
          <w:w w:val="115"/>
        </w:rPr>
        <w:t xml:space="preserve"> </w:t>
      </w:r>
      <w:r w:rsidR="00BE2153" w:rsidRPr="008604F8">
        <w:rPr>
          <w:rStyle w:val="Hyperlink"/>
          <w:b/>
          <w:w w:val="115"/>
        </w:rPr>
        <w:t>A</w:t>
      </w:r>
      <w:r w:rsidR="00BE2153" w:rsidRPr="008604F8">
        <w:rPr>
          <w:rStyle w:val="Hyperlink"/>
          <w:b/>
          <w:spacing w:val="-10"/>
          <w:w w:val="115"/>
        </w:rPr>
        <w:t xml:space="preserve"> </w:t>
      </w:r>
      <w:r w:rsidR="00BE2153" w:rsidRPr="008604F8">
        <w:rPr>
          <w:rStyle w:val="Hyperlink"/>
          <w:b/>
          <w:spacing w:val="-2"/>
          <w:w w:val="115"/>
        </w:rPr>
        <w:t>Comparison</w:t>
      </w:r>
    </w:p>
    <w:p w:rsidR="000078E9" w:rsidRPr="008604F8" w:rsidRDefault="008604F8" w:rsidP="008604F8">
      <w:pPr>
        <w:pStyle w:val="BodyText"/>
        <w:spacing w:before="71"/>
        <w:ind w:hanging="541"/>
        <w:rPr>
          <w:rFonts w:ascii="Georgia"/>
          <w:b/>
          <w:sz w:val="26"/>
        </w:rPr>
      </w:pPr>
      <w:r>
        <w:rPr>
          <w:rFonts w:ascii="Georgia" w:eastAsia="Georgia" w:hAnsi="Georgia" w:cs="Georgia"/>
          <w:b/>
          <w:w w:val="115"/>
          <w:sz w:val="26"/>
          <w:szCs w:val="26"/>
        </w:rPr>
        <w:fldChar w:fldCharType="end"/>
      </w:r>
    </w:p>
    <w:p w:rsidR="000078E9" w:rsidRDefault="00BE2153">
      <w:pPr>
        <w:ind w:left="115"/>
        <w:rPr>
          <w:rFonts w:ascii="Source Sans 3" w:hAnsi="Source Sans 3"/>
          <w:sz w:val="13"/>
        </w:rPr>
      </w:pPr>
      <w:r>
        <w:rPr>
          <w:rFonts w:ascii="Source Sans 3 Semibold" w:hAnsi="Source Sans 3 Semibold"/>
          <w:b/>
          <w:color w:val="212121"/>
          <w:sz w:val="13"/>
        </w:rPr>
        <w:t>Conference</w:t>
      </w:r>
      <w:r>
        <w:rPr>
          <w:rFonts w:ascii="Source Sans 3 Semibold" w:hAnsi="Source Sans 3 Semibold"/>
          <w:b/>
          <w:color w:val="212121"/>
          <w:spacing w:val="1"/>
          <w:sz w:val="13"/>
        </w:rPr>
        <w:t xml:space="preserve"> </w:t>
      </w:r>
      <w:r>
        <w:rPr>
          <w:rFonts w:ascii="Source Sans 3 Semibold" w:hAnsi="Source Sans 3 Semibold"/>
          <w:b/>
          <w:color w:val="212121"/>
          <w:sz w:val="13"/>
        </w:rPr>
        <w:t>Paper</w:t>
      </w:r>
      <w:r>
        <w:rPr>
          <w:rFonts w:ascii="Source Sans 3 Semibold" w:hAnsi="Source Sans 3 Semibold"/>
          <w:b/>
          <w:color w:val="212121"/>
          <w:spacing w:val="1"/>
          <w:sz w:val="13"/>
        </w:rPr>
        <w:t xml:space="preserve"> </w:t>
      </w:r>
      <w:r>
        <w:rPr>
          <w:rFonts w:ascii="Source Sans 3" w:hAnsi="Source Sans 3"/>
          <w:color w:val="333333"/>
          <w:sz w:val="13"/>
        </w:rPr>
        <w:t>· October</w:t>
      </w:r>
      <w:r>
        <w:rPr>
          <w:rFonts w:ascii="Source Sans 3" w:hAnsi="Source Sans 3"/>
          <w:color w:val="333333"/>
          <w:spacing w:val="1"/>
          <w:sz w:val="13"/>
        </w:rPr>
        <w:t xml:space="preserve"> </w:t>
      </w:r>
      <w:r>
        <w:rPr>
          <w:rFonts w:ascii="Source Sans 3" w:hAnsi="Source Sans 3"/>
          <w:color w:val="333333"/>
          <w:spacing w:val="-4"/>
          <w:sz w:val="13"/>
        </w:rPr>
        <w:t>2013</w:t>
      </w:r>
    </w:p>
    <w:p w:rsidR="000078E9" w:rsidRDefault="000078E9">
      <w:pPr>
        <w:pStyle w:val="BodyText"/>
        <w:spacing w:before="100" w:after="1"/>
        <w:rPr>
          <w:rFonts w:ascii="Source Sans 3"/>
          <w:sz w:val="20"/>
        </w:rPr>
      </w:pPr>
    </w:p>
    <w:p w:rsidR="000078E9" w:rsidRDefault="00BE2153">
      <w:pPr>
        <w:tabs>
          <w:tab w:val="left" w:pos="5270"/>
        </w:tabs>
        <w:spacing w:line="20" w:lineRule="exact"/>
        <w:ind w:left="115"/>
        <w:rPr>
          <w:rFonts w:ascii="Source Sans 3"/>
          <w:sz w:val="2"/>
        </w:rPr>
      </w:pPr>
      <w:r>
        <w:rPr>
          <w:rFonts w:ascii="Source Sans 3"/>
          <w:noProof/>
          <w:sz w:val="2"/>
          <w:lang w:val="en-AU" w:eastAsia="en-AU"/>
        </w:rPr>
        <mc:AlternateContent>
          <mc:Choice Requires="wpg">
            <w:drawing>
              <wp:inline distT="0" distB="0" distL="0" distR="0">
                <wp:extent cx="2945765" cy="889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5765" cy="8890"/>
                          <a:chOff x="0" y="0"/>
                          <a:chExt cx="2945765" cy="8890"/>
                        </a:xfrm>
                      </wpg:grpSpPr>
                      <wps:wsp>
                        <wps:cNvPr id="3" name="Graphic 3"/>
                        <wps:cNvSpPr/>
                        <wps:spPr>
                          <a:xfrm>
                            <a:off x="0" y="0"/>
                            <a:ext cx="2945765" cy="8890"/>
                          </a:xfrm>
                          <a:custGeom>
                            <a:avLst/>
                            <a:gdLst/>
                            <a:ahLst/>
                            <a:cxnLst/>
                            <a:rect l="l" t="t" r="r" b="b"/>
                            <a:pathLst>
                              <a:path w="2945765" h="8890">
                                <a:moveTo>
                                  <a:pt x="2945183" y="8414"/>
                                </a:moveTo>
                                <a:lnTo>
                                  <a:pt x="0" y="8414"/>
                                </a:lnTo>
                                <a:lnTo>
                                  <a:pt x="0" y="0"/>
                                </a:lnTo>
                                <a:lnTo>
                                  <a:pt x="2945183" y="0"/>
                                </a:lnTo>
                                <a:lnTo>
                                  <a:pt x="2945183" y="8414"/>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A158B11" id="Group 2" o:spid="_x0000_s1026" style="width:231.95pt;height:.7pt;mso-position-horizontal-relative:char;mso-position-vertical-relative:line" coordsize="294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">
                <v:shape id="Graphic 3" o:spid="_x0000_s1027" style="position:absolute;width:29457;height:88;visibility:visible;mso-wrap-style:square;v-text-anchor:top" coordsize="294576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dezcQA&#10;AADaAAAADwAAAGRycy9kb3ducmV2LnhtbESPQWvCQBSE70L/w/IKvekmDRRJXUUEqSUnowjeHtnX&#10;JJh9u81uk7S/3i0Uehxm5htmtZlMJwbqfWtZQbpIQBBXVrdcKzif9vMlCB+QNXaWScE3edisH2Yr&#10;zLUd+UhDGWoRIexzVNCE4HIpfdWQQb+wjjh6H7Y3GKLsa6l7HCPcdPI5SV6kwZbjQoOOdg1Vt/LL&#10;KLgUw+fb+09Xtdcs3Tl3TYtDulfq6XHavoIINIX/8F/7oBVk8Hsl3g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nXs3EAAAA2gAAAA8AAAAAAAAAAAAAAAAAmAIAAGRycy9k&#10;b3ducmV2LnhtbFBLBQYAAAAABAAEAPUAAACJAwAAAAA=&#10;" path="m2945183,8414l,8414,,,2945183,r,8414xe" fillcolor="#ccc" stroked="f">
                  <v:path arrowok="t"/>
                </v:shape>
                <w10:anchorlock/>
              </v:group>
            </w:pict>
          </mc:Fallback>
        </mc:AlternateContent>
      </w:r>
      <w:r>
        <w:rPr>
          <w:rFonts w:ascii="Source Sans 3"/>
          <w:sz w:val="2"/>
        </w:rPr>
        <w:tab/>
      </w:r>
      <w:r>
        <w:rPr>
          <w:rFonts w:ascii="Source Sans 3"/>
          <w:noProof/>
          <w:sz w:val="2"/>
          <w:lang w:val="en-AU" w:eastAsia="en-AU"/>
        </w:rPr>
        <mc:AlternateContent>
          <mc:Choice Requires="wpg">
            <w:drawing>
              <wp:inline distT="0" distB="0" distL="0" distR="0">
                <wp:extent cx="2945765" cy="889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5765" cy="8890"/>
                          <a:chOff x="0" y="0"/>
                          <a:chExt cx="2945765" cy="8890"/>
                        </a:xfrm>
                      </wpg:grpSpPr>
                      <wps:wsp>
                        <wps:cNvPr id="5" name="Graphic 5"/>
                        <wps:cNvSpPr/>
                        <wps:spPr>
                          <a:xfrm>
                            <a:off x="0" y="0"/>
                            <a:ext cx="2945765" cy="8890"/>
                          </a:xfrm>
                          <a:custGeom>
                            <a:avLst/>
                            <a:gdLst/>
                            <a:ahLst/>
                            <a:cxnLst/>
                            <a:rect l="l" t="t" r="r" b="b"/>
                            <a:pathLst>
                              <a:path w="2945765" h="8890">
                                <a:moveTo>
                                  <a:pt x="2945183" y="8414"/>
                                </a:moveTo>
                                <a:lnTo>
                                  <a:pt x="0" y="8414"/>
                                </a:lnTo>
                                <a:lnTo>
                                  <a:pt x="0" y="0"/>
                                </a:lnTo>
                                <a:lnTo>
                                  <a:pt x="2945183" y="0"/>
                                </a:lnTo>
                                <a:lnTo>
                                  <a:pt x="2945183" y="8414"/>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B8578B1" id="Group 4" o:spid="_x0000_s1026" style="width:231.95pt;height:.7pt;mso-position-horizontal-relative:char;mso-position-vertical-relative:line" coordsize="294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">
                <v:shape id="Graphic 5" o:spid="_x0000_s1027" style="position:absolute;width:29457;height:88;visibility:visible;mso-wrap-style:square;v-text-anchor:top" coordsize="294576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JjIsQA&#10;AADaAAAADwAAAGRycy9kb3ducmV2LnhtbESPT2vCQBTE70K/w/IK3nSTSqWkboIIUsWTfyh4e2Rf&#10;k2D27Ta7jbGf3i0UPA4z8xtmUQymFT11vrGsIJ0mIIhLqxuuFJyO68kbCB+QNbaWScGNPBT502iB&#10;mbZX3lN/CJWIEPYZKqhDcJmUvqzJoJ9aRxy9L9sZDFF2ldQdXiPctPIlSebSYMNxoUZHq5rKy+HH&#10;KPjc9d8f29+2bM6zdOXcOd1t0rVS4+dh+Q4i0BAe4f/2Rit4hb8r8Qb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CYyLEAAAA2gAAAA8AAAAAAAAAAAAAAAAAmAIAAGRycy9k&#10;b3ducmV2LnhtbFBLBQYAAAAABAAEAPUAAACJAwAAAAA=&#10;" path="m2945183,8414l,8414,,,2945183,r,8414xe" fillcolor="#ccc" stroked="f">
                  <v:path arrowok="t"/>
                </v:shape>
                <w10:anchorlock/>
              </v:group>
            </w:pict>
          </mc:Fallback>
        </mc:AlternateContent>
      </w:r>
    </w:p>
    <w:p w:rsidR="000078E9" w:rsidRDefault="000078E9">
      <w:pPr>
        <w:spacing w:line="20" w:lineRule="exact"/>
        <w:rPr>
          <w:rFonts w:ascii="Source Sans 3"/>
          <w:sz w:val="2"/>
        </w:rPr>
        <w:sectPr w:rsidR="000078E9">
          <w:type w:val="continuous"/>
          <w:pgSz w:w="11900" w:h="16820"/>
          <w:pgMar w:top="640" w:right="500" w:bottom="0" w:left="680" w:header="720" w:footer="720" w:gutter="0"/>
          <w:cols w:space="720"/>
        </w:sectPr>
      </w:pPr>
    </w:p>
    <w:p w:rsidR="000078E9" w:rsidRDefault="00BE2153">
      <w:pPr>
        <w:spacing w:before="89"/>
        <w:ind w:left="115"/>
        <w:rPr>
          <w:rFonts w:ascii="Source Sans 3"/>
          <w:sz w:val="10"/>
        </w:rPr>
      </w:pPr>
      <w:r>
        <w:rPr>
          <w:rFonts w:ascii="Source Sans 3"/>
          <w:color w:val="333333"/>
          <w:spacing w:val="-2"/>
          <w:w w:val="105"/>
          <w:sz w:val="10"/>
        </w:rPr>
        <w:lastRenderedPageBreak/>
        <w:t>CITATIONS</w:t>
      </w:r>
    </w:p>
    <w:p w:rsidR="000078E9" w:rsidRDefault="00BE2153">
      <w:pPr>
        <w:spacing w:before="9"/>
        <w:ind w:left="115"/>
        <w:rPr>
          <w:rFonts w:ascii="Source Sans 3"/>
          <w:sz w:val="16"/>
        </w:rPr>
      </w:pPr>
      <w:r>
        <w:rPr>
          <w:rFonts w:ascii="Source Sans 3"/>
          <w:spacing w:val="-10"/>
          <w:sz w:val="16"/>
        </w:rPr>
        <w:t>6</w:t>
      </w:r>
    </w:p>
    <w:p w:rsidR="000078E9" w:rsidRDefault="00BE2153">
      <w:pPr>
        <w:spacing w:before="89"/>
        <w:ind w:left="115"/>
        <w:rPr>
          <w:rFonts w:ascii="Source Sans 3"/>
          <w:sz w:val="10"/>
        </w:rPr>
      </w:pPr>
      <w:r>
        <w:br w:type="column"/>
      </w:r>
      <w:r>
        <w:rPr>
          <w:rFonts w:ascii="Source Sans 3"/>
          <w:color w:val="333333"/>
          <w:spacing w:val="-2"/>
          <w:w w:val="105"/>
          <w:sz w:val="10"/>
        </w:rPr>
        <w:lastRenderedPageBreak/>
        <w:t>READS</w:t>
      </w:r>
    </w:p>
    <w:p w:rsidR="000078E9" w:rsidRDefault="00BE2153">
      <w:pPr>
        <w:spacing w:before="9"/>
        <w:ind w:left="115"/>
        <w:rPr>
          <w:rFonts w:ascii="Source Sans 3"/>
          <w:sz w:val="16"/>
        </w:rPr>
      </w:pPr>
      <w:r>
        <w:rPr>
          <w:rFonts w:ascii="Source Sans 3"/>
          <w:spacing w:val="-4"/>
          <w:sz w:val="16"/>
        </w:rPr>
        <w:t>1,223</w:t>
      </w:r>
    </w:p>
    <w:p w:rsidR="000078E9" w:rsidRDefault="000078E9">
      <w:pPr>
        <w:rPr>
          <w:rFonts w:ascii="Source Sans 3"/>
          <w:sz w:val="16"/>
        </w:rPr>
        <w:sectPr w:rsidR="000078E9">
          <w:type w:val="continuous"/>
          <w:pgSz w:w="11900" w:h="16820"/>
          <w:pgMar w:top="640" w:right="500" w:bottom="0" w:left="680" w:header="720" w:footer="720" w:gutter="0"/>
          <w:cols w:num="2" w:space="720" w:equalWidth="0">
            <w:col w:w="630" w:space="4525"/>
            <w:col w:w="5565"/>
          </w:cols>
        </w:sectPr>
      </w:pPr>
    </w:p>
    <w:p w:rsidR="000078E9" w:rsidRDefault="000078E9">
      <w:pPr>
        <w:pStyle w:val="BodyText"/>
        <w:spacing w:before="121"/>
        <w:rPr>
          <w:rFonts w:ascii="Source Sans 3"/>
          <w:sz w:val="13"/>
        </w:rPr>
      </w:pPr>
    </w:p>
    <w:p w:rsidR="000078E9" w:rsidRPr="008604F8" w:rsidRDefault="00BE2153">
      <w:pPr>
        <w:ind w:left="115"/>
        <w:rPr>
          <w:rFonts w:ascii="Source Sans 3 Semibold"/>
          <w:b/>
        </w:rPr>
      </w:pPr>
      <w:r w:rsidRPr="008604F8">
        <w:rPr>
          <w:rFonts w:ascii="Source Sans 3 Semibold"/>
          <w:b/>
          <w:color w:val="212121"/>
        </w:rPr>
        <w:t>4</w:t>
      </w:r>
      <w:r w:rsidRPr="008604F8">
        <w:rPr>
          <w:rFonts w:ascii="Source Sans 3 Semibold"/>
          <w:b/>
          <w:color w:val="212121"/>
          <w:spacing w:val="1"/>
        </w:rPr>
        <w:t xml:space="preserve"> </w:t>
      </w:r>
      <w:r w:rsidRPr="008604F8">
        <w:rPr>
          <w:rFonts w:ascii="Source Sans 3 Semibold"/>
          <w:b/>
          <w:color w:val="212121"/>
          <w:spacing w:val="-2"/>
        </w:rPr>
        <w:t>authors:</w:t>
      </w:r>
    </w:p>
    <w:p w:rsidR="000078E9" w:rsidRPr="008604F8" w:rsidRDefault="000078E9">
      <w:pPr>
        <w:rPr>
          <w:rFonts w:ascii="Source Sans 3 Semibold"/>
        </w:rPr>
        <w:sectPr w:rsidR="000078E9" w:rsidRPr="008604F8">
          <w:type w:val="continuous"/>
          <w:pgSz w:w="11900" w:h="16820"/>
          <w:pgMar w:top="640" w:right="500" w:bottom="0" w:left="680" w:header="720" w:footer="720" w:gutter="0"/>
          <w:cols w:space="720"/>
        </w:sectPr>
      </w:pPr>
    </w:p>
    <w:p w:rsidR="000078E9" w:rsidRPr="008604F8" w:rsidRDefault="00BE2153">
      <w:pPr>
        <w:spacing w:before="173"/>
        <w:ind w:left="645"/>
        <w:rPr>
          <w:rFonts w:ascii="Source Sans 3"/>
        </w:rPr>
      </w:pPr>
      <w:r w:rsidRPr="008604F8">
        <w:rPr>
          <w:noProof/>
          <w:lang w:val="en-AU" w:eastAsia="en-AU"/>
        </w:rPr>
        <w:lastRenderedPageBreak/>
        <w:drawing>
          <wp:anchor distT="0" distB="0" distL="0" distR="0" simplePos="0" relativeHeight="15731712" behindDoc="0" locked="0" layoutInCell="1" allowOverlap="1">
            <wp:simplePos x="0" y="0"/>
            <wp:positionH relativeFrom="page">
              <wp:posOffset>504888</wp:posOffset>
            </wp:positionH>
            <wp:positionV relativeFrom="paragraph">
              <wp:posOffset>118533</wp:posOffset>
            </wp:positionV>
            <wp:extent cx="252444" cy="252444"/>
            <wp:effectExtent l="0" t="0" r="0" b="0"/>
            <wp:wrapNone/>
            <wp:docPr id="6" name="Image 6">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10"/>
                    </pic:cNvPr>
                    <pic:cNvPicPr/>
                  </pic:nvPicPr>
                  <pic:blipFill>
                    <a:blip r:embed="rId11" cstate="print"/>
                    <a:stretch>
                      <a:fillRect/>
                    </a:stretch>
                  </pic:blipFill>
                  <pic:spPr>
                    <a:xfrm>
                      <a:off x="0" y="0"/>
                      <a:ext cx="252444" cy="252444"/>
                    </a:xfrm>
                    <a:prstGeom prst="rect">
                      <a:avLst/>
                    </a:prstGeom>
                  </pic:spPr>
                </pic:pic>
              </a:graphicData>
            </a:graphic>
          </wp:anchor>
        </w:drawing>
      </w:r>
      <w:hyperlink r:id="rId12">
        <w:r w:rsidRPr="008604F8">
          <w:rPr>
            <w:rFonts w:ascii="Source Sans 3"/>
            <w:color w:val="3773A1"/>
          </w:rPr>
          <w:t>Morten</w:t>
        </w:r>
        <w:r w:rsidRPr="008604F8">
          <w:rPr>
            <w:rFonts w:ascii="Source Sans 3"/>
            <w:color w:val="3773A1"/>
            <w:spacing w:val="1"/>
          </w:rPr>
          <w:t xml:space="preserve"> </w:t>
        </w:r>
        <w:proofErr w:type="spellStart"/>
        <w:r w:rsidRPr="008604F8">
          <w:rPr>
            <w:rFonts w:ascii="Source Sans 3"/>
            <w:color w:val="3773A1"/>
            <w:spacing w:val="-2"/>
          </w:rPr>
          <w:t>Welde</w:t>
        </w:r>
        <w:proofErr w:type="spellEnd"/>
      </w:hyperlink>
    </w:p>
    <w:p w:rsidR="000078E9" w:rsidRPr="008604F8" w:rsidRDefault="00DD301B">
      <w:pPr>
        <w:spacing w:before="26"/>
        <w:ind w:left="645"/>
        <w:rPr>
          <w:rFonts w:ascii="Source Sans 3"/>
        </w:rPr>
      </w:pPr>
      <w:hyperlink r:id="rId13">
        <w:r w:rsidR="00BE2153" w:rsidRPr="008604F8">
          <w:rPr>
            <w:rFonts w:ascii="Source Sans 3"/>
            <w:color w:val="212121"/>
          </w:rPr>
          <w:t>Norwegian</w:t>
        </w:r>
        <w:r w:rsidR="00BE2153" w:rsidRPr="008604F8">
          <w:rPr>
            <w:rFonts w:ascii="Source Sans 3"/>
            <w:color w:val="212121"/>
            <w:spacing w:val="3"/>
          </w:rPr>
          <w:t xml:space="preserve"> </w:t>
        </w:r>
        <w:r w:rsidR="00BE2153" w:rsidRPr="008604F8">
          <w:rPr>
            <w:rFonts w:ascii="Source Sans 3"/>
            <w:color w:val="212121"/>
          </w:rPr>
          <w:t>University</w:t>
        </w:r>
        <w:r w:rsidR="00BE2153" w:rsidRPr="008604F8">
          <w:rPr>
            <w:rFonts w:ascii="Source Sans 3"/>
            <w:color w:val="212121"/>
            <w:spacing w:val="3"/>
          </w:rPr>
          <w:t xml:space="preserve"> </w:t>
        </w:r>
        <w:r w:rsidR="00BE2153" w:rsidRPr="008604F8">
          <w:rPr>
            <w:rFonts w:ascii="Source Sans 3"/>
            <w:color w:val="212121"/>
          </w:rPr>
          <w:t>of</w:t>
        </w:r>
        <w:r w:rsidR="00BE2153" w:rsidRPr="008604F8">
          <w:rPr>
            <w:rFonts w:ascii="Source Sans 3"/>
            <w:color w:val="212121"/>
            <w:spacing w:val="3"/>
          </w:rPr>
          <w:t xml:space="preserve"> </w:t>
        </w:r>
        <w:r w:rsidR="00BE2153" w:rsidRPr="008604F8">
          <w:rPr>
            <w:rFonts w:ascii="Source Sans 3"/>
            <w:color w:val="212121"/>
          </w:rPr>
          <w:t>Science</w:t>
        </w:r>
        <w:r w:rsidR="00BE2153" w:rsidRPr="008604F8">
          <w:rPr>
            <w:rFonts w:ascii="Source Sans 3"/>
            <w:color w:val="212121"/>
            <w:spacing w:val="3"/>
          </w:rPr>
          <w:t xml:space="preserve"> </w:t>
        </w:r>
        <w:r w:rsidR="00BE2153" w:rsidRPr="008604F8">
          <w:rPr>
            <w:rFonts w:ascii="Source Sans 3"/>
            <w:color w:val="212121"/>
          </w:rPr>
          <w:t>and</w:t>
        </w:r>
        <w:r w:rsidR="00BE2153" w:rsidRPr="008604F8">
          <w:rPr>
            <w:rFonts w:ascii="Source Sans 3"/>
            <w:color w:val="212121"/>
            <w:spacing w:val="3"/>
          </w:rPr>
          <w:t xml:space="preserve"> </w:t>
        </w:r>
        <w:r w:rsidR="00BE2153" w:rsidRPr="008604F8">
          <w:rPr>
            <w:rFonts w:ascii="Source Sans 3"/>
            <w:color w:val="212121"/>
            <w:spacing w:val="-2"/>
          </w:rPr>
          <w:t>Technology</w:t>
        </w:r>
      </w:hyperlink>
    </w:p>
    <w:p w:rsidR="000078E9" w:rsidRPr="008604F8" w:rsidRDefault="00BE2153">
      <w:pPr>
        <w:spacing w:before="64"/>
        <w:ind w:left="645"/>
        <w:rPr>
          <w:rFonts w:ascii="Source Sans 3"/>
        </w:rPr>
      </w:pPr>
      <w:r w:rsidRPr="008604F8">
        <w:rPr>
          <w:rFonts w:ascii="Source Sans 3 Semibold"/>
          <w:b/>
        </w:rPr>
        <w:t>75</w:t>
      </w:r>
      <w:r w:rsidRPr="008604F8">
        <w:rPr>
          <w:rFonts w:ascii="Source Sans 3 Semibold"/>
          <w:b/>
          <w:spacing w:val="7"/>
        </w:rPr>
        <w:t xml:space="preserve"> </w:t>
      </w:r>
      <w:r w:rsidRPr="008604F8">
        <w:rPr>
          <w:rFonts w:ascii="Source Sans 3"/>
          <w:color w:val="333333"/>
        </w:rPr>
        <w:t>PUBLICATIONS</w:t>
      </w:r>
      <w:r w:rsidRPr="008604F8">
        <w:rPr>
          <w:rFonts w:ascii="Source Sans 3"/>
          <w:color w:val="333333"/>
          <w:spacing w:val="76"/>
        </w:rPr>
        <w:t xml:space="preserve"> </w:t>
      </w:r>
      <w:r w:rsidRPr="008604F8">
        <w:rPr>
          <w:rFonts w:ascii="Source Sans 3 Semibold"/>
          <w:b/>
        </w:rPr>
        <w:t>875</w:t>
      </w:r>
      <w:r w:rsidRPr="008604F8">
        <w:rPr>
          <w:rFonts w:ascii="Source Sans 3 Semibold"/>
          <w:b/>
          <w:spacing w:val="8"/>
        </w:rPr>
        <w:t xml:space="preserve"> </w:t>
      </w:r>
      <w:r w:rsidRPr="008604F8">
        <w:rPr>
          <w:rFonts w:ascii="Source Sans 3"/>
          <w:color w:val="333333"/>
          <w:spacing w:val="-2"/>
        </w:rPr>
        <w:t>CITATIONS</w:t>
      </w:r>
    </w:p>
    <w:p w:rsidR="000078E9" w:rsidRPr="008604F8" w:rsidRDefault="00BE2153">
      <w:pPr>
        <w:spacing w:before="173"/>
        <w:ind w:left="645"/>
        <w:rPr>
          <w:rFonts w:ascii="Source Sans 3"/>
        </w:rPr>
      </w:pPr>
      <w:r w:rsidRPr="008604F8">
        <w:br w:type="column"/>
      </w:r>
      <w:hyperlink r:id="rId14">
        <w:r w:rsidRPr="008604F8">
          <w:rPr>
            <w:rFonts w:ascii="Source Sans 3"/>
            <w:color w:val="3773A1"/>
          </w:rPr>
          <w:t>James</w:t>
        </w:r>
        <w:r w:rsidRPr="008604F8">
          <w:rPr>
            <w:rFonts w:ascii="Source Sans 3"/>
            <w:color w:val="3773A1"/>
            <w:spacing w:val="7"/>
          </w:rPr>
          <w:t xml:space="preserve"> </w:t>
        </w:r>
        <w:proofErr w:type="spellStart"/>
        <w:r w:rsidRPr="008604F8">
          <w:rPr>
            <w:rFonts w:ascii="Source Sans 3"/>
            <w:color w:val="3773A1"/>
            <w:spacing w:val="-2"/>
          </w:rPr>
          <w:t>Odeck</w:t>
        </w:r>
        <w:proofErr w:type="spellEnd"/>
      </w:hyperlink>
    </w:p>
    <w:p w:rsidR="000078E9" w:rsidRPr="008604F8" w:rsidRDefault="00BE2153">
      <w:pPr>
        <w:spacing w:before="26"/>
        <w:ind w:left="645"/>
        <w:rPr>
          <w:rFonts w:ascii="Source Sans 3"/>
        </w:rPr>
      </w:pPr>
      <w:r w:rsidRPr="008604F8">
        <w:rPr>
          <w:noProof/>
          <w:lang w:val="en-AU" w:eastAsia="en-AU"/>
        </w:rPr>
        <w:drawing>
          <wp:anchor distT="0" distB="0" distL="0" distR="0" simplePos="0" relativeHeight="15732224" behindDoc="0" locked="0" layoutInCell="1" allowOverlap="1">
            <wp:simplePos x="0" y="0"/>
            <wp:positionH relativeFrom="page">
              <wp:posOffset>3778249</wp:posOffset>
            </wp:positionH>
            <wp:positionV relativeFrom="paragraph">
              <wp:posOffset>-108872</wp:posOffset>
            </wp:positionV>
            <wp:extent cx="252444" cy="252444"/>
            <wp:effectExtent l="0" t="0" r="0" b="0"/>
            <wp:wrapNone/>
            <wp:docPr id="7" name="Image 7">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15"/>
                    </pic:cNvPr>
                    <pic:cNvPicPr/>
                  </pic:nvPicPr>
                  <pic:blipFill>
                    <a:blip r:embed="rId16" cstate="print"/>
                    <a:stretch>
                      <a:fillRect/>
                    </a:stretch>
                  </pic:blipFill>
                  <pic:spPr>
                    <a:xfrm>
                      <a:off x="0" y="0"/>
                      <a:ext cx="252444" cy="252444"/>
                    </a:xfrm>
                    <a:prstGeom prst="rect">
                      <a:avLst/>
                    </a:prstGeom>
                  </pic:spPr>
                </pic:pic>
              </a:graphicData>
            </a:graphic>
          </wp:anchor>
        </w:drawing>
      </w:r>
      <w:hyperlink r:id="rId17">
        <w:r w:rsidRPr="008604F8">
          <w:rPr>
            <w:rFonts w:ascii="Source Sans 3"/>
            <w:color w:val="212121"/>
          </w:rPr>
          <w:t>Norwegian</w:t>
        </w:r>
        <w:r w:rsidRPr="008604F8">
          <w:rPr>
            <w:rFonts w:ascii="Source Sans 3"/>
            <w:color w:val="212121"/>
            <w:spacing w:val="3"/>
          </w:rPr>
          <w:t xml:space="preserve"> </w:t>
        </w:r>
        <w:r w:rsidRPr="008604F8">
          <w:rPr>
            <w:rFonts w:ascii="Source Sans 3"/>
            <w:color w:val="212121"/>
          </w:rPr>
          <w:t>University</w:t>
        </w:r>
        <w:r w:rsidRPr="008604F8">
          <w:rPr>
            <w:rFonts w:ascii="Source Sans 3"/>
            <w:color w:val="212121"/>
            <w:spacing w:val="3"/>
          </w:rPr>
          <w:t xml:space="preserve"> </w:t>
        </w:r>
        <w:r w:rsidRPr="008604F8">
          <w:rPr>
            <w:rFonts w:ascii="Source Sans 3"/>
            <w:color w:val="212121"/>
          </w:rPr>
          <w:t>of</w:t>
        </w:r>
        <w:r w:rsidRPr="008604F8">
          <w:rPr>
            <w:rFonts w:ascii="Source Sans 3"/>
            <w:color w:val="212121"/>
            <w:spacing w:val="3"/>
          </w:rPr>
          <w:t xml:space="preserve"> </w:t>
        </w:r>
        <w:r w:rsidRPr="008604F8">
          <w:rPr>
            <w:rFonts w:ascii="Source Sans 3"/>
            <w:color w:val="212121"/>
          </w:rPr>
          <w:t>Science</w:t>
        </w:r>
        <w:r w:rsidRPr="008604F8">
          <w:rPr>
            <w:rFonts w:ascii="Source Sans 3"/>
            <w:color w:val="212121"/>
            <w:spacing w:val="3"/>
          </w:rPr>
          <w:t xml:space="preserve"> </w:t>
        </w:r>
        <w:r w:rsidRPr="008604F8">
          <w:rPr>
            <w:rFonts w:ascii="Source Sans 3"/>
            <w:color w:val="212121"/>
          </w:rPr>
          <w:t>and</w:t>
        </w:r>
        <w:r w:rsidRPr="008604F8">
          <w:rPr>
            <w:rFonts w:ascii="Source Sans 3"/>
            <w:color w:val="212121"/>
            <w:spacing w:val="3"/>
          </w:rPr>
          <w:t xml:space="preserve"> </w:t>
        </w:r>
        <w:r w:rsidRPr="008604F8">
          <w:rPr>
            <w:rFonts w:ascii="Source Sans 3"/>
            <w:color w:val="212121"/>
            <w:spacing w:val="-2"/>
          </w:rPr>
          <w:t>Technology</w:t>
        </w:r>
      </w:hyperlink>
    </w:p>
    <w:p w:rsidR="000078E9" w:rsidRPr="008604F8" w:rsidRDefault="00BE2153">
      <w:pPr>
        <w:spacing w:before="64"/>
        <w:ind w:left="645"/>
        <w:rPr>
          <w:rFonts w:ascii="Source Sans 3"/>
        </w:rPr>
      </w:pPr>
      <w:r w:rsidRPr="008604F8">
        <w:rPr>
          <w:rFonts w:ascii="Source Sans 3 Semibold"/>
          <w:b/>
        </w:rPr>
        <w:t>91</w:t>
      </w:r>
      <w:r w:rsidRPr="008604F8">
        <w:rPr>
          <w:rFonts w:ascii="Source Sans 3 Semibold"/>
          <w:b/>
          <w:spacing w:val="7"/>
        </w:rPr>
        <w:t xml:space="preserve"> </w:t>
      </w:r>
      <w:r w:rsidRPr="008604F8">
        <w:rPr>
          <w:rFonts w:ascii="Source Sans 3"/>
          <w:color w:val="333333"/>
        </w:rPr>
        <w:t>PUBLICATIONS</w:t>
      </w:r>
      <w:r w:rsidRPr="008604F8">
        <w:rPr>
          <w:rFonts w:ascii="Source Sans 3"/>
          <w:color w:val="333333"/>
          <w:spacing w:val="76"/>
        </w:rPr>
        <w:t xml:space="preserve"> </w:t>
      </w:r>
      <w:r w:rsidRPr="008604F8">
        <w:rPr>
          <w:rFonts w:ascii="Source Sans 3 Semibold"/>
          <w:b/>
        </w:rPr>
        <w:t>3,171</w:t>
      </w:r>
      <w:r w:rsidRPr="008604F8">
        <w:rPr>
          <w:rFonts w:ascii="Source Sans 3 Semibold"/>
          <w:b/>
          <w:spacing w:val="7"/>
        </w:rPr>
        <w:t xml:space="preserve"> </w:t>
      </w:r>
      <w:r w:rsidRPr="008604F8">
        <w:rPr>
          <w:rFonts w:ascii="Source Sans 3"/>
          <w:color w:val="333333"/>
          <w:spacing w:val="-2"/>
        </w:rPr>
        <w:t>CITATIONS</w:t>
      </w:r>
    </w:p>
    <w:p w:rsidR="000078E9" w:rsidRPr="008604F8" w:rsidRDefault="000078E9">
      <w:pPr>
        <w:rPr>
          <w:rFonts w:ascii="Source Sans 3"/>
        </w:rPr>
        <w:sectPr w:rsidR="000078E9" w:rsidRPr="008604F8">
          <w:type w:val="continuous"/>
          <w:pgSz w:w="11900" w:h="16820"/>
          <w:pgMar w:top="640" w:right="500" w:bottom="0" w:left="680" w:header="720" w:footer="720" w:gutter="0"/>
          <w:cols w:num="2" w:space="720" w:equalWidth="0">
            <w:col w:w="3368" w:space="1787"/>
            <w:col w:w="5565"/>
          </w:cols>
        </w:sectPr>
      </w:pPr>
    </w:p>
    <w:p w:rsidR="000078E9" w:rsidRPr="008604F8" w:rsidRDefault="00BE2153">
      <w:pPr>
        <w:tabs>
          <w:tab w:val="left" w:pos="5794"/>
        </w:tabs>
        <w:spacing w:line="289" w:lineRule="exact"/>
        <w:ind w:left="639"/>
        <w:rPr>
          <w:rFonts w:ascii="Source Sans 3"/>
        </w:rPr>
      </w:pPr>
      <w:r w:rsidRPr="008604F8">
        <w:rPr>
          <w:rFonts w:ascii="Source Sans 3"/>
          <w:noProof/>
          <w:position w:val="-5"/>
          <w:lang w:val="en-AU" w:eastAsia="en-AU"/>
        </w:rPr>
        <w:lastRenderedPageBreak/>
        <mc:AlternateContent>
          <mc:Choice Requires="wps">
            <w:drawing>
              <wp:inline distT="0" distB="0" distL="0" distR="0">
                <wp:extent cx="539115" cy="168910"/>
                <wp:effectExtent l="9525" t="0" r="3809" b="1206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68910"/>
                        </a:xfrm>
                        <a:prstGeom prst="rect">
                          <a:avLst/>
                        </a:prstGeom>
                        <a:ln w="14660">
                          <a:solidFill>
                            <a:srgbClr val="CCCCCC"/>
                          </a:solidFill>
                          <a:prstDash val="solid"/>
                        </a:ln>
                      </wps:spPr>
                      <wps:txbx>
                        <w:txbxContent>
                          <w:p w:rsidR="000078E9" w:rsidRDefault="00DD301B">
                            <w:pPr>
                              <w:spacing w:before="51"/>
                              <w:ind w:left="127"/>
                              <w:rPr>
                                <w:rFonts w:ascii="Source Sans 3"/>
                                <w:sz w:val="10"/>
                              </w:rPr>
                            </w:pPr>
                            <w:hyperlink r:id="rId18">
                              <w:r w:rsidR="00BE2153">
                                <w:rPr>
                                  <w:rFonts w:ascii="Source Sans 3"/>
                                  <w:color w:val="333333"/>
                                  <w:w w:val="105"/>
                                  <w:sz w:val="10"/>
                                </w:rPr>
                                <w:t xml:space="preserve">SEE </w:t>
                              </w:r>
                              <w:r w:rsidR="00BE2153">
                                <w:rPr>
                                  <w:rFonts w:ascii="Source Sans 3"/>
                                  <w:color w:val="333333"/>
                                  <w:spacing w:val="-2"/>
                                  <w:w w:val="105"/>
                                  <w:sz w:val="10"/>
                                </w:rPr>
                                <w:t>PROFILE</w:t>
                              </w:r>
                            </w:hyperlink>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8" o:spid="_x0000_s1026" type="#_x0000_t202" style="width:42.45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" filled="f" strokecolor="#ccc" strokeweight=".40722mm">
                <v:path arrowok="t"/>
                <v:textbox inset="0,0,0,0">
                  <w:txbxContent>
                    <w:p w:rsidR="000078E9" w:rsidRDefault="002E4766">
                      <w:pPr>
                        <w:spacing w:before="51"/>
                        <w:ind w:left="127"/>
                        <w:rPr>
                          <w:rFonts w:ascii="Source Sans 3"/>
                          <w:sz w:val="10"/>
                        </w:rPr>
                      </w:pPr>
                      <w:hyperlink r:id="rId19">
                        <w:r w:rsidR="00BE2153">
                          <w:rPr>
                            <w:rFonts w:ascii="Source Sans 3"/>
                            <w:color w:val="333333"/>
                            <w:w w:val="105"/>
                            <w:sz w:val="10"/>
                          </w:rPr>
                          <w:t xml:space="preserve">SEE </w:t>
                        </w:r>
                        <w:r w:rsidR="00BE2153">
                          <w:rPr>
                            <w:rFonts w:ascii="Source Sans 3"/>
                            <w:color w:val="333333"/>
                            <w:spacing w:val="-2"/>
                            <w:w w:val="105"/>
                            <w:sz w:val="10"/>
                          </w:rPr>
                          <w:t>PROFILE</w:t>
                        </w:r>
                      </w:hyperlink>
                    </w:p>
                  </w:txbxContent>
                </v:textbox>
                <w10:anchorlock/>
              </v:shape>
            </w:pict>
          </mc:Fallback>
        </mc:AlternateContent>
      </w:r>
      <w:r w:rsidRPr="008604F8">
        <w:rPr>
          <w:rFonts w:ascii="Source Sans 3"/>
          <w:position w:val="-5"/>
        </w:rPr>
        <w:tab/>
      </w:r>
      <w:r w:rsidRPr="008604F8">
        <w:rPr>
          <w:rFonts w:ascii="Source Sans 3"/>
          <w:noProof/>
          <w:position w:val="-5"/>
          <w:lang w:val="en-AU" w:eastAsia="en-AU"/>
        </w:rPr>
        <mc:AlternateContent>
          <mc:Choice Requires="wps">
            <w:drawing>
              <wp:inline distT="0" distB="0" distL="0" distR="0">
                <wp:extent cx="539115" cy="168910"/>
                <wp:effectExtent l="9525" t="0" r="3809" b="12064"/>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68910"/>
                        </a:xfrm>
                        <a:prstGeom prst="rect">
                          <a:avLst/>
                        </a:prstGeom>
                        <a:ln w="14660">
                          <a:solidFill>
                            <a:srgbClr val="CCCCCC"/>
                          </a:solidFill>
                          <a:prstDash val="solid"/>
                        </a:ln>
                      </wps:spPr>
                      <wps:txbx>
                        <w:txbxContent>
                          <w:p w:rsidR="000078E9" w:rsidRDefault="00DD301B">
                            <w:pPr>
                              <w:spacing w:before="51"/>
                              <w:ind w:left="127"/>
                              <w:rPr>
                                <w:rFonts w:ascii="Source Sans 3"/>
                                <w:sz w:val="10"/>
                              </w:rPr>
                            </w:pPr>
                            <w:hyperlink r:id="rId20">
                              <w:r w:rsidR="00BE2153">
                                <w:rPr>
                                  <w:rFonts w:ascii="Source Sans 3"/>
                                  <w:color w:val="333333"/>
                                  <w:w w:val="105"/>
                                  <w:sz w:val="10"/>
                                </w:rPr>
                                <w:t xml:space="preserve">SEE </w:t>
                              </w:r>
                              <w:r w:rsidR="00BE2153">
                                <w:rPr>
                                  <w:rFonts w:ascii="Source Sans 3"/>
                                  <w:color w:val="333333"/>
                                  <w:spacing w:val="-2"/>
                                  <w:w w:val="105"/>
                                  <w:sz w:val="10"/>
                                </w:rPr>
                                <w:t>PROFILE</w:t>
                              </w:r>
                            </w:hyperlink>
                          </w:p>
                        </w:txbxContent>
                      </wps:txbx>
                      <wps:bodyPr wrap="square" lIns="0" tIns="0" rIns="0" bIns="0" rtlCol="0">
                        <a:noAutofit/>
                      </wps:bodyPr>
                    </wps:wsp>
                  </a:graphicData>
                </a:graphic>
              </wp:inline>
            </w:drawing>
          </mc:Choice>
          <mc:Fallback>
            <w:pict>
              <v:shape id="Textbox 9" o:spid="_x0000_s1027" type="#_x0000_t202" style="width:42.45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" filled="f" strokecolor="#ccc" strokeweight=".40722mm">
                <v:path arrowok="t"/>
                <v:textbox inset="0,0,0,0">
                  <w:txbxContent>
                    <w:p w:rsidR="000078E9" w:rsidRDefault="002E4766">
                      <w:pPr>
                        <w:spacing w:before="51"/>
                        <w:ind w:left="127"/>
                        <w:rPr>
                          <w:rFonts w:ascii="Source Sans 3"/>
                          <w:sz w:val="10"/>
                        </w:rPr>
                      </w:pPr>
                      <w:hyperlink r:id="rId21">
                        <w:r w:rsidR="00BE2153">
                          <w:rPr>
                            <w:rFonts w:ascii="Source Sans 3"/>
                            <w:color w:val="333333"/>
                            <w:w w:val="105"/>
                            <w:sz w:val="10"/>
                          </w:rPr>
                          <w:t xml:space="preserve">SEE </w:t>
                        </w:r>
                        <w:r w:rsidR="00BE2153">
                          <w:rPr>
                            <w:rFonts w:ascii="Source Sans 3"/>
                            <w:color w:val="333333"/>
                            <w:spacing w:val="-2"/>
                            <w:w w:val="105"/>
                            <w:sz w:val="10"/>
                          </w:rPr>
                          <w:t>PROFILE</w:t>
                        </w:r>
                      </w:hyperlink>
                    </w:p>
                  </w:txbxContent>
                </v:textbox>
                <w10:anchorlock/>
              </v:shape>
            </w:pict>
          </mc:Fallback>
        </mc:AlternateContent>
      </w:r>
    </w:p>
    <w:p w:rsidR="000078E9" w:rsidRPr="008604F8" w:rsidRDefault="000078E9">
      <w:pPr>
        <w:pStyle w:val="BodyText"/>
        <w:spacing w:before="3"/>
        <w:rPr>
          <w:rFonts w:ascii="Source Sans 3"/>
          <w:sz w:val="22"/>
          <w:szCs w:val="22"/>
        </w:rPr>
      </w:pPr>
    </w:p>
    <w:p w:rsidR="000078E9" w:rsidRPr="008604F8" w:rsidRDefault="000078E9">
      <w:pPr>
        <w:rPr>
          <w:rFonts w:ascii="Source Sans 3"/>
        </w:rPr>
        <w:sectPr w:rsidR="000078E9" w:rsidRPr="008604F8">
          <w:type w:val="continuous"/>
          <w:pgSz w:w="11900" w:h="16820"/>
          <w:pgMar w:top="640" w:right="500" w:bottom="0" w:left="680" w:header="720" w:footer="720" w:gutter="0"/>
          <w:cols w:space="720"/>
        </w:sectPr>
      </w:pPr>
    </w:p>
    <w:p w:rsidR="000078E9" w:rsidRPr="008604F8" w:rsidRDefault="00BE2153">
      <w:pPr>
        <w:spacing w:before="93"/>
        <w:ind w:left="645"/>
        <w:rPr>
          <w:rFonts w:ascii="Source Sans 3" w:hAnsi="Source Sans 3"/>
        </w:rPr>
      </w:pPr>
      <w:r w:rsidRPr="008604F8">
        <w:rPr>
          <w:noProof/>
          <w:lang w:val="en-AU" w:eastAsia="en-AU"/>
        </w:rPr>
        <w:lastRenderedPageBreak/>
        <w:drawing>
          <wp:anchor distT="0" distB="0" distL="0" distR="0" simplePos="0" relativeHeight="15732736" behindDoc="0" locked="0" layoutInCell="1" allowOverlap="1">
            <wp:simplePos x="0" y="0"/>
            <wp:positionH relativeFrom="page">
              <wp:posOffset>504888</wp:posOffset>
            </wp:positionH>
            <wp:positionV relativeFrom="paragraph">
              <wp:posOffset>68183</wp:posOffset>
            </wp:positionV>
            <wp:extent cx="252444" cy="252444"/>
            <wp:effectExtent l="0" t="0" r="0" b="0"/>
            <wp:wrapNone/>
            <wp:docPr id="10" name="Image 10">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22"/>
                    </pic:cNvPr>
                    <pic:cNvPicPr/>
                  </pic:nvPicPr>
                  <pic:blipFill>
                    <a:blip r:embed="rId23" cstate="print"/>
                    <a:stretch>
                      <a:fillRect/>
                    </a:stretch>
                  </pic:blipFill>
                  <pic:spPr>
                    <a:xfrm>
                      <a:off x="0" y="0"/>
                      <a:ext cx="252444" cy="252444"/>
                    </a:xfrm>
                    <a:prstGeom prst="rect">
                      <a:avLst/>
                    </a:prstGeom>
                  </pic:spPr>
                </pic:pic>
              </a:graphicData>
            </a:graphic>
          </wp:anchor>
        </w:drawing>
      </w:r>
      <w:hyperlink r:id="rId24">
        <w:r w:rsidRPr="008604F8">
          <w:rPr>
            <w:rFonts w:ascii="Source Sans 3" w:hAnsi="Source Sans 3"/>
            <w:color w:val="3773A1"/>
          </w:rPr>
          <w:t>Maria</w:t>
        </w:r>
        <w:r w:rsidRPr="008604F8">
          <w:rPr>
            <w:rFonts w:ascii="Source Sans 3" w:hAnsi="Source Sans 3"/>
            <w:color w:val="3773A1"/>
            <w:spacing w:val="6"/>
          </w:rPr>
          <w:t xml:space="preserve"> </w:t>
        </w:r>
        <w:proofErr w:type="spellStart"/>
        <w:r w:rsidRPr="008604F8">
          <w:rPr>
            <w:rFonts w:ascii="Source Sans 3" w:hAnsi="Source Sans 3"/>
            <w:color w:val="3773A1"/>
            <w:spacing w:val="-2"/>
          </w:rPr>
          <w:t>Börjesson</w:t>
        </w:r>
        <w:proofErr w:type="spellEnd"/>
      </w:hyperlink>
    </w:p>
    <w:p w:rsidR="000078E9" w:rsidRPr="008604F8" w:rsidRDefault="00BE2153">
      <w:pPr>
        <w:spacing w:before="27"/>
        <w:ind w:left="645"/>
        <w:rPr>
          <w:rFonts w:ascii="Source Sans 3"/>
        </w:rPr>
      </w:pPr>
      <w:r w:rsidRPr="008604F8">
        <w:rPr>
          <w:rFonts w:ascii="Source Sans 3"/>
          <w:color w:val="212121"/>
        </w:rPr>
        <w:t>Swedish</w:t>
      </w:r>
      <w:r w:rsidRPr="008604F8">
        <w:rPr>
          <w:rFonts w:ascii="Source Sans 3"/>
          <w:color w:val="212121"/>
          <w:spacing w:val="3"/>
        </w:rPr>
        <w:t xml:space="preserve"> </w:t>
      </w:r>
      <w:r w:rsidRPr="008604F8">
        <w:rPr>
          <w:rFonts w:ascii="Source Sans 3"/>
          <w:color w:val="212121"/>
        </w:rPr>
        <w:t>National</w:t>
      </w:r>
      <w:r w:rsidRPr="008604F8">
        <w:rPr>
          <w:rFonts w:ascii="Source Sans 3"/>
          <w:color w:val="212121"/>
          <w:spacing w:val="3"/>
        </w:rPr>
        <w:t xml:space="preserve"> </w:t>
      </w:r>
      <w:r w:rsidRPr="008604F8">
        <w:rPr>
          <w:rFonts w:ascii="Source Sans 3"/>
          <w:color w:val="212121"/>
        </w:rPr>
        <w:t>Road</w:t>
      </w:r>
      <w:r w:rsidRPr="008604F8">
        <w:rPr>
          <w:rFonts w:ascii="Source Sans 3"/>
          <w:color w:val="212121"/>
          <w:spacing w:val="3"/>
        </w:rPr>
        <w:t xml:space="preserve"> </w:t>
      </w:r>
      <w:r w:rsidRPr="008604F8">
        <w:rPr>
          <w:rFonts w:ascii="Source Sans 3"/>
          <w:color w:val="212121"/>
        </w:rPr>
        <w:t>and</w:t>
      </w:r>
      <w:r w:rsidRPr="008604F8">
        <w:rPr>
          <w:rFonts w:ascii="Source Sans 3"/>
          <w:color w:val="212121"/>
          <w:spacing w:val="3"/>
        </w:rPr>
        <w:t xml:space="preserve"> </w:t>
      </w:r>
      <w:r w:rsidRPr="008604F8">
        <w:rPr>
          <w:rFonts w:ascii="Source Sans 3"/>
          <w:color w:val="212121"/>
        </w:rPr>
        <w:t>Transport</w:t>
      </w:r>
      <w:r w:rsidRPr="008604F8">
        <w:rPr>
          <w:rFonts w:ascii="Source Sans 3"/>
          <w:color w:val="212121"/>
          <w:spacing w:val="3"/>
        </w:rPr>
        <w:t xml:space="preserve"> </w:t>
      </w:r>
      <w:r w:rsidRPr="008604F8">
        <w:rPr>
          <w:rFonts w:ascii="Source Sans 3"/>
          <w:color w:val="212121"/>
        </w:rPr>
        <w:t>Research</w:t>
      </w:r>
      <w:r w:rsidRPr="008604F8">
        <w:rPr>
          <w:rFonts w:ascii="Source Sans 3"/>
          <w:color w:val="212121"/>
          <w:spacing w:val="4"/>
        </w:rPr>
        <w:t xml:space="preserve"> </w:t>
      </w:r>
      <w:r w:rsidRPr="008604F8">
        <w:rPr>
          <w:rFonts w:ascii="Source Sans 3"/>
          <w:color w:val="212121"/>
        </w:rPr>
        <w:t>Institute,</w:t>
      </w:r>
      <w:r w:rsidRPr="008604F8">
        <w:rPr>
          <w:rFonts w:ascii="Source Sans 3"/>
          <w:color w:val="212121"/>
          <w:spacing w:val="3"/>
        </w:rPr>
        <w:t xml:space="preserve"> </w:t>
      </w:r>
      <w:r w:rsidRPr="008604F8">
        <w:rPr>
          <w:rFonts w:ascii="Source Sans 3"/>
          <w:color w:val="212121"/>
          <w:spacing w:val="-2"/>
        </w:rPr>
        <w:t>Stockholm</w:t>
      </w:r>
    </w:p>
    <w:p w:rsidR="000078E9" w:rsidRPr="008604F8" w:rsidRDefault="00BE2153">
      <w:pPr>
        <w:spacing w:before="64"/>
        <w:ind w:left="645"/>
        <w:rPr>
          <w:rFonts w:ascii="Source Sans 3"/>
        </w:rPr>
      </w:pPr>
      <w:r w:rsidRPr="008604F8">
        <w:rPr>
          <w:rFonts w:ascii="Source Sans 3 Semibold"/>
          <w:b/>
        </w:rPr>
        <w:t>79</w:t>
      </w:r>
      <w:r w:rsidRPr="008604F8">
        <w:rPr>
          <w:rFonts w:ascii="Source Sans 3 Semibold"/>
          <w:b/>
          <w:spacing w:val="7"/>
        </w:rPr>
        <w:t xml:space="preserve"> </w:t>
      </w:r>
      <w:r w:rsidRPr="008604F8">
        <w:rPr>
          <w:rFonts w:ascii="Source Sans 3"/>
          <w:color w:val="333333"/>
        </w:rPr>
        <w:t>PUBLICATIONS</w:t>
      </w:r>
      <w:r w:rsidRPr="008604F8">
        <w:rPr>
          <w:rFonts w:ascii="Source Sans 3"/>
          <w:color w:val="333333"/>
          <w:spacing w:val="76"/>
        </w:rPr>
        <w:t xml:space="preserve"> </w:t>
      </w:r>
      <w:r w:rsidRPr="008604F8">
        <w:rPr>
          <w:rFonts w:ascii="Source Sans 3 Semibold"/>
          <w:b/>
        </w:rPr>
        <w:t>2,747</w:t>
      </w:r>
      <w:r w:rsidRPr="008604F8">
        <w:rPr>
          <w:rFonts w:ascii="Source Sans 3 Semibold"/>
          <w:b/>
          <w:spacing w:val="7"/>
        </w:rPr>
        <w:t xml:space="preserve"> </w:t>
      </w:r>
      <w:r w:rsidRPr="008604F8">
        <w:rPr>
          <w:rFonts w:ascii="Source Sans 3"/>
          <w:color w:val="333333"/>
          <w:spacing w:val="-2"/>
        </w:rPr>
        <w:t>CITATIONS</w:t>
      </w:r>
    </w:p>
    <w:p w:rsidR="000078E9" w:rsidRPr="008604F8" w:rsidRDefault="00BE2153">
      <w:pPr>
        <w:spacing w:before="93"/>
        <w:ind w:left="645"/>
        <w:rPr>
          <w:rFonts w:ascii="Source Sans 3"/>
        </w:rPr>
      </w:pPr>
      <w:r w:rsidRPr="008604F8">
        <w:br w:type="column"/>
      </w:r>
      <w:hyperlink r:id="rId25">
        <w:r w:rsidRPr="008604F8">
          <w:rPr>
            <w:rFonts w:ascii="Source Sans 3"/>
            <w:color w:val="3773A1"/>
          </w:rPr>
          <w:t>Jonas</w:t>
        </w:r>
        <w:r w:rsidRPr="008604F8">
          <w:rPr>
            <w:rFonts w:ascii="Source Sans 3"/>
            <w:color w:val="3773A1"/>
            <w:spacing w:val="6"/>
          </w:rPr>
          <w:t xml:space="preserve"> </w:t>
        </w:r>
        <w:proofErr w:type="spellStart"/>
        <w:r w:rsidRPr="008604F8">
          <w:rPr>
            <w:rFonts w:ascii="Source Sans 3"/>
            <w:color w:val="3773A1"/>
            <w:spacing w:val="-2"/>
          </w:rPr>
          <w:t>Eliasson</w:t>
        </w:r>
        <w:proofErr w:type="spellEnd"/>
      </w:hyperlink>
    </w:p>
    <w:p w:rsidR="000078E9" w:rsidRPr="008604F8" w:rsidRDefault="00BE2153">
      <w:pPr>
        <w:spacing w:before="27"/>
        <w:ind w:left="645"/>
        <w:rPr>
          <w:rFonts w:ascii="Source Sans 3"/>
        </w:rPr>
      </w:pPr>
      <w:r w:rsidRPr="008604F8">
        <w:rPr>
          <w:noProof/>
          <w:lang w:val="en-AU" w:eastAsia="en-AU"/>
        </w:rPr>
        <w:drawing>
          <wp:anchor distT="0" distB="0" distL="0" distR="0" simplePos="0" relativeHeight="15733248" behindDoc="0" locked="0" layoutInCell="1" allowOverlap="1">
            <wp:simplePos x="0" y="0"/>
            <wp:positionH relativeFrom="page">
              <wp:posOffset>3778249</wp:posOffset>
            </wp:positionH>
            <wp:positionV relativeFrom="paragraph">
              <wp:posOffset>-108422</wp:posOffset>
            </wp:positionV>
            <wp:extent cx="252444" cy="252444"/>
            <wp:effectExtent l="0" t="0" r="0" b="0"/>
            <wp:wrapNone/>
            <wp:docPr id="11" name="Image 11">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26"/>
                    </pic:cNvPr>
                    <pic:cNvPicPr/>
                  </pic:nvPicPr>
                  <pic:blipFill>
                    <a:blip r:embed="rId27" cstate="print"/>
                    <a:stretch>
                      <a:fillRect/>
                    </a:stretch>
                  </pic:blipFill>
                  <pic:spPr>
                    <a:xfrm>
                      <a:off x="0" y="0"/>
                      <a:ext cx="252444" cy="252444"/>
                    </a:xfrm>
                    <a:prstGeom prst="rect">
                      <a:avLst/>
                    </a:prstGeom>
                  </pic:spPr>
                </pic:pic>
              </a:graphicData>
            </a:graphic>
          </wp:anchor>
        </w:drawing>
      </w:r>
      <w:r w:rsidRPr="008604F8">
        <w:rPr>
          <w:rFonts w:ascii="Source Sans 3"/>
          <w:color w:val="212121"/>
        </w:rPr>
        <w:t>Swedish</w:t>
      </w:r>
      <w:r w:rsidRPr="008604F8">
        <w:rPr>
          <w:rFonts w:ascii="Source Sans 3"/>
          <w:color w:val="212121"/>
          <w:spacing w:val="1"/>
        </w:rPr>
        <w:t xml:space="preserve"> </w:t>
      </w:r>
      <w:r w:rsidRPr="008604F8">
        <w:rPr>
          <w:rFonts w:ascii="Source Sans 3"/>
          <w:color w:val="212121"/>
        </w:rPr>
        <w:t>Transport</w:t>
      </w:r>
      <w:r w:rsidRPr="008604F8">
        <w:rPr>
          <w:rFonts w:ascii="Source Sans 3"/>
          <w:color w:val="212121"/>
          <w:spacing w:val="1"/>
        </w:rPr>
        <w:t xml:space="preserve"> </w:t>
      </w:r>
      <w:r w:rsidRPr="008604F8">
        <w:rPr>
          <w:rFonts w:ascii="Source Sans 3"/>
          <w:color w:val="212121"/>
          <w:spacing w:val="-2"/>
        </w:rPr>
        <w:t>Administration</w:t>
      </w:r>
    </w:p>
    <w:p w:rsidR="000078E9" w:rsidRPr="008604F8" w:rsidRDefault="00BE2153">
      <w:pPr>
        <w:spacing w:before="64"/>
        <w:ind w:left="645"/>
        <w:rPr>
          <w:rFonts w:ascii="Source Sans 3"/>
        </w:rPr>
      </w:pPr>
      <w:r w:rsidRPr="008604F8">
        <w:rPr>
          <w:rFonts w:ascii="Source Sans 3 Semibold"/>
          <w:b/>
        </w:rPr>
        <w:t>102</w:t>
      </w:r>
      <w:r w:rsidRPr="008604F8">
        <w:rPr>
          <w:rFonts w:ascii="Source Sans 3 Semibold"/>
          <w:b/>
          <w:spacing w:val="7"/>
        </w:rPr>
        <w:t xml:space="preserve"> </w:t>
      </w:r>
      <w:r w:rsidRPr="008604F8">
        <w:rPr>
          <w:rFonts w:ascii="Source Sans 3"/>
          <w:color w:val="333333"/>
        </w:rPr>
        <w:t>PUBLICATIONS</w:t>
      </w:r>
      <w:r w:rsidRPr="008604F8">
        <w:rPr>
          <w:rFonts w:ascii="Source Sans 3"/>
          <w:color w:val="333333"/>
          <w:spacing w:val="75"/>
        </w:rPr>
        <w:t xml:space="preserve"> </w:t>
      </w:r>
      <w:r w:rsidRPr="008604F8">
        <w:rPr>
          <w:rFonts w:ascii="Source Sans 3 Semibold"/>
          <w:b/>
        </w:rPr>
        <w:t>4,090</w:t>
      </w:r>
      <w:r w:rsidRPr="008604F8">
        <w:rPr>
          <w:rFonts w:ascii="Source Sans 3 Semibold"/>
          <w:b/>
          <w:spacing w:val="7"/>
        </w:rPr>
        <w:t xml:space="preserve"> </w:t>
      </w:r>
      <w:r w:rsidRPr="008604F8">
        <w:rPr>
          <w:rFonts w:ascii="Source Sans 3"/>
          <w:color w:val="333333"/>
          <w:spacing w:val="-2"/>
        </w:rPr>
        <w:t>CITATIONS</w:t>
      </w:r>
    </w:p>
    <w:p w:rsidR="000078E9" w:rsidRPr="008604F8" w:rsidRDefault="000078E9">
      <w:pPr>
        <w:rPr>
          <w:rFonts w:ascii="Source Sans 3"/>
        </w:rPr>
        <w:sectPr w:rsidR="000078E9" w:rsidRPr="008604F8">
          <w:type w:val="continuous"/>
          <w:pgSz w:w="11900" w:h="16820"/>
          <w:pgMar w:top="640" w:right="500" w:bottom="0" w:left="680" w:header="720" w:footer="720" w:gutter="0"/>
          <w:cols w:num="2" w:space="720" w:equalWidth="0">
            <w:col w:w="4457" w:space="697"/>
            <w:col w:w="5566"/>
          </w:cols>
        </w:sectPr>
      </w:pPr>
    </w:p>
    <w:p w:rsidR="000078E9" w:rsidRDefault="00BE2153">
      <w:pPr>
        <w:tabs>
          <w:tab w:val="left" w:pos="5794"/>
        </w:tabs>
        <w:spacing w:line="289" w:lineRule="exact"/>
        <w:ind w:left="639"/>
        <w:rPr>
          <w:rFonts w:ascii="Source Sans 3"/>
          <w:sz w:val="20"/>
        </w:rPr>
      </w:pPr>
      <w:r>
        <w:rPr>
          <w:rFonts w:ascii="Source Sans 3"/>
          <w:noProof/>
          <w:position w:val="-5"/>
          <w:sz w:val="20"/>
          <w:lang w:val="en-AU" w:eastAsia="en-AU"/>
        </w:rPr>
        <w:lastRenderedPageBreak/>
        <mc:AlternateContent>
          <mc:Choice Requires="wps">
            <w:drawing>
              <wp:inline distT="0" distB="0" distL="0" distR="0">
                <wp:extent cx="539115" cy="168910"/>
                <wp:effectExtent l="9525" t="0" r="3809" b="12064"/>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68910"/>
                        </a:xfrm>
                        <a:prstGeom prst="rect">
                          <a:avLst/>
                        </a:prstGeom>
                        <a:ln w="14660">
                          <a:solidFill>
                            <a:srgbClr val="CCCCCC"/>
                          </a:solidFill>
                          <a:prstDash val="solid"/>
                        </a:ln>
                      </wps:spPr>
                      <wps:txbx>
                        <w:txbxContent>
                          <w:p w:rsidR="000078E9" w:rsidRDefault="00DD301B">
                            <w:pPr>
                              <w:spacing w:before="51"/>
                              <w:ind w:left="127"/>
                              <w:rPr>
                                <w:rFonts w:ascii="Source Sans 3"/>
                                <w:sz w:val="10"/>
                              </w:rPr>
                            </w:pPr>
                            <w:hyperlink r:id="rId28">
                              <w:r w:rsidR="00BE2153">
                                <w:rPr>
                                  <w:rFonts w:ascii="Source Sans 3"/>
                                  <w:color w:val="333333"/>
                                  <w:w w:val="105"/>
                                  <w:sz w:val="10"/>
                                </w:rPr>
                                <w:t xml:space="preserve">SEE </w:t>
                              </w:r>
                              <w:r w:rsidR="00BE2153">
                                <w:rPr>
                                  <w:rFonts w:ascii="Source Sans 3"/>
                                  <w:color w:val="333333"/>
                                  <w:spacing w:val="-2"/>
                                  <w:w w:val="105"/>
                                  <w:sz w:val="10"/>
                                </w:rPr>
                                <w:t>PROFILE</w:t>
                              </w:r>
                            </w:hyperlink>
                          </w:p>
                        </w:txbxContent>
                      </wps:txbx>
                      <wps:bodyPr wrap="square" lIns="0" tIns="0" rIns="0" bIns="0" rtlCol="0">
                        <a:noAutofit/>
                      </wps:bodyPr>
                    </wps:wsp>
                  </a:graphicData>
                </a:graphic>
              </wp:inline>
            </w:drawing>
          </mc:Choice>
          <mc:Fallback>
            <w:pict>
              <v:shape id="Textbox 12" o:spid="_x0000_s1028" type="#_x0000_t202" style="width:42.45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" filled="f" strokecolor="#ccc" strokeweight=".40722mm">
                <v:path arrowok="t"/>
                <v:textbox inset="0,0,0,0">
                  <w:txbxContent>
                    <w:p w:rsidR="000078E9" w:rsidRDefault="002E4766">
                      <w:pPr>
                        <w:spacing w:before="51"/>
                        <w:ind w:left="127"/>
                        <w:rPr>
                          <w:rFonts w:ascii="Source Sans 3"/>
                          <w:sz w:val="10"/>
                        </w:rPr>
                      </w:pPr>
                      <w:hyperlink r:id="rId29">
                        <w:r w:rsidR="00BE2153">
                          <w:rPr>
                            <w:rFonts w:ascii="Source Sans 3"/>
                            <w:color w:val="333333"/>
                            <w:w w:val="105"/>
                            <w:sz w:val="10"/>
                          </w:rPr>
                          <w:t xml:space="preserve">SEE </w:t>
                        </w:r>
                        <w:r w:rsidR="00BE2153">
                          <w:rPr>
                            <w:rFonts w:ascii="Source Sans 3"/>
                            <w:color w:val="333333"/>
                            <w:spacing w:val="-2"/>
                            <w:w w:val="105"/>
                            <w:sz w:val="10"/>
                          </w:rPr>
                          <w:t>PROFILE</w:t>
                        </w:r>
                      </w:hyperlink>
                    </w:p>
                  </w:txbxContent>
                </v:textbox>
                <w10:anchorlock/>
              </v:shape>
            </w:pict>
          </mc:Fallback>
        </mc:AlternateContent>
      </w:r>
      <w:r>
        <w:rPr>
          <w:rFonts w:ascii="Source Sans 3"/>
          <w:position w:val="-5"/>
          <w:sz w:val="20"/>
        </w:rPr>
        <w:tab/>
      </w:r>
      <w:r>
        <w:rPr>
          <w:rFonts w:ascii="Source Sans 3"/>
          <w:noProof/>
          <w:position w:val="-5"/>
          <w:sz w:val="20"/>
          <w:lang w:val="en-AU" w:eastAsia="en-AU"/>
        </w:rPr>
        <mc:AlternateContent>
          <mc:Choice Requires="wps">
            <w:drawing>
              <wp:inline distT="0" distB="0" distL="0" distR="0">
                <wp:extent cx="539115" cy="168910"/>
                <wp:effectExtent l="9525" t="0" r="3809" b="12064"/>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68910"/>
                        </a:xfrm>
                        <a:prstGeom prst="rect">
                          <a:avLst/>
                        </a:prstGeom>
                        <a:ln w="14660">
                          <a:solidFill>
                            <a:srgbClr val="CCCCCC"/>
                          </a:solidFill>
                          <a:prstDash val="solid"/>
                        </a:ln>
                      </wps:spPr>
                      <wps:txbx>
                        <w:txbxContent>
                          <w:p w:rsidR="000078E9" w:rsidRDefault="00DD301B">
                            <w:pPr>
                              <w:spacing w:before="51"/>
                              <w:ind w:left="127"/>
                              <w:rPr>
                                <w:rFonts w:ascii="Source Sans 3"/>
                                <w:sz w:val="10"/>
                              </w:rPr>
                            </w:pPr>
                            <w:hyperlink r:id="rId30">
                              <w:r w:rsidR="00BE2153">
                                <w:rPr>
                                  <w:rFonts w:ascii="Source Sans 3"/>
                                  <w:color w:val="333333"/>
                                  <w:w w:val="105"/>
                                  <w:sz w:val="10"/>
                                </w:rPr>
                                <w:t xml:space="preserve">SEE </w:t>
                              </w:r>
                              <w:r w:rsidR="00BE2153">
                                <w:rPr>
                                  <w:rFonts w:ascii="Source Sans 3"/>
                                  <w:color w:val="333333"/>
                                  <w:spacing w:val="-2"/>
                                  <w:w w:val="105"/>
                                  <w:sz w:val="10"/>
                                </w:rPr>
                                <w:t>PROFILE</w:t>
                              </w:r>
                            </w:hyperlink>
                          </w:p>
                        </w:txbxContent>
                      </wps:txbx>
                      <wps:bodyPr wrap="square" lIns="0" tIns="0" rIns="0" bIns="0" rtlCol="0">
                        <a:noAutofit/>
                      </wps:bodyPr>
                    </wps:wsp>
                  </a:graphicData>
                </a:graphic>
              </wp:inline>
            </w:drawing>
          </mc:Choice>
          <mc:Fallback>
            <w:pict>
              <v:shape id="Textbox 13" o:spid="_x0000_s1029" type="#_x0000_t202" style="width:42.45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" filled="f" strokecolor="#ccc" strokeweight=".40722mm">
                <v:path arrowok="t"/>
                <v:textbox inset="0,0,0,0">
                  <w:txbxContent>
                    <w:p w:rsidR="000078E9" w:rsidRDefault="002E4766">
                      <w:pPr>
                        <w:spacing w:before="51"/>
                        <w:ind w:left="127"/>
                        <w:rPr>
                          <w:rFonts w:ascii="Source Sans 3"/>
                          <w:sz w:val="10"/>
                        </w:rPr>
                      </w:pPr>
                      <w:hyperlink r:id="rId31">
                        <w:r w:rsidR="00BE2153">
                          <w:rPr>
                            <w:rFonts w:ascii="Source Sans 3"/>
                            <w:color w:val="333333"/>
                            <w:w w:val="105"/>
                            <w:sz w:val="10"/>
                          </w:rPr>
                          <w:t xml:space="preserve">SEE </w:t>
                        </w:r>
                        <w:r w:rsidR="00BE2153">
                          <w:rPr>
                            <w:rFonts w:ascii="Source Sans 3"/>
                            <w:color w:val="333333"/>
                            <w:spacing w:val="-2"/>
                            <w:w w:val="105"/>
                            <w:sz w:val="10"/>
                          </w:rPr>
                          <w:t>PROFILE</w:t>
                        </w:r>
                      </w:hyperlink>
                    </w:p>
                  </w:txbxContent>
                </v:textbox>
                <w10:anchorlock/>
              </v:shape>
            </w:pict>
          </mc:Fallback>
        </mc:AlternateContent>
      </w: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rPr>
          <w:rFonts w:ascii="Source Sans 3"/>
          <w:sz w:val="13"/>
        </w:rPr>
      </w:pPr>
    </w:p>
    <w:p w:rsidR="000078E9" w:rsidRDefault="000078E9">
      <w:pPr>
        <w:pStyle w:val="BodyText"/>
        <w:spacing w:before="1"/>
        <w:rPr>
          <w:rFonts w:ascii="Source Sans 3"/>
          <w:sz w:val="13"/>
        </w:rPr>
      </w:pPr>
    </w:p>
    <w:p w:rsidR="000078E9" w:rsidRDefault="00BE2153">
      <w:pPr>
        <w:ind w:left="181"/>
        <w:rPr>
          <w:rFonts w:ascii="Source Sans 3"/>
          <w:sz w:val="13"/>
        </w:rPr>
      </w:pPr>
      <w:r>
        <w:rPr>
          <w:rFonts w:ascii="Source Sans 3"/>
          <w:sz w:val="13"/>
        </w:rPr>
        <w:t>All</w:t>
      </w:r>
      <w:r>
        <w:rPr>
          <w:rFonts w:ascii="Source Sans 3"/>
          <w:spacing w:val="2"/>
          <w:sz w:val="13"/>
        </w:rPr>
        <w:t xml:space="preserve"> </w:t>
      </w:r>
      <w:r>
        <w:rPr>
          <w:rFonts w:ascii="Source Sans 3"/>
          <w:sz w:val="13"/>
        </w:rPr>
        <w:t>content</w:t>
      </w:r>
      <w:r>
        <w:rPr>
          <w:rFonts w:ascii="Source Sans 3"/>
          <w:spacing w:val="2"/>
          <w:sz w:val="13"/>
        </w:rPr>
        <w:t xml:space="preserve"> </w:t>
      </w:r>
      <w:r>
        <w:rPr>
          <w:rFonts w:ascii="Source Sans 3"/>
          <w:sz w:val="13"/>
        </w:rPr>
        <w:t>following</w:t>
      </w:r>
      <w:r>
        <w:rPr>
          <w:rFonts w:ascii="Source Sans 3"/>
          <w:spacing w:val="2"/>
          <w:sz w:val="13"/>
        </w:rPr>
        <w:t xml:space="preserve"> </w:t>
      </w:r>
      <w:r>
        <w:rPr>
          <w:rFonts w:ascii="Source Sans 3"/>
          <w:sz w:val="13"/>
        </w:rPr>
        <w:t>this</w:t>
      </w:r>
      <w:r>
        <w:rPr>
          <w:rFonts w:ascii="Source Sans 3"/>
          <w:spacing w:val="3"/>
          <w:sz w:val="13"/>
        </w:rPr>
        <w:t xml:space="preserve"> </w:t>
      </w:r>
      <w:r>
        <w:rPr>
          <w:rFonts w:ascii="Source Sans 3"/>
          <w:sz w:val="13"/>
        </w:rPr>
        <w:t>page</w:t>
      </w:r>
      <w:r>
        <w:rPr>
          <w:rFonts w:ascii="Source Sans 3"/>
          <w:spacing w:val="2"/>
          <w:sz w:val="13"/>
        </w:rPr>
        <w:t xml:space="preserve"> </w:t>
      </w:r>
      <w:r>
        <w:rPr>
          <w:rFonts w:ascii="Source Sans 3"/>
          <w:sz w:val="13"/>
        </w:rPr>
        <w:t>was</w:t>
      </w:r>
      <w:r>
        <w:rPr>
          <w:rFonts w:ascii="Source Sans 3"/>
          <w:spacing w:val="2"/>
          <w:sz w:val="13"/>
        </w:rPr>
        <w:t xml:space="preserve"> </w:t>
      </w:r>
      <w:r>
        <w:rPr>
          <w:rFonts w:ascii="Source Sans 3"/>
          <w:sz w:val="13"/>
        </w:rPr>
        <w:t>uploaded</w:t>
      </w:r>
      <w:r>
        <w:rPr>
          <w:rFonts w:ascii="Source Sans 3"/>
          <w:spacing w:val="2"/>
          <w:sz w:val="13"/>
        </w:rPr>
        <w:t xml:space="preserve"> </w:t>
      </w:r>
      <w:r>
        <w:rPr>
          <w:rFonts w:ascii="Source Sans 3"/>
          <w:sz w:val="13"/>
        </w:rPr>
        <w:t>by</w:t>
      </w:r>
      <w:r>
        <w:rPr>
          <w:rFonts w:ascii="Source Sans 3"/>
          <w:spacing w:val="3"/>
          <w:sz w:val="13"/>
        </w:rPr>
        <w:t xml:space="preserve"> </w:t>
      </w:r>
      <w:hyperlink r:id="rId32">
        <w:r>
          <w:rPr>
            <w:rFonts w:ascii="Source Sans 3"/>
            <w:color w:val="3773A1"/>
            <w:sz w:val="13"/>
          </w:rPr>
          <w:t>Morten</w:t>
        </w:r>
        <w:r>
          <w:rPr>
            <w:rFonts w:ascii="Source Sans 3"/>
            <w:color w:val="3773A1"/>
            <w:spacing w:val="2"/>
            <w:sz w:val="13"/>
          </w:rPr>
          <w:t xml:space="preserve"> </w:t>
        </w:r>
        <w:proofErr w:type="spellStart"/>
        <w:r>
          <w:rPr>
            <w:rFonts w:ascii="Source Sans 3"/>
            <w:color w:val="3773A1"/>
            <w:sz w:val="13"/>
          </w:rPr>
          <w:t>Welde</w:t>
        </w:r>
        <w:proofErr w:type="spellEnd"/>
      </w:hyperlink>
      <w:r>
        <w:rPr>
          <w:rFonts w:ascii="Source Sans 3"/>
          <w:color w:val="3773A1"/>
          <w:spacing w:val="2"/>
          <w:sz w:val="13"/>
        </w:rPr>
        <w:t xml:space="preserve"> </w:t>
      </w:r>
      <w:r>
        <w:rPr>
          <w:rFonts w:ascii="Source Sans 3"/>
          <w:sz w:val="13"/>
        </w:rPr>
        <w:t>on</w:t>
      </w:r>
      <w:r>
        <w:rPr>
          <w:rFonts w:ascii="Source Sans 3"/>
          <w:spacing w:val="2"/>
          <w:sz w:val="13"/>
        </w:rPr>
        <w:t xml:space="preserve"> </w:t>
      </w:r>
      <w:r>
        <w:rPr>
          <w:rFonts w:ascii="Source Sans 3"/>
          <w:sz w:val="13"/>
        </w:rPr>
        <w:t>01</w:t>
      </w:r>
      <w:r>
        <w:rPr>
          <w:rFonts w:ascii="Source Sans 3"/>
          <w:spacing w:val="3"/>
          <w:sz w:val="13"/>
        </w:rPr>
        <w:t xml:space="preserve"> </w:t>
      </w:r>
      <w:r>
        <w:rPr>
          <w:rFonts w:ascii="Source Sans 3"/>
          <w:sz w:val="13"/>
        </w:rPr>
        <w:t>February</w:t>
      </w:r>
      <w:r>
        <w:rPr>
          <w:rFonts w:ascii="Source Sans 3"/>
          <w:spacing w:val="2"/>
          <w:sz w:val="13"/>
        </w:rPr>
        <w:t xml:space="preserve"> </w:t>
      </w:r>
      <w:r>
        <w:rPr>
          <w:rFonts w:ascii="Source Sans 3"/>
          <w:spacing w:val="-2"/>
          <w:sz w:val="13"/>
        </w:rPr>
        <w:t>2018.</w:t>
      </w:r>
    </w:p>
    <w:p w:rsidR="000078E9" w:rsidRDefault="00BE2153">
      <w:pPr>
        <w:spacing w:before="151"/>
        <w:ind w:left="181"/>
        <w:rPr>
          <w:rFonts w:ascii="Source Sans 3"/>
          <w:sz w:val="10"/>
        </w:rPr>
      </w:pPr>
      <w:r>
        <w:rPr>
          <w:rFonts w:ascii="Source Sans 3"/>
          <w:w w:val="105"/>
          <w:sz w:val="10"/>
        </w:rPr>
        <w:t>The</w:t>
      </w:r>
      <w:r>
        <w:rPr>
          <w:rFonts w:ascii="Source Sans 3"/>
          <w:spacing w:val="-1"/>
          <w:w w:val="105"/>
          <w:sz w:val="10"/>
        </w:rPr>
        <w:t xml:space="preserve"> </w:t>
      </w:r>
      <w:r>
        <w:rPr>
          <w:rFonts w:ascii="Source Sans 3"/>
          <w:w w:val="105"/>
          <w:sz w:val="10"/>
        </w:rPr>
        <w:t>user has requested</w:t>
      </w:r>
      <w:r>
        <w:rPr>
          <w:rFonts w:ascii="Source Sans 3"/>
          <w:spacing w:val="-1"/>
          <w:w w:val="105"/>
          <w:sz w:val="10"/>
        </w:rPr>
        <w:t xml:space="preserve"> </w:t>
      </w:r>
      <w:r>
        <w:rPr>
          <w:rFonts w:ascii="Source Sans 3"/>
          <w:w w:val="105"/>
          <w:sz w:val="10"/>
        </w:rPr>
        <w:t>enhancement of the</w:t>
      </w:r>
      <w:r>
        <w:rPr>
          <w:rFonts w:ascii="Source Sans 3"/>
          <w:spacing w:val="-1"/>
          <w:w w:val="105"/>
          <w:sz w:val="10"/>
        </w:rPr>
        <w:t xml:space="preserve"> </w:t>
      </w:r>
      <w:r>
        <w:rPr>
          <w:rFonts w:ascii="Source Sans 3"/>
          <w:w w:val="105"/>
          <w:sz w:val="10"/>
        </w:rPr>
        <w:t xml:space="preserve">downloaded </w:t>
      </w:r>
      <w:r>
        <w:rPr>
          <w:rFonts w:ascii="Source Sans 3"/>
          <w:spacing w:val="-2"/>
          <w:w w:val="105"/>
          <w:sz w:val="10"/>
        </w:rPr>
        <w:t>file.</w:t>
      </w:r>
    </w:p>
    <w:p w:rsidR="000078E9" w:rsidRDefault="000078E9">
      <w:pPr>
        <w:rPr>
          <w:rFonts w:ascii="Source Sans 3"/>
          <w:sz w:val="10"/>
        </w:rPr>
        <w:sectPr w:rsidR="000078E9">
          <w:type w:val="continuous"/>
          <w:pgSz w:w="11900" w:h="16820"/>
          <w:pgMar w:top="640" w:right="500" w:bottom="0" w:left="680" w:header="720" w:footer="720" w:gutter="0"/>
          <w:cols w:space="720"/>
        </w:sectPr>
      </w:pPr>
    </w:p>
    <w:p w:rsidR="000078E9" w:rsidRDefault="00BE2153">
      <w:pPr>
        <w:pStyle w:val="Heading1"/>
        <w:spacing w:before="82"/>
        <w:ind w:left="545" w:firstLine="0"/>
        <w:jc w:val="center"/>
      </w:pPr>
      <w:r>
        <w:lastRenderedPageBreak/>
        <w:t>THE</w:t>
      </w:r>
      <w:r>
        <w:rPr>
          <w:spacing w:val="-5"/>
        </w:rPr>
        <w:t xml:space="preserve"> </w:t>
      </w:r>
      <w:r>
        <w:t>USE</w:t>
      </w:r>
      <w:r>
        <w:rPr>
          <w:spacing w:val="-5"/>
        </w:rPr>
        <w:t xml:space="preserve"> </w:t>
      </w:r>
      <w:r>
        <w:t>OF</w:t>
      </w:r>
      <w:r>
        <w:rPr>
          <w:spacing w:val="-5"/>
        </w:rPr>
        <w:t xml:space="preserve"> </w:t>
      </w:r>
      <w:r>
        <w:t>COST-BENEFIT</w:t>
      </w:r>
      <w:r>
        <w:rPr>
          <w:spacing w:val="-3"/>
        </w:rPr>
        <w:t xml:space="preserve"> </w:t>
      </w:r>
      <w:r>
        <w:t>ANALYSES</w:t>
      </w:r>
      <w:r>
        <w:rPr>
          <w:spacing w:val="-5"/>
        </w:rPr>
        <w:t xml:space="preserve"> </w:t>
      </w:r>
      <w:r>
        <w:t>IN</w:t>
      </w:r>
      <w:r>
        <w:rPr>
          <w:spacing w:val="-5"/>
        </w:rPr>
        <w:t xml:space="preserve"> </w:t>
      </w:r>
      <w:r>
        <w:t>NORWAY</w:t>
      </w:r>
      <w:r>
        <w:rPr>
          <w:spacing w:val="-2"/>
        </w:rPr>
        <w:t xml:space="preserve"> </w:t>
      </w:r>
      <w:r>
        <w:t>AND</w:t>
      </w:r>
      <w:r>
        <w:rPr>
          <w:spacing w:val="-5"/>
        </w:rPr>
        <w:t xml:space="preserve"> </w:t>
      </w:r>
      <w:r>
        <w:t>SWEDEN:</w:t>
      </w:r>
      <w:r>
        <w:rPr>
          <w:spacing w:val="-2"/>
        </w:rPr>
        <w:t xml:space="preserve"> </w:t>
      </w:r>
      <w:r>
        <w:t xml:space="preserve">A </w:t>
      </w:r>
      <w:r>
        <w:rPr>
          <w:spacing w:val="-2"/>
        </w:rPr>
        <w:t>COMPARISON</w:t>
      </w:r>
      <w:r>
        <w:rPr>
          <w:spacing w:val="-2"/>
          <w:vertAlign w:val="superscript"/>
        </w:rPr>
        <w:t>1</w:t>
      </w:r>
    </w:p>
    <w:p w:rsidR="000078E9" w:rsidRDefault="000078E9">
      <w:pPr>
        <w:pStyle w:val="BodyText"/>
        <w:spacing w:before="186"/>
        <w:rPr>
          <w:b/>
        </w:rPr>
      </w:pPr>
    </w:p>
    <w:p w:rsidR="000078E9" w:rsidRDefault="00BE2153">
      <w:pPr>
        <w:ind w:left="545" w:right="5"/>
        <w:jc w:val="center"/>
        <w:rPr>
          <w:rFonts w:ascii="Calibri"/>
        </w:rPr>
      </w:pPr>
      <w:r>
        <w:rPr>
          <w:rFonts w:ascii="Calibri"/>
        </w:rPr>
        <w:t>Morten</w:t>
      </w:r>
      <w:r>
        <w:rPr>
          <w:rFonts w:ascii="Calibri"/>
          <w:spacing w:val="-5"/>
        </w:rPr>
        <w:t xml:space="preserve"> </w:t>
      </w:r>
      <w:proofErr w:type="spellStart"/>
      <w:r>
        <w:rPr>
          <w:rFonts w:ascii="Calibri"/>
          <w:spacing w:val="-2"/>
        </w:rPr>
        <w:t>Welde</w:t>
      </w:r>
      <w:proofErr w:type="spellEnd"/>
    </w:p>
    <w:p w:rsidR="000078E9" w:rsidRDefault="00BE2153">
      <w:pPr>
        <w:spacing w:before="2" w:line="237" w:lineRule="auto"/>
        <w:ind w:left="2054" w:right="1508"/>
        <w:jc w:val="center"/>
        <w:rPr>
          <w:rFonts w:ascii="Calibri"/>
        </w:rPr>
      </w:pPr>
      <w:r>
        <w:rPr>
          <w:rFonts w:ascii="Calibri"/>
        </w:rPr>
        <w:t>Norwegian</w:t>
      </w:r>
      <w:r>
        <w:rPr>
          <w:rFonts w:ascii="Calibri"/>
          <w:spacing w:val="-8"/>
        </w:rPr>
        <w:t xml:space="preserve"> </w:t>
      </w:r>
      <w:r>
        <w:rPr>
          <w:rFonts w:ascii="Calibri"/>
        </w:rPr>
        <w:t>University</w:t>
      </w:r>
      <w:r>
        <w:rPr>
          <w:rFonts w:ascii="Calibri"/>
          <w:spacing w:val="-6"/>
        </w:rPr>
        <w:t xml:space="preserve"> </w:t>
      </w:r>
      <w:r>
        <w:rPr>
          <w:rFonts w:ascii="Calibri"/>
        </w:rPr>
        <w:t>of</w:t>
      </w:r>
      <w:r>
        <w:rPr>
          <w:rFonts w:ascii="Calibri"/>
          <w:spacing w:val="-7"/>
        </w:rPr>
        <w:t xml:space="preserve"> </w:t>
      </w:r>
      <w:r>
        <w:rPr>
          <w:rFonts w:ascii="Calibri"/>
        </w:rPr>
        <w:t>Science</w:t>
      </w:r>
      <w:r>
        <w:rPr>
          <w:rFonts w:ascii="Calibri"/>
          <w:spacing w:val="-4"/>
        </w:rPr>
        <w:t xml:space="preserve"> </w:t>
      </w:r>
      <w:r>
        <w:rPr>
          <w:rFonts w:ascii="Calibri"/>
        </w:rPr>
        <w:t>and</w:t>
      </w:r>
      <w:r>
        <w:rPr>
          <w:rFonts w:ascii="Calibri"/>
          <w:spacing w:val="-5"/>
        </w:rPr>
        <w:t xml:space="preserve"> </w:t>
      </w:r>
      <w:r>
        <w:rPr>
          <w:rFonts w:ascii="Calibri"/>
        </w:rPr>
        <w:t>Technology,</w:t>
      </w:r>
      <w:r>
        <w:rPr>
          <w:rFonts w:ascii="Calibri"/>
          <w:spacing w:val="-4"/>
        </w:rPr>
        <w:t xml:space="preserve"> </w:t>
      </w:r>
      <w:r>
        <w:rPr>
          <w:rFonts w:ascii="Calibri"/>
        </w:rPr>
        <w:t xml:space="preserve">Norway Jonas </w:t>
      </w:r>
      <w:proofErr w:type="spellStart"/>
      <w:r>
        <w:rPr>
          <w:rFonts w:ascii="Calibri"/>
        </w:rPr>
        <w:t>Eliasson</w:t>
      </w:r>
      <w:proofErr w:type="spellEnd"/>
    </w:p>
    <w:p w:rsidR="000078E9" w:rsidRDefault="00BE2153">
      <w:pPr>
        <w:spacing w:before="2"/>
        <w:ind w:left="2893" w:right="2346"/>
        <w:jc w:val="center"/>
        <w:rPr>
          <w:rFonts w:ascii="Calibri"/>
        </w:rPr>
      </w:pPr>
      <w:r>
        <w:rPr>
          <w:rFonts w:ascii="Calibri"/>
        </w:rPr>
        <w:t>Royal</w:t>
      </w:r>
      <w:r>
        <w:rPr>
          <w:rFonts w:ascii="Calibri"/>
          <w:spacing w:val="-10"/>
        </w:rPr>
        <w:t xml:space="preserve"> </w:t>
      </w:r>
      <w:r>
        <w:rPr>
          <w:rFonts w:ascii="Calibri"/>
        </w:rPr>
        <w:t>Institute</w:t>
      </w:r>
      <w:r>
        <w:rPr>
          <w:rFonts w:ascii="Calibri"/>
          <w:spacing w:val="-9"/>
        </w:rPr>
        <w:t xml:space="preserve"> </w:t>
      </w:r>
      <w:r>
        <w:rPr>
          <w:rFonts w:ascii="Calibri"/>
        </w:rPr>
        <w:t>of</w:t>
      </w:r>
      <w:r>
        <w:rPr>
          <w:rFonts w:ascii="Calibri"/>
          <w:spacing w:val="-8"/>
        </w:rPr>
        <w:t xml:space="preserve"> </w:t>
      </w:r>
      <w:r>
        <w:rPr>
          <w:rFonts w:ascii="Calibri"/>
        </w:rPr>
        <w:t>Technology,</w:t>
      </w:r>
      <w:r>
        <w:rPr>
          <w:rFonts w:ascii="Calibri"/>
          <w:spacing w:val="-6"/>
        </w:rPr>
        <w:t xml:space="preserve"> </w:t>
      </w:r>
      <w:r>
        <w:rPr>
          <w:rFonts w:ascii="Calibri"/>
        </w:rPr>
        <w:t xml:space="preserve">Sweden James </w:t>
      </w:r>
      <w:proofErr w:type="spellStart"/>
      <w:r>
        <w:rPr>
          <w:rFonts w:ascii="Calibri"/>
        </w:rPr>
        <w:t>Odeck</w:t>
      </w:r>
      <w:proofErr w:type="spellEnd"/>
    </w:p>
    <w:p w:rsidR="000078E9" w:rsidRDefault="00BE2153">
      <w:pPr>
        <w:ind w:left="2054" w:right="1508"/>
        <w:jc w:val="center"/>
        <w:rPr>
          <w:rFonts w:ascii="Calibri" w:hAnsi="Calibri"/>
        </w:rPr>
      </w:pPr>
      <w:r>
        <w:rPr>
          <w:rFonts w:ascii="Calibri" w:hAnsi="Calibri"/>
        </w:rPr>
        <w:t>Norwegian</w:t>
      </w:r>
      <w:r>
        <w:rPr>
          <w:rFonts w:ascii="Calibri" w:hAnsi="Calibri"/>
          <w:spacing w:val="-8"/>
        </w:rPr>
        <w:t xml:space="preserve"> </w:t>
      </w:r>
      <w:r>
        <w:rPr>
          <w:rFonts w:ascii="Calibri" w:hAnsi="Calibri"/>
        </w:rPr>
        <w:t>University</w:t>
      </w:r>
      <w:r>
        <w:rPr>
          <w:rFonts w:ascii="Calibri" w:hAnsi="Calibri"/>
          <w:spacing w:val="-6"/>
        </w:rPr>
        <w:t xml:space="preserve"> </w:t>
      </w:r>
      <w:r>
        <w:rPr>
          <w:rFonts w:ascii="Calibri" w:hAnsi="Calibri"/>
        </w:rPr>
        <w:t>of</w:t>
      </w:r>
      <w:r>
        <w:rPr>
          <w:rFonts w:ascii="Calibri" w:hAnsi="Calibri"/>
          <w:spacing w:val="-7"/>
        </w:rPr>
        <w:t xml:space="preserve"> </w:t>
      </w:r>
      <w:r>
        <w:rPr>
          <w:rFonts w:ascii="Calibri" w:hAnsi="Calibri"/>
        </w:rPr>
        <w:t>Science</w:t>
      </w:r>
      <w:r>
        <w:rPr>
          <w:rFonts w:ascii="Calibri" w:hAnsi="Calibri"/>
          <w:spacing w:val="-4"/>
        </w:rPr>
        <w:t xml:space="preserve"> </w:t>
      </w:r>
      <w:r>
        <w:rPr>
          <w:rFonts w:ascii="Calibri" w:hAnsi="Calibri"/>
        </w:rPr>
        <w:t>and</w:t>
      </w:r>
      <w:r>
        <w:rPr>
          <w:rFonts w:ascii="Calibri" w:hAnsi="Calibri"/>
          <w:spacing w:val="-5"/>
        </w:rPr>
        <w:t xml:space="preserve"> </w:t>
      </w:r>
      <w:r>
        <w:rPr>
          <w:rFonts w:ascii="Calibri" w:hAnsi="Calibri"/>
        </w:rPr>
        <w:t>Technology,</w:t>
      </w:r>
      <w:r>
        <w:rPr>
          <w:rFonts w:ascii="Calibri" w:hAnsi="Calibri"/>
          <w:spacing w:val="-4"/>
        </w:rPr>
        <w:t xml:space="preserve"> </w:t>
      </w:r>
      <w:r>
        <w:rPr>
          <w:rFonts w:ascii="Calibri" w:hAnsi="Calibri"/>
        </w:rPr>
        <w:t xml:space="preserve">Norway Maria </w:t>
      </w:r>
      <w:proofErr w:type="spellStart"/>
      <w:r>
        <w:rPr>
          <w:rFonts w:ascii="Calibri" w:hAnsi="Calibri"/>
        </w:rPr>
        <w:t>Börjesson</w:t>
      </w:r>
      <w:proofErr w:type="spellEnd"/>
    </w:p>
    <w:p w:rsidR="000078E9" w:rsidRDefault="00BE2153">
      <w:pPr>
        <w:spacing w:before="1"/>
        <w:ind w:left="545" w:right="2"/>
        <w:jc w:val="center"/>
        <w:rPr>
          <w:rFonts w:ascii="Calibri"/>
        </w:rPr>
      </w:pPr>
      <w:r>
        <w:rPr>
          <w:rFonts w:ascii="Calibri"/>
        </w:rPr>
        <w:t>Royal</w:t>
      </w:r>
      <w:r>
        <w:rPr>
          <w:rFonts w:ascii="Calibri"/>
          <w:spacing w:val="-7"/>
        </w:rPr>
        <w:t xml:space="preserve"> </w:t>
      </w:r>
      <w:r>
        <w:rPr>
          <w:rFonts w:ascii="Calibri"/>
        </w:rPr>
        <w:t>Institute</w:t>
      </w:r>
      <w:r>
        <w:rPr>
          <w:rFonts w:ascii="Calibri"/>
          <w:spacing w:val="-6"/>
        </w:rPr>
        <w:t xml:space="preserve"> </w:t>
      </w:r>
      <w:r>
        <w:rPr>
          <w:rFonts w:ascii="Calibri"/>
        </w:rPr>
        <w:t>of</w:t>
      </w:r>
      <w:r>
        <w:rPr>
          <w:rFonts w:ascii="Calibri"/>
          <w:spacing w:val="-4"/>
        </w:rPr>
        <w:t xml:space="preserve"> </w:t>
      </w:r>
      <w:r>
        <w:rPr>
          <w:rFonts w:ascii="Calibri"/>
        </w:rPr>
        <w:t>Technology,</w:t>
      </w:r>
      <w:r>
        <w:rPr>
          <w:rFonts w:ascii="Calibri"/>
          <w:spacing w:val="-3"/>
        </w:rPr>
        <w:t xml:space="preserve"> </w:t>
      </w:r>
      <w:r>
        <w:rPr>
          <w:rFonts w:ascii="Calibri"/>
          <w:spacing w:val="-2"/>
        </w:rPr>
        <w:t>Sweden</w:t>
      </w:r>
    </w:p>
    <w:p w:rsidR="000078E9" w:rsidRDefault="000078E9">
      <w:pPr>
        <w:pStyle w:val="BodyText"/>
        <w:spacing w:before="239"/>
        <w:rPr>
          <w:rFonts w:ascii="Calibri"/>
          <w:sz w:val="22"/>
        </w:rPr>
      </w:pPr>
    </w:p>
    <w:p w:rsidR="000078E9" w:rsidRDefault="00BE2153">
      <w:pPr>
        <w:pStyle w:val="Heading1"/>
        <w:numPr>
          <w:ilvl w:val="0"/>
          <w:numId w:val="1"/>
        </w:numPr>
        <w:tabs>
          <w:tab w:val="left" w:pos="677"/>
        </w:tabs>
        <w:spacing w:before="0"/>
        <w:ind w:left="677" w:hanging="566"/>
      </w:pPr>
      <w:r>
        <w:rPr>
          <w:spacing w:val="-2"/>
        </w:rPr>
        <w:t>INTRODUCTION</w:t>
      </w:r>
    </w:p>
    <w:p w:rsidR="00781FA4" w:rsidRPr="00781FA4" w:rsidRDefault="00BE2153" w:rsidP="00781FA4">
      <w:pPr>
        <w:pStyle w:val="BodyText"/>
        <w:spacing w:before="241" w:line="300" w:lineRule="auto"/>
        <w:ind w:left="678" w:right="131"/>
        <w:rPr>
          <w:highlight w:val="yellow"/>
        </w:rPr>
      </w:pPr>
      <w:r w:rsidRPr="00781FA4">
        <w:rPr>
          <w:highlight w:val="yellow"/>
        </w:rPr>
        <w:t>Well-informed decision making relies on access to all relevant information regarding the consequences of proposed schemes. Large road projects in both Norway and Sweden are required to undergo a full impact assessment aimed at assessing all impacts, negative or positive and measurable in monetary terms or not, which are predicted to occur if the project is implemented. In other</w:t>
      </w:r>
      <w:r w:rsidRPr="00781FA4">
        <w:rPr>
          <w:spacing w:val="-2"/>
          <w:highlight w:val="yellow"/>
        </w:rPr>
        <w:t xml:space="preserve"> </w:t>
      </w:r>
      <w:r w:rsidRPr="00781FA4">
        <w:rPr>
          <w:highlight w:val="yellow"/>
        </w:rPr>
        <w:t>words, impact assessment is</w:t>
      </w:r>
      <w:r w:rsidRPr="00781FA4">
        <w:rPr>
          <w:spacing w:val="-1"/>
          <w:highlight w:val="yellow"/>
        </w:rPr>
        <w:t xml:space="preserve"> </w:t>
      </w:r>
      <w:r w:rsidRPr="00781FA4">
        <w:rPr>
          <w:highlight w:val="yellow"/>
        </w:rPr>
        <w:t xml:space="preserve">a systematic illustration of </w:t>
      </w:r>
      <w:r w:rsidRPr="00781FA4">
        <w:rPr>
          <w:i/>
          <w:highlight w:val="yellow"/>
        </w:rPr>
        <w:t xml:space="preserve">all </w:t>
      </w:r>
      <w:r w:rsidRPr="00781FA4">
        <w:rPr>
          <w:highlight w:val="yellow"/>
        </w:rPr>
        <w:t xml:space="preserve">impacts that will take place if a project is carried out. The impacts of a proposed road project could be: </w:t>
      </w:r>
      <w:r w:rsidR="00781FA4" w:rsidRPr="00781FA4">
        <w:rPr>
          <w:highlight w:val="yellow"/>
        </w:rPr>
        <w:br/>
      </w:r>
      <w:r w:rsidRPr="00781FA4">
        <w:rPr>
          <w:highlight w:val="yellow"/>
        </w:rPr>
        <w:t xml:space="preserve">a) </w:t>
      </w:r>
      <w:r w:rsidR="00781FA4" w:rsidRPr="00781FA4">
        <w:rPr>
          <w:highlight w:val="yellow"/>
        </w:rPr>
        <w:t xml:space="preserve">  </w:t>
      </w:r>
      <w:r w:rsidRPr="00781FA4">
        <w:rPr>
          <w:highlight w:val="yellow"/>
        </w:rPr>
        <w:t>impacts that can be valued in monetary terms such as construction costs, time, and accidents</w:t>
      </w:r>
      <w:proofErr w:type="gramStart"/>
      <w:r w:rsidRPr="00781FA4">
        <w:rPr>
          <w:highlight w:val="yellow"/>
        </w:rPr>
        <w:t>;</w:t>
      </w:r>
      <w:proofErr w:type="gramEnd"/>
      <w:r w:rsidR="00781FA4" w:rsidRPr="00781FA4">
        <w:rPr>
          <w:highlight w:val="yellow"/>
        </w:rPr>
        <w:br/>
      </w:r>
      <w:r w:rsidRPr="00781FA4">
        <w:rPr>
          <w:highlight w:val="yellow"/>
        </w:rPr>
        <w:t xml:space="preserve">b) </w:t>
      </w:r>
      <w:r w:rsidR="00781FA4" w:rsidRPr="00781FA4">
        <w:rPr>
          <w:highlight w:val="yellow"/>
        </w:rPr>
        <w:t xml:space="preserve">  </w:t>
      </w:r>
      <w:r w:rsidRPr="00781FA4">
        <w:rPr>
          <w:highlight w:val="yellow"/>
        </w:rPr>
        <w:t xml:space="preserve">impacts that are not possible to value in monetary terms or </w:t>
      </w:r>
      <w:r w:rsidR="00781FA4" w:rsidRPr="00781FA4">
        <w:rPr>
          <w:highlight w:val="yellow"/>
        </w:rPr>
        <w:br/>
      </w:r>
      <w:r w:rsidRPr="00781FA4">
        <w:rPr>
          <w:highlight w:val="yellow"/>
        </w:rPr>
        <w:t xml:space="preserve">c) </w:t>
      </w:r>
      <w:r w:rsidR="00781FA4" w:rsidRPr="00781FA4">
        <w:rPr>
          <w:highlight w:val="yellow"/>
        </w:rPr>
        <w:t xml:space="preserve">  </w:t>
      </w:r>
      <w:r w:rsidRPr="00781FA4">
        <w:rPr>
          <w:highlight w:val="yellow"/>
        </w:rPr>
        <w:t xml:space="preserve">distributional impacts of political interest. </w:t>
      </w:r>
    </w:p>
    <w:p w:rsidR="000078E9" w:rsidRDefault="00BE2153" w:rsidP="00781FA4">
      <w:pPr>
        <w:pStyle w:val="BodyText"/>
        <w:spacing w:before="241" w:line="300" w:lineRule="auto"/>
        <w:ind w:left="678" w:right="131"/>
      </w:pPr>
      <w:r w:rsidRPr="00781FA4">
        <w:rPr>
          <w:highlight w:val="yellow"/>
        </w:rPr>
        <w:t>The cost-benefit analysis (CBA) represent the perhaps most important part of the impact assessment. CBA provides a methodical framework that aims to quantify and value relevant impacts in order to assess a project’s viability in economic terms.</w:t>
      </w:r>
    </w:p>
    <w:p w:rsidR="000078E9" w:rsidRDefault="00BE2153" w:rsidP="00CB7604">
      <w:pPr>
        <w:pStyle w:val="BodyText"/>
        <w:spacing w:before="240" w:line="300" w:lineRule="auto"/>
        <w:ind w:left="678" w:right="132"/>
      </w:pPr>
      <w:r w:rsidRPr="00781FA4">
        <w:rPr>
          <w:highlight w:val="cyan"/>
        </w:rPr>
        <w:t>Today, most European countries use CBA in road transport appraisal</w:t>
      </w:r>
      <w:r>
        <w:t xml:space="preserve">. </w:t>
      </w:r>
      <w:r w:rsidRPr="00CB7604">
        <w:rPr>
          <w:highlight w:val="yellow"/>
        </w:rPr>
        <w:t xml:space="preserve">CBA provide decision support by informing decision makers of the economic consequences of carrying out a proposal. The economic merit of projects are gauged through profitability measures such as </w:t>
      </w:r>
      <w:r w:rsidR="00CB7604" w:rsidRPr="00CB7604">
        <w:rPr>
          <w:highlight w:val="yellow"/>
        </w:rPr>
        <w:t>the -</w:t>
      </w:r>
      <w:r w:rsidR="00CB7604" w:rsidRPr="00CB7604">
        <w:rPr>
          <w:highlight w:val="yellow"/>
        </w:rPr>
        <w:br/>
        <w:t>*</w:t>
      </w:r>
      <w:r w:rsidR="00CB7604" w:rsidRPr="00CB7604">
        <w:rPr>
          <w:highlight w:val="yellow"/>
        </w:rPr>
        <w:tab/>
      </w:r>
      <w:r w:rsidRPr="00CB7604">
        <w:rPr>
          <w:highlight w:val="yellow"/>
        </w:rPr>
        <w:t>net present value</w:t>
      </w:r>
      <w:r w:rsidR="00CB7604" w:rsidRPr="00CB7604">
        <w:rPr>
          <w:highlight w:val="yellow"/>
        </w:rPr>
        <w:t>;</w:t>
      </w:r>
      <w:r w:rsidRPr="00CB7604">
        <w:rPr>
          <w:highlight w:val="yellow"/>
        </w:rPr>
        <w:t xml:space="preserve"> or </w:t>
      </w:r>
      <w:r w:rsidR="00CB7604" w:rsidRPr="00CB7604">
        <w:rPr>
          <w:highlight w:val="yellow"/>
        </w:rPr>
        <w:br/>
        <w:t>*</w:t>
      </w:r>
      <w:r w:rsidR="00CB7604" w:rsidRPr="00CB7604">
        <w:rPr>
          <w:highlight w:val="yellow"/>
        </w:rPr>
        <w:tab/>
      </w:r>
      <w:r w:rsidRPr="00CB7604">
        <w:rPr>
          <w:highlight w:val="yellow"/>
        </w:rPr>
        <w:t>benefit-cost ratio</w:t>
      </w:r>
      <w:proofErr w:type="gramStart"/>
      <w:r w:rsidR="00CB7604" w:rsidRPr="00CB7604">
        <w:rPr>
          <w:highlight w:val="yellow"/>
        </w:rPr>
        <w:t>,</w:t>
      </w:r>
      <w:proofErr w:type="gramEnd"/>
      <w:r w:rsidR="00CB7604" w:rsidRPr="00CB7604">
        <w:rPr>
          <w:highlight w:val="yellow"/>
        </w:rPr>
        <w:br/>
      </w:r>
      <w:r w:rsidRPr="00CB7604">
        <w:rPr>
          <w:highlight w:val="yellow"/>
        </w:rPr>
        <w:t xml:space="preserve">allowing projects to be ranked according to their economic </w:t>
      </w:r>
      <w:r w:rsidRPr="00CB7604">
        <w:rPr>
          <w:spacing w:val="-2"/>
          <w:highlight w:val="yellow"/>
        </w:rPr>
        <w:t>worthiness.</w:t>
      </w:r>
    </w:p>
    <w:p w:rsidR="000078E9" w:rsidRDefault="00BE2153">
      <w:pPr>
        <w:pStyle w:val="BodyText"/>
        <w:spacing w:before="239" w:line="300" w:lineRule="auto"/>
        <w:ind w:left="678" w:right="131"/>
        <w:jc w:val="both"/>
      </w:pPr>
      <w:r w:rsidRPr="00CB7604">
        <w:rPr>
          <w:highlight w:val="yellow"/>
        </w:rPr>
        <w:t>However, despite being an integral part of the planning process and despite the significant resources used for projects appraisal, several Scandinavian studies have indicated that the use of CBA in the decision making process may</w:t>
      </w:r>
      <w:r w:rsidRPr="00CB7604">
        <w:rPr>
          <w:spacing w:val="-5"/>
          <w:highlight w:val="yellow"/>
        </w:rPr>
        <w:t xml:space="preserve"> </w:t>
      </w:r>
      <w:r w:rsidRPr="00CB7604">
        <w:rPr>
          <w:highlight w:val="yellow"/>
        </w:rPr>
        <w:t>be</w:t>
      </w:r>
      <w:r w:rsidRPr="00CB7604">
        <w:rPr>
          <w:spacing w:val="-3"/>
          <w:highlight w:val="yellow"/>
        </w:rPr>
        <w:t xml:space="preserve"> </w:t>
      </w:r>
      <w:r w:rsidRPr="00CB7604">
        <w:rPr>
          <w:highlight w:val="yellow"/>
        </w:rPr>
        <w:t>limited</w:t>
      </w:r>
      <w:r w:rsidRPr="00CB7604">
        <w:rPr>
          <w:spacing w:val="-3"/>
          <w:highlight w:val="yellow"/>
        </w:rPr>
        <w:t xml:space="preserve"> </w:t>
      </w:r>
      <w:r w:rsidRPr="00CB7604">
        <w:rPr>
          <w:highlight w:val="yellow"/>
        </w:rPr>
        <w:t>(</w:t>
      </w:r>
      <w:proofErr w:type="spellStart"/>
      <w:r w:rsidRPr="00CB7604">
        <w:rPr>
          <w:highlight w:val="yellow"/>
        </w:rPr>
        <w:t>Fridstrøm</w:t>
      </w:r>
      <w:proofErr w:type="spellEnd"/>
      <w:r w:rsidRPr="00CB7604">
        <w:rPr>
          <w:spacing w:val="-2"/>
          <w:highlight w:val="yellow"/>
        </w:rPr>
        <w:t xml:space="preserve"> </w:t>
      </w:r>
      <w:r w:rsidRPr="00CB7604">
        <w:rPr>
          <w:highlight w:val="yellow"/>
        </w:rPr>
        <w:t>and</w:t>
      </w:r>
      <w:r w:rsidRPr="00CB7604">
        <w:rPr>
          <w:spacing w:val="-3"/>
          <w:highlight w:val="yellow"/>
        </w:rPr>
        <w:t xml:space="preserve"> </w:t>
      </w:r>
      <w:proofErr w:type="spellStart"/>
      <w:r w:rsidRPr="00CB7604">
        <w:rPr>
          <w:highlight w:val="yellow"/>
        </w:rPr>
        <w:t>Elvik</w:t>
      </w:r>
      <w:proofErr w:type="spellEnd"/>
      <w:r w:rsidRPr="00CB7604">
        <w:rPr>
          <w:highlight w:val="yellow"/>
        </w:rPr>
        <w:t>,</w:t>
      </w:r>
      <w:r w:rsidRPr="00CB7604">
        <w:rPr>
          <w:spacing w:val="-3"/>
          <w:highlight w:val="yellow"/>
        </w:rPr>
        <w:t xml:space="preserve"> </w:t>
      </w:r>
      <w:r w:rsidRPr="00CB7604">
        <w:rPr>
          <w:highlight w:val="yellow"/>
        </w:rPr>
        <w:t>1997;</w:t>
      </w:r>
      <w:r w:rsidRPr="00CB7604">
        <w:rPr>
          <w:spacing w:val="-3"/>
          <w:highlight w:val="yellow"/>
        </w:rPr>
        <w:t xml:space="preserve"> </w:t>
      </w:r>
      <w:proofErr w:type="spellStart"/>
      <w:r w:rsidRPr="00CB7604">
        <w:rPr>
          <w:highlight w:val="yellow"/>
        </w:rPr>
        <w:t>Nilson</w:t>
      </w:r>
      <w:proofErr w:type="spellEnd"/>
      <w:r w:rsidRPr="00CB7604">
        <w:rPr>
          <w:highlight w:val="yellow"/>
        </w:rPr>
        <w:t>,</w:t>
      </w:r>
      <w:r w:rsidRPr="00CB7604">
        <w:rPr>
          <w:spacing w:val="-3"/>
          <w:highlight w:val="yellow"/>
        </w:rPr>
        <w:t xml:space="preserve"> </w:t>
      </w:r>
      <w:r w:rsidRPr="00CB7604">
        <w:rPr>
          <w:highlight w:val="yellow"/>
        </w:rPr>
        <w:t>1991;</w:t>
      </w:r>
      <w:r w:rsidRPr="00CB7604">
        <w:rPr>
          <w:spacing w:val="-3"/>
          <w:highlight w:val="yellow"/>
        </w:rPr>
        <w:t xml:space="preserve"> </w:t>
      </w:r>
      <w:proofErr w:type="spellStart"/>
      <w:r w:rsidRPr="00CB7604">
        <w:rPr>
          <w:highlight w:val="yellow"/>
        </w:rPr>
        <w:t>Nyborg</w:t>
      </w:r>
      <w:proofErr w:type="spellEnd"/>
      <w:r w:rsidRPr="00CB7604">
        <w:rPr>
          <w:highlight w:val="yellow"/>
        </w:rPr>
        <w:t>,</w:t>
      </w:r>
      <w:r w:rsidRPr="00CB7604">
        <w:rPr>
          <w:spacing w:val="-3"/>
          <w:highlight w:val="yellow"/>
        </w:rPr>
        <w:t xml:space="preserve"> </w:t>
      </w:r>
      <w:r w:rsidRPr="00CB7604">
        <w:rPr>
          <w:highlight w:val="yellow"/>
        </w:rPr>
        <w:t xml:space="preserve">1998; </w:t>
      </w:r>
      <w:proofErr w:type="spellStart"/>
      <w:r w:rsidRPr="00CB7604">
        <w:rPr>
          <w:highlight w:val="yellow"/>
        </w:rPr>
        <w:t>Odeck</w:t>
      </w:r>
      <w:proofErr w:type="spellEnd"/>
      <w:r w:rsidRPr="00CB7604">
        <w:rPr>
          <w:highlight w:val="yellow"/>
        </w:rPr>
        <w:t xml:space="preserve"> 1991, </w:t>
      </w:r>
      <w:r w:rsidRPr="00CB7604">
        <w:rPr>
          <w:highlight w:val="yellow"/>
        </w:rPr>
        <w:lastRenderedPageBreak/>
        <w:t xml:space="preserve">1996). This is similar to conclusions in a study by </w:t>
      </w:r>
      <w:proofErr w:type="spellStart"/>
      <w:r w:rsidRPr="00CB7604">
        <w:rPr>
          <w:highlight w:val="yellow"/>
        </w:rPr>
        <w:t>Nellthorp</w:t>
      </w:r>
      <w:proofErr w:type="spellEnd"/>
      <w:r w:rsidRPr="00CB7604">
        <w:rPr>
          <w:highlight w:val="yellow"/>
        </w:rPr>
        <w:t xml:space="preserve"> and Mackie (2000)</w:t>
      </w:r>
      <w:r w:rsidRPr="00CB7604">
        <w:rPr>
          <w:spacing w:val="-2"/>
          <w:highlight w:val="yellow"/>
        </w:rPr>
        <w:t xml:space="preserve"> </w:t>
      </w:r>
      <w:r w:rsidRPr="00CB7604">
        <w:rPr>
          <w:highlight w:val="yellow"/>
        </w:rPr>
        <w:t>from the UK,</w:t>
      </w:r>
      <w:r w:rsidRPr="00CB7604">
        <w:rPr>
          <w:spacing w:val="-2"/>
          <w:highlight w:val="yellow"/>
        </w:rPr>
        <w:t xml:space="preserve"> </w:t>
      </w:r>
      <w:r w:rsidRPr="00CB7604">
        <w:rPr>
          <w:highlight w:val="yellow"/>
        </w:rPr>
        <w:t>but contrary</w:t>
      </w:r>
      <w:r w:rsidRPr="00CB7604">
        <w:rPr>
          <w:spacing w:val="-2"/>
          <w:highlight w:val="yellow"/>
        </w:rPr>
        <w:t xml:space="preserve"> </w:t>
      </w:r>
      <w:r w:rsidRPr="00CB7604">
        <w:rPr>
          <w:highlight w:val="yellow"/>
        </w:rPr>
        <w:t>to findings by McFadden (1976)</w:t>
      </w:r>
      <w:r w:rsidRPr="00CB7604">
        <w:rPr>
          <w:spacing w:val="-1"/>
          <w:highlight w:val="yellow"/>
        </w:rPr>
        <w:t xml:space="preserve"> </w:t>
      </w:r>
      <w:r w:rsidRPr="00CB7604">
        <w:rPr>
          <w:highlight w:val="yellow"/>
        </w:rPr>
        <w:t>and Gómez- Lobo</w:t>
      </w:r>
      <w:r w:rsidRPr="00CB7604">
        <w:rPr>
          <w:spacing w:val="-2"/>
          <w:highlight w:val="yellow"/>
        </w:rPr>
        <w:t xml:space="preserve"> </w:t>
      </w:r>
      <w:r w:rsidRPr="00CB7604">
        <w:rPr>
          <w:highlight w:val="yellow"/>
        </w:rPr>
        <w:t>(2012)</w:t>
      </w:r>
      <w:r w:rsidRPr="00CB7604">
        <w:rPr>
          <w:spacing w:val="-5"/>
          <w:highlight w:val="yellow"/>
        </w:rPr>
        <w:t xml:space="preserve"> </w:t>
      </w:r>
      <w:r w:rsidRPr="00CB7604">
        <w:rPr>
          <w:highlight w:val="yellow"/>
        </w:rPr>
        <w:t>from</w:t>
      </w:r>
      <w:r w:rsidRPr="00CB7604">
        <w:rPr>
          <w:spacing w:val="-1"/>
          <w:highlight w:val="yellow"/>
        </w:rPr>
        <w:t xml:space="preserve"> </w:t>
      </w:r>
      <w:r w:rsidRPr="00CB7604">
        <w:rPr>
          <w:highlight w:val="yellow"/>
        </w:rPr>
        <w:t>the</w:t>
      </w:r>
      <w:r w:rsidRPr="00CB7604">
        <w:rPr>
          <w:spacing w:val="-2"/>
          <w:highlight w:val="yellow"/>
        </w:rPr>
        <w:t xml:space="preserve"> </w:t>
      </w:r>
      <w:r w:rsidRPr="00CB7604">
        <w:rPr>
          <w:highlight w:val="yellow"/>
        </w:rPr>
        <w:t>U.S.</w:t>
      </w:r>
      <w:r w:rsidRPr="00CB7604">
        <w:rPr>
          <w:spacing w:val="-2"/>
          <w:highlight w:val="yellow"/>
        </w:rPr>
        <w:t xml:space="preserve"> </w:t>
      </w:r>
      <w:r w:rsidRPr="00CB7604">
        <w:rPr>
          <w:highlight w:val="yellow"/>
        </w:rPr>
        <w:t>and</w:t>
      </w:r>
      <w:r w:rsidRPr="00CB7604">
        <w:rPr>
          <w:spacing w:val="-2"/>
          <w:highlight w:val="yellow"/>
        </w:rPr>
        <w:t xml:space="preserve"> </w:t>
      </w:r>
      <w:r w:rsidRPr="00CB7604">
        <w:rPr>
          <w:highlight w:val="yellow"/>
        </w:rPr>
        <w:t>Chile</w:t>
      </w:r>
      <w:r w:rsidRPr="00CB7604">
        <w:rPr>
          <w:spacing w:val="-2"/>
          <w:highlight w:val="yellow"/>
        </w:rPr>
        <w:t xml:space="preserve"> </w:t>
      </w:r>
      <w:r w:rsidRPr="00CB7604">
        <w:rPr>
          <w:highlight w:val="yellow"/>
        </w:rPr>
        <w:t>which</w:t>
      </w:r>
      <w:r w:rsidRPr="00CB7604">
        <w:rPr>
          <w:spacing w:val="-2"/>
          <w:highlight w:val="yellow"/>
        </w:rPr>
        <w:t xml:space="preserve"> </w:t>
      </w:r>
      <w:r w:rsidRPr="00CB7604">
        <w:rPr>
          <w:highlight w:val="yellow"/>
        </w:rPr>
        <w:t>both</w:t>
      </w:r>
      <w:r w:rsidRPr="00CB7604">
        <w:rPr>
          <w:spacing w:val="-3"/>
          <w:highlight w:val="yellow"/>
        </w:rPr>
        <w:t xml:space="preserve"> </w:t>
      </w:r>
      <w:r w:rsidRPr="00CB7604">
        <w:rPr>
          <w:highlight w:val="yellow"/>
        </w:rPr>
        <w:t>found</w:t>
      </w:r>
      <w:r w:rsidRPr="00CB7604">
        <w:rPr>
          <w:spacing w:val="-2"/>
          <w:highlight w:val="yellow"/>
        </w:rPr>
        <w:t xml:space="preserve"> </w:t>
      </w:r>
      <w:r w:rsidRPr="00CB7604">
        <w:rPr>
          <w:highlight w:val="yellow"/>
        </w:rPr>
        <w:t>investment</w:t>
      </w:r>
      <w:r w:rsidRPr="00CB7604">
        <w:rPr>
          <w:spacing w:val="-2"/>
          <w:highlight w:val="yellow"/>
        </w:rPr>
        <w:t xml:space="preserve"> </w:t>
      </w:r>
      <w:r w:rsidRPr="00CB7604">
        <w:rPr>
          <w:highlight w:val="yellow"/>
        </w:rPr>
        <w:t>decisions</w:t>
      </w:r>
      <w:r w:rsidRPr="00CB7604">
        <w:rPr>
          <w:spacing w:val="-2"/>
          <w:highlight w:val="yellow"/>
        </w:rPr>
        <w:t xml:space="preserve"> </w:t>
      </w:r>
      <w:r w:rsidRPr="00CB7604">
        <w:rPr>
          <w:highlight w:val="yellow"/>
        </w:rPr>
        <w:t>to</w:t>
      </w:r>
    </w:p>
    <w:p w:rsidR="000078E9" w:rsidRDefault="000078E9">
      <w:pPr>
        <w:spacing w:line="300" w:lineRule="auto"/>
        <w:jc w:val="both"/>
        <w:sectPr w:rsidR="000078E9">
          <w:headerReference w:type="default" r:id="rId33"/>
          <w:footerReference w:type="default" r:id="rId34"/>
          <w:pgSz w:w="11910" w:h="16840"/>
          <w:pgMar w:top="1340" w:right="1660" w:bottom="1200" w:left="1120" w:header="299" w:footer="1008" w:gutter="0"/>
          <w:pgNumType w:start="1"/>
          <w:cols w:space="720"/>
        </w:sectPr>
      </w:pPr>
    </w:p>
    <w:p w:rsidR="000078E9" w:rsidRDefault="00BE2153">
      <w:pPr>
        <w:pStyle w:val="BodyText"/>
        <w:spacing w:before="82" w:line="300" w:lineRule="auto"/>
        <w:ind w:left="678" w:right="132"/>
        <w:jc w:val="both"/>
      </w:pPr>
      <w:proofErr w:type="gramStart"/>
      <w:r w:rsidRPr="00CB7604">
        <w:rPr>
          <w:highlight w:val="yellow"/>
        </w:rPr>
        <w:lastRenderedPageBreak/>
        <w:t>rely</w:t>
      </w:r>
      <w:proofErr w:type="gramEnd"/>
      <w:r w:rsidRPr="00CB7604">
        <w:rPr>
          <w:highlight w:val="yellow"/>
        </w:rPr>
        <w:t xml:space="preserve"> heavily on a positive CBA result. From a Scandinavian perspective an interesting exemption from the previous studies is </w:t>
      </w:r>
      <w:proofErr w:type="spellStart"/>
      <w:r w:rsidRPr="00CB7604">
        <w:rPr>
          <w:highlight w:val="yellow"/>
        </w:rPr>
        <w:t>Eliasson</w:t>
      </w:r>
      <w:proofErr w:type="spellEnd"/>
      <w:r w:rsidRPr="00CB7604">
        <w:rPr>
          <w:highlight w:val="yellow"/>
        </w:rPr>
        <w:t xml:space="preserve"> and Lundberg (2012) which found CBA results to have influenced project selection in the Swedish Transport Investment Plan 2010-2021.</w:t>
      </w:r>
    </w:p>
    <w:p w:rsidR="000078E9" w:rsidRDefault="00BE2153" w:rsidP="00CB7604">
      <w:pPr>
        <w:pStyle w:val="BodyText"/>
        <w:spacing w:before="240" w:line="300" w:lineRule="auto"/>
        <w:ind w:left="678" w:right="130"/>
      </w:pPr>
      <w:r>
        <w:t>The</w:t>
      </w:r>
      <w:r>
        <w:rPr>
          <w:spacing w:val="-2"/>
        </w:rPr>
        <w:t xml:space="preserve"> </w:t>
      </w:r>
      <w:r>
        <w:t>purpose</w:t>
      </w:r>
      <w:r>
        <w:rPr>
          <w:spacing w:val="-2"/>
        </w:rPr>
        <w:t xml:space="preserve"> </w:t>
      </w:r>
      <w:r>
        <w:t>of this paper</w:t>
      </w:r>
      <w:r>
        <w:rPr>
          <w:spacing w:val="-2"/>
        </w:rPr>
        <w:t xml:space="preserve"> </w:t>
      </w:r>
      <w:r>
        <w:t>is</w:t>
      </w:r>
      <w:r>
        <w:rPr>
          <w:spacing w:val="-2"/>
        </w:rPr>
        <w:t xml:space="preserve"> </w:t>
      </w:r>
      <w:r>
        <w:t>to</w:t>
      </w:r>
      <w:r>
        <w:rPr>
          <w:spacing w:val="-1"/>
        </w:rPr>
        <w:t xml:space="preserve"> </w:t>
      </w:r>
      <w:r>
        <w:t>study</w:t>
      </w:r>
      <w:r>
        <w:rPr>
          <w:spacing w:val="-3"/>
        </w:rPr>
        <w:t xml:space="preserve"> </w:t>
      </w:r>
      <w:r>
        <w:t>and</w:t>
      </w:r>
      <w:r>
        <w:rPr>
          <w:spacing w:val="-2"/>
        </w:rPr>
        <w:t xml:space="preserve"> </w:t>
      </w:r>
      <w:r>
        <w:t>compare</w:t>
      </w:r>
      <w:r>
        <w:rPr>
          <w:spacing w:val="-2"/>
        </w:rPr>
        <w:t xml:space="preserve"> </w:t>
      </w:r>
      <w:r>
        <w:t>the planning</w:t>
      </w:r>
      <w:r>
        <w:rPr>
          <w:spacing w:val="-4"/>
        </w:rPr>
        <w:t xml:space="preserve"> </w:t>
      </w:r>
      <w:r>
        <w:t>frameworks</w:t>
      </w:r>
      <w:r>
        <w:rPr>
          <w:spacing w:val="-2"/>
        </w:rPr>
        <w:t xml:space="preserve"> </w:t>
      </w:r>
      <w:r>
        <w:t>of Norway</w:t>
      </w:r>
      <w:r>
        <w:rPr>
          <w:spacing w:val="-3"/>
        </w:rPr>
        <w:t xml:space="preserve"> </w:t>
      </w:r>
      <w:r>
        <w:t>and Sweden and to investigate the role of cost-benefit</w:t>
      </w:r>
      <w:r>
        <w:rPr>
          <w:spacing w:val="-3"/>
        </w:rPr>
        <w:t xml:space="preserve"> </w:t>
      </w:r>
      <w:r>
        <w:t>analyses</w:t>
      </w:r>
      <w:r>
        <w:rPr>
          <w:spacing w:val="-1"/>
        </w:rPr>
        <w:t xml:space="preserve"> </w:t>
      </w:r>
      <w:r>
        <w:t xml:space="preserve">in the decision-making process by exploring how project selection is influenced by the CBA. The paper is organised as follows. </w:t>
      </w:r>
      <w:r w:rsidR="00CB7604">
        <w:br/>
      </w:r>
      <w:r w:rsidRPr="00CB7604">
        <w:rPr>
          <w:highlight w:val="yellow"/>
        </w:rPr>
        <w:t>Section 2 describes the planning process and the appraisal methodologies of Norway and Sweden including values of central parameters used in the CBA. Section 3 presents the data used in the study and explores how project selection is influ</w:t>
      </w:r>
      <w:r w:rsidR="00CB7604" w:rsidRPr="00CB7604">
        <w:rPr>
          <w:highlight w:val="yellow"/>
        </w:rPr>
        <w:t xml:space="preserve">enced by benefit- cost ratios. </w:t>
      </w:r>
      <w:r w:rsidR="00CB7604" w:rsidRPr="00CB7604">
        <w:rPr>
          <w:highlight w:val="yellow"/>
        </w:rPr>
        <w:br/>
      </w:r>
      <w:r w:rsidRPr="00CB7604">
        <w:rPr>
          <w:highlight w:val="yellow"/>
        </w:rPr>
        <w:t>Section 4 we offer some conclusions.</w:t>
      </w:r>
    </w:p>
    <w:p w:rsidR="000078E9" w:rsidRDefault="00BE2153">
      <w:pPr>
        <w:pStyle w:val="Heading1"/>
        <w:numPr>
          <w:ilvl w:val="0"/>
          <w:numId w:val="1"/>
        </w:numPr>
        <w:tabs>
          <w:tab w:val="left" w:pos="677"/>
        </w:tabs>
        <w:ind w:left="677" w:hanging="566"/>
      </w:pPr>
      <w:r>
        <w:t>THE</w:t>
      </w:r>
      <w:r>
        <w:rPr>
          <w:spacing w:val="-4"/>
        </w:rPr>
        <w:t xml:space="preserve"> </w:t>
      </w:r>
      <w:r>
        <w:t>PLANNING</w:t>
      </w:r>
      <w:r>
        <w:rPr>
          <w:spacing w:val="-2"/>
        </w:rPr>
        <w:t xml:space="preserve"> </w:t>
      </w:r>
      <w:r>
        <w:t>PROCESS</w:t>
      </w:r>
      <w:r>
        <w:rPr>
          <w:spacing w:val="-2"/>
        </w:rPr>
        <w:t xml:space="preserve"> </w:t>
      </w:r>
      <w:r>
        <w:t>IN</w:t>
      </w:r>
      <w:r>
        <w:rPr>
          <w:spacing w:val="-1"/>
        </w:rPr>
        <w:t xml:space="preserve"> </w:t>
      </w:r>
      <w:r>
        <w:t>NORWAY AND</w:t>
      </w:r>
      <w:r>
        <w:rPr>
          <w:spacing w:val="-2"/>
        </w:rPr>
        <w:t xml:space="preserve"> SWEDEN</w:t>
      </w:r>
    </w:p>
    <w:p w:rsidR="000078E9" w:rsidRDefault="00BE2153">
      <w:pPr>
        <w:pStyle w:val="BodyText"/>
        <w:spacing w:before="240" w:line="300" w:lineRule="auto"/>
        <w:ind w:left="678" w:right="132"/>
        <w:jc w:val="both"/>
      </w:pPr>
      <w:r>
        <w:t>Transport planning in Norwegian and Sweden has several commonalities. Both countries make long term plans based on national strategic goals where individual projects that fulfil these goals undergo a thorough assessment;</w:t>
      </w:r>
      <w:r>
        <w:rPr>
          <w:spacing w:val="40"/>
        </w:rPr>
        <w:t xml:space="preserve"> </w:t>
      </w:r>
      <w:r>
        <w:t>often based on a wider political process. Both countries have strong economic-rationalistic planning traditions which emphasize the use of analytical tools such as models, forecasts and software programs. There is a long standing tradition in the use of CBA in both countries and the CBA approaches are based on very similar principles.</w:t>
      </w:r>
    </w:p>
    <w:p w:rsidR="001E1855" w:rsidRDefault="00BE2153">
      <w:pPr>
        <w:pStyle w:val="BodyText"/>
        <w:spacing w:before="240" w:line="300" w:lineRule="auto"/>
        <w:ind w:left="678" w:right="133"/>
        <w:jc w:val="both"/>
        <w:rPr>
          <w:spacing w:val="40"/>
        </w:rPr>
      </w:pPr>
      <w:r>
        <w:t>An important difference between Norway and Sweden is with regards to the organizational framework of the institutions that deal with transport planning.</w:t>
      </w:r>
      <w:r>
        <w:rPr>
          <w:spacing w:val="40"/>
        </w:rPr>
        <w:t xml:space="preserve"> </w:t>
      </w:r>
    </w:p>
    <w:p w:rsidR="001E1855" w:rsidRPr="001E1855" w:rsidRDefault="00BE2153" w:rsidP="001E1855">
      <w:pPr>
        <w:pStyle w:val="BodyText"/>
        <w:numPr>
          <w:ilvl w:val="0"/>
          <w:numId w:val="2"/>
        </w:numPr>
        <w:spacing w:before="240" w:line="300" w:lineRule="auto"/>
        <w:ind w:right="133"/>
        <w:jc w:val="both"/>
        <w:rPr>
          <w:highlight w:val="yellow"/>
        </w:rPr>
      </w:pPr>
      <w:r w:rsidRPr="001E1855">
        <w:rPr>
          <w:highlight w:val="yellow"/>
        </w:rPr>
        <w:t xml:space="preserve">In Norway the Public Roads Administration is organised directly under the Ministry of Transport and Communication with regards to matters related to national roads. </w:t>
      </w:r>
    </w:p>
    <w:p w:rsidR="001E1855" w:rsidRPr="001E1855" w:rsidRDefault="00BE2153" w:rsidP="001E1855">
      <w:pPr>
        <w:pStyle w:val="BodyText"/>
        <w:numPr>
          <w:ilvl w:val="0"/>
          <w:numId w:val="2"/>
        </w:numPr>
        <w:spacing w:before="240" w:line="300" w:lineRule="auto"/>
        <w:ind w:right="133"/>
        <w:jc w:val="both"/>
        <w:rPr>
          <w:highlight w:val="yellow"/>
        </w:rPr>
      </w:pPr>
      <w:r w:rsidRPr="001E1855">
        <w:rPr>
          <w:highlight w:val="yellow"/>
        </w:rPr>
        <w:t>In Sweden the Swedish Transport Administration has a more independent role. These differences are manifested in the observed planning practices; Sweden has a more instrumental/rationalistic and expert driven planning processes whereas Norway has a more communicative and politically driven planning processes at different levels.</w:t>
      </w:r>
    </w:p>
    <w:p w:rsidR="000078E9" w:rsidRDefault="00BE2153">
      <w:pPr>
        <w:pStyle w:val="BodyText"/>
        <w:spacing w:before="240" w:line="300" w:lineRule="auto"/>
        <w:ind w:left="678" w:right="133"/>
        <w:jc w:val="both"/>
      </w:pPr>
      <w:r>
        <w:t xml:space="preserve">It should be noted that even though both countries use CBA in making their plans, </w:t>
      </w:r>
      <w:r w:rsidRPr="00793896">
        <w:rPr>
          <w:highlight w:val="yellow"/>
        </w:rPr>
        <w:t xml:space="preserve">different goal conflicts may imply that CBA alone is not decisive for the selection of project </w:t>
      </w:r>
      <w:r w:rsidRPr="00793896">
        <w:rPr>
          <w:spacing w:val="-2"/>
          <w:highlight w:val="yellow"/>
        </w:rPr>
        <w:t>portfolios</w:t>
      </w:r>
      <w:r>
        <w:rPr>
          <w:spacing w:val="-2"/>
        </w:rPr>
        <w:t>.</w:t>
      </w:r>
    </w:p>
    <w:p w:rsidR="000078E9" w:rsidRDefault="000078E9">
      <w:pPr>
        <w:spacing w:line="300" w:lineRule="auto"/>
        <w:jc w:val="both"/>
        <w:sectPr w:rsidR="000078E9">
          <w:pgSz w:w="11910" w:h="16840"/>
          <w:pgMar w:top="1340" w:right="1660" w:bottom="1200" w:left="1120" w:header="299" w:footer="1008" w:gutter="0"/>
          <w:cols w:space="720"/>
        </w:sectPr>
      </w:pPr>
    </w:p>
    <w:p w:rsidR="000078E9" w:rsidRDefault="00BE2153">
      <w:pPr>
        <w:pStyle w:val="BodyText"/>
        <w:spacing w:before="82" w:line="300" w:lineRule="auto"/>
        <w:ind w:left="678" w:right="141"/>
        <w:jc w:val="both"/>
      </w:pPr>
      <w:r>
        <w:lastRenderedPageBreak/>
        <w:t>The approaches</w:t>
      </w:r>
      <w:r>
        <w:rPr>
          <w:spacing w:val="-1"/>
        </w:rPr>
        <w:t xml:space="preserve"> </w:t>
      </w:r>
      <w:r>
        <w:t>to CBA in Sweden and Norway</w:t>
      </w:r>
      <w:r>
        <w:rPr>
          <w:spacing w:val="-1"/>
        </w:rPr>
        <w:t xml:space="preserve"> </w:t>
      </w:r>
      <w:r>
        <w:t>are very</w:t>
      </w:r>
      <w:r>
        <w:rPr>
          <w:spacing w:val="-2"/>
        </w:rPr>
        <w:t xml:space="preserve"> </w:t>
      </w:r>
      <w:r>
        <w:t>similar to each other and, the development and improvement of the methods used follow each other very closely.</w:t>
      </w:r>
    </w:p>
    <w:p w:rsidR="000078E9" w:rsidRDefault="00DD301B">
      <w:pPr>
        <w:pStyle w:val="BodyText"/>
        <w:spacing w:before="239" w:line="300" w:lineRule="auto"/>
        <w:ind w:left="678" w:right="132"/>
        <w:jc w:val="both"/>
      </w:pPr>
      <w:hyperlink w:anchor="_bookmark0" w:history="1">
        <w:r w:rsidR="00BE2153">
          <w:t>Table 1</w:t>
        </w:r>
      </w:hyperlink>
      <w:r w:rsidR="00BE2153">
        <w:t xml:space="preserve"> presents the most important parameters and their values in the CBA guidelines of the two countries. The table shows the parameters that were used for the appraisal studies in the current paper.</w:t>
      </w:r>
    </w:p>
    <w:p w:rsidR="000078E9" w:rsidRDefault="00BE2153">
      <w:pPr>
        <w:spacing w:before="239" w:line="242" w:lineRule="auto"/>
        <w:ind w:left="678" w:right="123"/>
        <w:rPr>
          <w:b/>
          <w:sz w:val="20"/>
        </w:rPr>
      </w:pPr>
      <w:bookmarkStart w:id="0" w:name="_bookmark0"/>
      <w:bookmarkEnd w:id="0"/>
      <w:r>
        <w:rPr>
          <w:b/>
          <w:sz w:val="20"/>
        </w:rPr>
        <w:t>Table</w:t>
      </w:r>
      <w:r>
        <w:rPr>
          <w:b/>
          <w:spacing w:val="-4"/>
          <w:sz w:val="20"/>
        </w:rPr>
        <w:t xml:space="preserve"> </w:t>
      </w:r>
      <w:r>
        <w:rPr>
          <w:b/>
          <w:sz w:val="20"/>
        </w:rPr>
        <w:t>1:</w:t>
      </w:r>
      <w:r>
        <w:rPr>
          <w:b/>
          <w:spacing w:val="-3"/>
          <w:sz w:val="20"/>
        </w:rPr>
        <w:t xml:space="preserve"> </w:t>
      </w:r>
      <w:r>
        <w:rPr>
          <w:b/>
          <w:sz w:val="20"/>
        </w:rPr>
        <w:t>Some</w:t>
      </w:r>
      <w:r>
        <w:rPr>
          <w:b/>
          <w:spacing w:val="-4"/>
          <w:sz w:val="20"/>
        </w:rPr>
        <w:t xml:space="preserve"> </w:t>
      </w:r>
      <w:r>
        <w:rPr>
          <w:b/>
          <w:sz w:val="20"/>
        </w:rPr>
        <w:t>of</w:t>
      </w:r>
      <w:r>
        <w:rPr>
          <w:b/>
          <w:spacing w:val="-3"/>
          <w:sz w:val="20"/>
        </w:rPr>
        <w:t xml:space="preserve"> </w:t>
      </w:r>
      <w:r>
        <w:rPr>
          <w:b/>
          <w:sz w:val="20"/>
        </w:rPr>
        <w:t>the</w:t>
      </w:r>
      <w:r>
        <w:rPr>
          <w:b/>
          <w:spacing w:val="-4"/>
          <w:sz w:val="20"/>
        </w:rPr>
        <w:t xml:space="preserve"> </w:t>
      </w:r>
      <w:r>
        <w:rPr>
          <w:b/>
          <w:sz w:val="20"/>
        </w:rPr>
        <w:t>parameters</w:t>
      </w:r>
      <w:r>
        <w:rPr>
          <w:b/>
          <w:spacing w:val="-4"/>
          <w:sz w:val="20"/>
        </w:rPr>
        <w:t xml:space="preserve"> </w:t>
      </w:r>
      <w:r>
        <w:rPr>
          <w:b/>
          <w:sz w:val="20"/>
        </w:rPr>
        <w:t>used</w:t>
      </w:r>
      <w:r>
        <w:rPr>
          <w:b/>
          <w:spacing w:val="-3"/>
          <w:sz w:val="20"/>
        </w:rPr>
        <w:t xml:space="preserve"> </w:t>
      </w:r>
      <w:r>
        <w:rPr>
          <w:b/>
          <w:sz w:val="20"/>
        </w:rPr>
        <w:t>in</w:t>
      </w:r>
      <w:r>
        <w:rPr>
          <w:b/>
          <w:spacing w:val="-1"/>
          <w:sz w:val="20"/>
        </w:rPr>
        <w:t xml:space="preserve"> </w:t>
      </w:r>
      <w:r>
        <w:rPr>
          <w:b/>
          <w:sz w:val="20"/>
        </w:rPr>
        <w:t>Swedish</w:t>
      </w:r>
      <w:r>
        <w:rPr>
          <w:b/>
          <w:spacing w:val="-4"/>
          <w:sz w:val="20"/>
        </w:rPr>
        <w:t xml:space="preserve"> </w:t>
      </w:r>
      <w:r>
        <w:rPr>
          <w:b/>
          <w:sz w:val="20"/>
        </w:rPr>
        <w:t>and</w:t>
      </w:r>
      <w:r>
        <w:rPr>
          <w:b/>
          <w:spacing w:val="-3"/>
          <w:sz w:val="20"/>
        </w:rPr>
        <w:t xml:space="preserve"> </w:t>
      </w:r>
      <w:r>
        <w:rPr>
          <w:b/>
          <w:sz w:val="20"/>
        </w:rPr>
        <w:t>Norwegian</w:t>
      </w:r>
      <w:r>
        <w:rPr>
          <w:b/>
          <w:spacing w:val="-4"/>
          <w:sz w:val="20"/>
        </w:rPr>
        <w:t xml:space="preserve"> </w:t>
      </w:r>
      <w:r>
        <w:rPr>
          <w:b/>
          <w:sz w:val="20"/>
        </w:rPr>
        <w:t xml:space="preserve">transport-related </w:t>
      </w:r>
      <w:proofErr w:type="spellStart"/>
      <w:r>
        <w:rPr>
          <w:b/>
          <w:spacing w:val="-4"/>
          <w:sz w:val="20"/>
        </w:rPr>
        <w:t>CBAs</w:t>
      </w:r>
      <w:proofErr w:type="spellEnd"/>
    </w:p>
    <w:p w:rsidR="000078E9" w:rsidRDefault="000078E9">
      <w:pPr>
        <w:pStyle w:val="BodyText"/>
        <w:spacing w:before="6"/>
        <w:rPr>
          <w:b/>
          <w:sz w:val="17"/>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2801"/>
        <w:gridCol w:w="1700"/>
        <w:gridCol w:w="1702"/>
      </w:tblGrid>
      <w:tr w:rsidR="000078E9">
        <w:trPr>
          <w:trHeight w:val="302"/>
        </w:trPr>
        <w:tc>
          <w:tcPr>
            <w:tcW w:w="2235" w:type="dxa"/>
          </w:tcPr>
          <w:p w:rsidR="000078E9" w:rsidRDefault="000078E9">
            <w:pPr>
              <w:pStyle w:val="TableParagraph"/>
              <w:jc w:val="left"/>
              <w:rPr>
                <w:rFonts w:ascii="Times New Roman"/>
              </w:rPr>
            </w:pPr>
          </w:p>
        </w:tc>
        <w:tc>
          <w:tcPr>
            <w:tcW w:w="2801" w:type="dxa"/>
          </w:tcPr>
          <w:p w:rsidR="000078E9" w:rsidRDefault="000078E9">
            <w:pPr>
              <w:pStyle w:val="TableParagraph"/>
              <w:jc w:val="left"/>
              <w:rPr>
                <w:rFonts w:ascii="Times New Roman"/>
              </w:rPr>
            </w:pPr>
          </w:p>
        </w:tc>
        <w:tc>
          <w:tcPr>
            <w:tcW w:w="1700" w:type="dxa"/>
          </w:tcPr>
          <w:p w:rsidR="000078E9" w:rsidRDefault="00BE2153">
            <w:pPr>
              <w:pStyle w:val="TableParagraph"/>
              <w:spacing w:before="69" w:line="213" w:lineRule="exact"/>
              <w:ind w:left="105"/>
              <w:jc w:val="left"/>
              <w:rPr>
                <w:b/>
                <w:sz w:val="20"/>
              </w:rPr>
            </w:pPr>
            <w:r>
              <w:rPr>
                <w:b/>
                <w:spacing w:val="-2"/>
                <w:sz w:val="20"/>
              </w:rPr>
              <w:t>Sweden</w:t>
            </w:r>
          </w:p>
        </w:tc>
        <w:tc>
          <w:tcPr>
            <w:tcW w:w="1702" w:type="dxa"/>
          </w:tcPr>
          <w:p w:rsidR="000078E9" w:rsidRDefault="00BE2153">
            <w:pPr>
              <w:pStyle w:val="TableParagraph"/>
              <w:spacing w:before="69" w:line="213" w:lineRule="exact"/>
              <w:ind w:left="107"/>
              <w:jc w:val="left"/>
              <w:rPr>
                <w:b/>
                <w:sz w:val="20"/>
              </w:rPr>
            </w:pPr>
            <w:r>
              <w:rPr>
                <w:b/>
                <w:spacing w:val="-2"/>
                <w:sz w:val="20"/>
              </w:rPr>
              <w:t>Norway</w:t>
            </w:r>
          </w:p>
        </w:tc>
      </w:tr>
      <w:tr w:rsidR="000078E9">
        <w:trPr>
          <w:trHeight w:val="332"/>
        </w:trPr>
        <w:tc>
          <w:tcPr>
            <w:tcW w:w="2235" w:type="dxa"/>
            <w:vMerge w:val="restart"/>
          </w:tcPr>
          <w:p w:rsidR="000078E9" w:rsidRPr="00793896" w:rsidRDefault="00BE2153">
            <w:pPr>
              <w:pStyle w:val="TableParagraph"/>
              <w:spacing w:before="66"/>
              <w:ind w:left="107"/>
              <w:jc w:val="left"/>
              <w:rPr>
                <w:b/>
                <w:sz w:val="20"/>
                <w:highlight w:val="yellow"/>
              </w:rPr>
            </w:pPr>
            <w:r w:rsidRPr="00793896">
              <w:rPr>
                <w:b/>
                <w:sz w:val="20"/>
                <w:highlight w:val="yellow"/>
              </w:rPr>
              <w:t>Travel</w:t>
            </w:r>
            <w:r w:rsidRPr="00793896">
              <w:rPr>
                <w:b/>
                <w:spacing w:val="-7"/>
                <w:sz w:val="20"/>
                <w:highlight w:val="yellow"/>
              </w:rPr>
              <w:t xml:space="preserve"> </w:t>
            </w:r>
            <w:r w:rsidRPr="00793896">
              <w:rPr>
                <w:b/>
                <w:sz w:val="20"/>
                <w:highlight w:val="yellow"/>
              </w:rPr>
              <w:t>time</w:t>
            </w:r>
            <w:r w:rsidRPr="00793896">
              <w:rPr>
                <w:b/>
                <w:spacing w:val="-5"/>
                <w:sz w:val="20"/>
                <w:highlight w:val="yellow"/>
              </w:rPr>
              <w:t xml:space="preserve"> </w:t>
            </w:r>
            <w:r w:rsidRPr="00793896">
              <w:rPr>
                <w:b/>
                <w:spacing w:val="-2"/>
                <w:sz w:val="20"/>
                <w:highlight w:val="yellow"/>
              </w:rPr>
              <w:t>savings</w:t>
            </w:r>
          </w:p>
        </w:tc>
        <w:tc>
          <w:tcPr>
            <w:tcW w:w="2801" w:type="dxa"/>
            <w:tcBorders>
              <w:bottom w:val="nil"/>
            </w:tcBorders>
          </w:tcPr>
          <w:p w:rsidR="000078E9" w:rsidRPr="00793896" w:rsidRDefault="00BE2153">
            <w:pPr>
              <w:pStyle w:val="TableParagraph"/>
              <w:spacing w:before="69"/>
              <w:ind w:left="107"/>
              <w:jc w:val="left"/>
              <w:rPr>
                <w:sz w:val="20"/>
                <w:highlight w:val="yellow"/>
              </w:rPr>
            </w:pPr>
            <w:r w:rsidRPr="00793896">
              <w:rPr>
                <w:sz w:val="20"/>
                <w:highlight w:val="yellow"/>
              </w:rPr>
              <w:t>Private</w:t>
            </w:r>
            <w:r w:rsidRPr="00793896">
              <w:rPr>
                <w:spacing w:val="-7"/>
                <w:sz w:val="20"/>
                <w:highlight w:val="yellow"/>
              </w:rPr>
              <w:t xml:space="preserve"> </w:t>
            </w:r>
            <w:r w:rsidRPr="00793896">
              <w:rPr>
                <w:sz w:val="20"/>
                <w:highlight w:val="yellow"/>
              </w:rPr>
              <w:t>trips</w:t>
            </w:r>
            <w:r w:rsidRPr="00793896">
              <w:rPr>
                <w:spacing w:val="-6"/>
                <w:sz w:val="20"/>
                <w:highlight w:val="yellow"/>
              </w:rPr>
              <w:t xml:space="preserve"> </w:t>
            </w:r>
            <w:r w:rsidRPr="00793896">
              <w:rPr>
                <w:sz w:val="20"/>
                <w:highlight w:val="yellow"/>
              </w:rPr>
              <w:t>&lt;10</w:t>
            </w:r>
            <w:r w:rsidRPr="00793896">
              <w:rPr>
                <w:spacing w:val="-7"/>
                <w:sz w:val="20"/>
                <w:highlight w:val="yellow"/>
              </w:rPr>
              <w:t xml:space="preserve"> </w:t>
            </w:r>
            <w:r w:rsidRPr="00793896">
              <w:rPr>
                <w:spacing w:val="-5"/>
                <w:sz w:val="20"/>
                <w:highlight w:val="yellow"/>
              </w:rPr>
              <w:t>km</w:t>
            </w:r>
          </w:p>
        </w:tc>
        <w:tc>
          <w:tcPr>
            <w:tcW w:w="1700" w:type="dxa"/>
            <w:tcBorders>
              <w:bottom w:val="nil"/>
            </w:tcBorders>
          </w:tcPr>
          <w:p w:rsidR="000078E9" w:rsidRDefault="00BE2153">
            <w:pPr>
              <w:pStyle w:val="TableParagraph"/>
              <w:spacing w:before="69"/>
              <w:ind w:left="105"/>
              <w:jc w:val="left"/>
              <w:rPr>
                <w:sz w:val="20"/>
              </w:rPr>
            </w:pPr>
            <w:r>
              <w:rPr>
                <w:sz w:val="20"/>
              </w:rPr>
              <w:t>5.9</w:t>
            </w:r>
            <w:r>
              <w:rPr>
                <w:spacing w:val="-4"/>
                <w:sz w:val="20"/>
              </w:rPr>
              <w:t xml:space="preserve"> </w:t>
            </w:r>
            <w:proofErr w:type="spellStart"/>
            <w:r>
              <w:rPr>
                <w:spacing w:val="-2"/>
                <w:sz w:val="20"/>
              </w:rPr>
              <w:t>EUR</w:t>
            </w:r>
            <w:proofErr w:type="spellEnd"/>
            <w:r>
              <w:rPr>
                <w:spacing w:val="-2"/>
                <w:sz w:val="20"/>
              </w:rPr>
              <w:t>/h</w:t>
            </w:r>
          </w:p>
        </w:tc>
        <w:tc>
          <w:tcPr>
            <w:tcW w:w="1702" w:type="dxa"/>
            <w:tcBorders>
              <w:bottom w:val="nil"/>
            </w:tcBorders>
          </w:tcPr>
          <w:p w:rsidR="000078E9" w:rsidRDefault="00BE2153">
            <w:pPr>
              <w:pStyle w:val="TableParagraph"/>
              <w:spacing w:before="69"/>
              <w:ind w:left="107"/>
              <w:jc w:val="left"/>
              <w:rPr>
                <w:sz w:val="20"/>
              </w:rPr>
            </w:pPr>
            <w:r>
              <w:rPr>
                <w:sz w:val="20"/>
              </w:rPr>
              <w:t>10.6</w:t>
            </w:r>
            <w:r>
              <w:rPr>
                <w:spacing w:val="-6"/>
                <w:sz w:val="20"/>
              </w:rPr>
              <w:t xml:space="preserve"> </w:t>
            </w:r>
            <w:proofErr w:type="spellStart"/>
            <w:r>
              <w:rPr>
                <w:spacing w:val="-2"/>
                <w:sz w:val="20"/>
              </w:rPr>
              <w:t>EUR</w:t>
            </w:r>
            <w:proofErr w:type="spellEnd"/>
            <w:r>
              <w:rPr>
                <w:spacing w:val="-2"/>
                <w:sz w:val="20"/>
              </w:rPr>
              <w:t>/h</w:t>
            </w:r>
          </w:p>
        </w:tc>
      </w:tr>
      <w:tr w:rsidR="000078E9">
        <w:trPr>
          <w:trHeight w:val="290"/>
        </w:trPr>
        <w:tc>
          <w:tcPr>
            <w:tcW w:w="2235" w:type="dxa"/>
            <w:vMerge/>
            <w:tcBorders>
              <w:top w:val="nil"/>
            </w:tcBorders>
          </w:tcPr>
          <w:p w:rsidR="000078E9" w:rsidRPr="00793896" w:rsidRDefault="000078E9">
            <w:pPr>
              <w:rPr>
                <w:sz w:val="2"/>
                <w:szCs w:val="2"/>
                <w:highlight w:val="yellow"/>
              </w:rPr>
            </w:pPr>
          </w:p>
        </w:tc>
        <w:tc>
          <w:tcPr>
            <w:tcW w:w="2801" w:type="dxa"/>
            <w:tcBorders>
              <w:top w:val="nil"/>
              <w:bottom w:val="nil"/>
            </w:tcBorders>
          </w:tcPr>
          <w:p w:rsidR="000078E9" w:rsidRPr="00793896" w:rsidRDefault="00BE2153">
            <w:pPr>
              <w:pStyle w:val="TableParagraph"/>
              <w:spacing w:before="26"/>
              <w:ind w:left="107"/>
              <w:jc w:val="left"/>
              <w:rPr>
                <w:sz w:val="20"/>
                <w:highlight w:val="yellow"/>
              </w:rPr>
            </w:pPr>
            <w:r w:rsidRPr="00793896">
              <w:rPr>
                <w:sz w:val="20"/>
                <w:highlight w:val="yellow"/>
              </w:rPr>
              <w:t>Private</w:t>
            </w:r>
            <w:r w:rsidRPr="00793896">
              <w:rPr>
                <w:spacing w:val="-7"/>
                <w:sz w:val="20"/>
                <w:highlight w:val="yellow"/>
              </w:rPr>
              <w:t xml:space="preserve"> </w:t>
            </w:r>
            <w:r w:rsidRPr="00793896">
              <w:rPr>
                <w:sz w:val="20"/>
                <w:highlight w:val="yellow"/>
              </w:rPr>
              <w:t>trips</w:t>
            </w:r>
            <w:r w:rsidRPr="00793896">
              <w:rPr>
                <w:spacing w:val="-6"/>
                <w:sz w:val="20"/>
                <w:highlight w:val="yellow"/>
              </w:rPr>
              <w:t xml:space="preserve"> </w:t>
            </w:r>
            <w:r w:rsidRPr="00793896">
              <w:rPr>
                <w:sz w:val="20"/>
                <w:highlight w:val="yellow"/>
              </w:rPr>
              <w:t>&gt;10</w:t>
            </w:r>
            <w:r w:rsidRPr="00793896">
              <w:rPr>
                <w:spacing w:val="-7"/>
                <w:sz w:val="20"/>
                <w:highlight w:val="yellow"/>
              </w:rPr>
              <w:t xml:space="preserve"> </w:t>
            </w:r>
            <w:r w:rsidRPr="00793896">
              <w:rPr>
                <w:spacing w:val="-5"/>
                <w:sz w:val="20"/>
                <w:highlight w:val="yellow"/>
              </w:rPr>
              <w:t>km</w:t>
            </w:r>
          </w:p>
        </w:tc>
        <w:tc>
          <w:tcPr>
            <w:tcW w:w="1700" w:type="dxa"/>
            <w:tcBorders>
              <w:top w:val="nil"/>
              <w:bottom w:val="nil"/>
            </w:tcBorders>
          </w:tcPr>
          <w:p w:rsidR="000078E9" w:rsidRDefault="00BE2153">
            <w:pPr>
              <w:pStyle w:val="TableParagraph"/>
              <w:spacing w:before="26"/>
              <w:ind w:left="105"/>
              <w:jc w:val="left"/>
              <w:rPr>
                <w:sz w:val="20"/>
              </w:rPr>
            </w:pPr>
            <w:r>
              <w:rPr>
                <w:sz w:val="20"/>
              </w:rPr>
              <w:t>11.7</w:t>
            </w:r>
            <w:r>
              <w:rPr>
                <w:spacing w:val="-6"/>
                <w:sz w:val="20"/>
              </w:rPr>
              <w:t xml:space="preserve"> </w:t>
            </w:r>
            <w:proofErr w:type="spellStart"/>
            <w:r>
              <w:rPr>
                <w:spacing w:val="-2"/>
                <w:sz w:val="20"/>
              </w:rPr>
              <w:t>EUR</w:t>
            </w:r>
            <w:proofErr w:type="spellEnd"/>
            <w:r>
              <w:rPr>
                <w:spacing w:val="-2"/>
                <w:sz w:val="20"/>
              </w:rPr>
              <w:t>/h</w:t>
            </w:r>
          </w:p>
        </w:tc>
        <w:tc>
          <w:tcPr>
            <w:tcW w:w="1702" w:type="dxa"/>
            <w:tcBorders>
              <w:top w:val="nil"/>
              <w:bottom w:val="nil"/>
            </w:tcBorders>
          </w:tcPr>
          <w:p w:rsidR="000078E9" w:rsidRDefault="00BE2153">
            <w:pPr>
              <w:pStyle w:val="TableParagraph"/>
              <w:spacing w:before="26"/>
              <w:ind w:left="107"/>
              <w:jc w:val="left"/>
              <w:rPr>
                <w:sz w:val="20"/>
              </w:rPr>
            </w:pPr>
            <w:r>
              <w:rPr>
                <w:sz w:val="20"/>
              </w:rPr>
              <w:t>20,2</w:t>
            </w:r>
            <w:r>
              <w:rPr>
                <w:spacing w:val="-6"/>
                <w:sz w:val="20"/>
              </w:rPr>
              <w:t xml:space="preserve"> </w:t>
            </w:r>
            <w:proofErr w:type="spellStart"/>
            <w:r>
              <w:rPr>
                <w:spacing w:val="-2"/>
                <w:sz w:val="20"/>
              </w:rPr>
              <w:t>EUR</w:t>
            </w:r>
            <w:proofErr w:type="spellEnd"/>
            <w:r>
              <w:rPr>
                <w:spacing w:val="-2"/>
                <w:sz w:val="20"/>
              </w:rPr>
              <w:t>/h</w:t>
            </w:r>
          </w:p>
        </w:tc>
      </w:tr>
      <w:tr w:rsidR="000078E9">
        <w:trPr>
          <w:trHeight w:val="257"/>
        </w:trPr>
        <w:tc>
          <w:tcPr>
            <w:tcW w:w="2235" w:type="dxa"/>
            <w:vMerge/>
            <w:tcBorders>
              <w:top w:val="nil"/>
            </w:tcBorders>
          </w:tcPr>
          <w:p w:rsidR="000078E9" w:rsidRPr="00793896" w:rsidRDefault="000078E9">
            <w:pPr>
              <w:rPr>
                <w:sz w:val="2"/>
                <w:szCs w:val="2"/>
                <w:highlight w:val="yellow"/>
              </w:rPr>
            </w:pPr>
          </w:p>
        </w:tc>
        <w:tc>
          <w:tcPr>
            <w:tcW w:w="2801" w:type="dxa"/>
            <w:tcBorders>
              <w:top w:val="nil"/>
            </w:tcBorders>
          </w:tcPr>
          <w:p w:rsidR="000078E9" w:rsidRPr="00793896" w:rsidRDefault="00BE2153">
            <w:pPr>
              <w:pStyle w:val="TableParagraph"/>
              <w:spacing w:before="26" w:line="211" w:lineRule="exact"/>
              <w:ind w:left="107"/>
              <w:jc w:val="left"/>
              <w:rPr>
                <w:sz w:val="20"/>
                <w:highlight w:val="yellow"/>
              </w:rPr>
            </w:pPr>
            <w:r w:rsidRPr="00793896">
              <w:rPr>
                <w:sz w:val="20"/>
                <w:highlight w:val="yellow"/>
              </w:rPr>
              <w:t>Business</w:t>
            </w:r>
            <w:r w:rsidRPr="00793896">
              <w:rPr>
                <w:spacing w:val="-11"/>
                <w:sz w:val="20"/>
                <w:highlight w:val="yellow"/>
              </w:rPr>
              <w:t xml:space="preserve"> </w:t>
            </w:r>
            <w:r w:rsidRPr="00793896">
              <w:rPr>
                <w:spacing w:val="-2"/>
                <w:sz w:val="20"/>
                <w:highlight w:val="yellow"/>
              </w:rPr>
              <w:t>trips</w:t>
            </w:r>
          </w:p>
        </w:tc>
        <w:tc>
          <w:tcPr>
            <w:tcW w:w="1700" w:type="dxa"/>
            <w:tcBorders>
              <w:top w:val="nil"/>
            </w:tcBorders>
          </w:tcPr>
          <w:p w:rsidR="000078E9" w:rsidRDefault="00BE2153">
            <w:pPr>
              <w:pStyle w:val="TableParagraph"/>
              <w:spacing w:before="26" w:line="211" w:lineRule="exact"/>
              <w:ind w:left="105"/>
              <w:jc w:val="left"/>
              <w:rPr>
                <w:sz w:val="20"/>
              </w:rPr>
            </w:pPr>
            <w:r>
              <w:rPr>
                <w:sz w:val="20"/>
              </w:rPr>
              <w:t>31.7</w:t>
            </w:r>
            <w:r>
              <w:rPr>
                <w:spacing w:val="-6"/>
                <w:sz w:val="20"/>
              </w:rPr>
              <w:t xml:space="preserve"> </w:t>
            </w:r>
            <w:proofErr w:type="spellStart"/>
            <w:r>
              <w:rPr>
                <w:spacing w:val="-2"/>
                <w:sz w:val="20"/>
              </w:rPr>
              <w:t>EUR</w:t>
            </w:r>
            <w:proofErr w:type="spellEnd"/>
            <w:r>
              <w:rPr>
                <w:spacing w:val="-2"/>
                <w:sz w:val="20"/>
              </w:rPr>
              <w:t>/h</w:t>
            </w:r>
          </w:p>
        </w:tc>
        <w:tc>
          <w:tcPr>
            <w:tcW w:w="1702" w:type="dxa"/>
            <w:tcBorders>
              <w:top w:val="nil"/>
            </w:tcBorders>
          </w:tcPr>
          <w:p w:rsidR="000078E9" w:rsidRDefault="00BE2153">
            <w:pPr>
              <w:pStyle w:val="TableParagraph"/>
              <w:spacing w:before="26" w:line="211" w:lineRule="exact"/>
              <w:ind w:left="107"/>
              <w:jc w:val="left"/>
              <w:rPr>
                <w:sz w:val="20"/>
              </w:rPr>
            </w:pPr>
            <w:r>
              <w:rPr>
                <w:sz w:val="20"/>
              </w:rPr>
              <w:t>52.6</w:t>
            </w:r>
            <w:r>
              <w:rPr>
                <w:spacing w:val="-6"/>
                <w:sz w:val="20"/>
              </w:rPr>
              <w:t xml:space="preserve"> </w:t>
            </w:r>
            <w:proofErr w:type="spellStart"/>
            <w:r>
              <w:rPr>
                <w:spacing w:val="-2"/>
                <w:sz w:val="20"/>
              </w:rPr>
              <w:t>EUR</w:t>
            </w:r>
            <w:proofErr w:type="spellEnd"/>
            <w:r>
              <w:rPr>
                <w:spacing w:val="-2"/>
                <w:sz w:val="20"/>
              </w:rPr>
              <w:t>/h</w:t>
            </w:r>
          </w:p>
        </w:tc>
      </w:tr>
      <w:tr w:rsidR="000078E9">
        <w:trPr>
          <w:trHeight w:val="332"/>
        </w:trPr>
        <w:tc>
          <w:tcPr>
            <w:tcW w:w="2235" w:type="dxa"/>
            <w:vMerge w:val="restart"/>
          </w:tcPr>
          <w:p w:rsidR="000078E9" w:rsidRPr="00793896" w:rsidRDefault="00BE2153">
            <w:pPr>
              <w:pStyle w:val="TableParagraph"/>
              <w:spacing w:before="66"/>
              <w:ind w:left="107"/>
              <w:jc w:val="left"/>
              <w:rPr>
                <w:b/>
                <w:sz w:val="20"/>
                <w:highlight w:val="yellow"/>
              </w:rPr>
            </w:pPr>
            <w:r w:rsidRPr="00793896">
              <w:rPr>
                <w:b/>
                <w:sz w:val="20"/>
                <w:highlight w:val="yellow"/>
              </w:rPr>
              <w:t>Traffic</w:t>
            </w:r>
            <w:r w:rsidRPr="00793896">
              <w:rPr>
                <w:b/>
                <w:spacing w:val="-6"/>
                <w:sz w:val="20"/>
                <w:highlight w:val="yellow"/>
              </w:rPr>
              <w:t xml:space="preserve"> </w:t>
            </w:r>
            <w:r w:rsidRPr="00793896">
              <w:rPr>
                <w:b/>
                <w:spacing w:val="-2"/>
                <w:sz w:val="20"/>
                <w:highlight w:val="yellow"/>
              </w:rPr>
              <w:t>safety</w:t>
            </w:r>
          </w:p>
        </w:tc>
        <w:tc>
          <w:tcPr>
            <w:tcW w:w="2801" w:type="dxa"/>
            <w:tcBorders>
              <w:bottom w:val="nil"/>
            </w:tcBorders>
          </w:tcPr>
          <w:p w:rsidR="000078E9" w:rsidRPr="00793896" w:rsidRDefault="00BE2153">
            <w:pPr>
              <w:pStyle w:val="TableParagraph"/>
              <w:spacing w:before="69"/>
              <w:ind w:left="107"/>
              <w:jc w:val="left"/>
              <w:rPr>
                <w:sz w:val="20"/>
                <w:highlight w:val="yellow"/>
              </w:rPr>
            </w:pPr>
            <w:r w:rsidRPr="00793896">
              <w:rPr>
                <w:spacing w:val="-4"/>
                <w:sz w:val="20"/>
                <w:highlight w:val="yellow"/>
              </w:rPr>
              <w:t>Life</w:t>
            </w:r>
          </w:p>
        </w:tc>
        <w:tc>
          <w:tcPr>
            <w:tcW w:w="1700" w:type="dxa"/>
            <w:tcBorders>
              <w:bottom w:val="nil"/>
            </w:tcBorders>
          </w:tcPr>
          <w:p w:rsidR="000078E9" w:rsidRDefault="00BE2153">
            <w:pPr>
              <w:pStyle w:val="TableParagraph"/>
              <w:spacing w:before="69"/>
              <w:ind w:left="105"/>
              <w:jc w:val="left"/>
              <w:rPr>
                <w:sz w:val="20"/>
              </w:rPr>
            </w:pPr>
            <w:r>
              <w:rPr>
                <w:sz w:val="20"/>
              </w:rPr>
              <w:t>2.57</w:t>
            </w:r>
            <w:r>
              <w:rPr>
                <w:spacing w:val="-6"/>
                <w:sz w:val="20"/>
              </w:rPr>
              <w:t xml:space="preserve"> </w:t>
            </w:r>
            <w:proofErr w:type="spellStart"/>
            <w:r>
              <w:rPr>
                <w:spacing w:val="-4"/>
                <w:sz w:val="20"/>
              </w:rPr>
              <w:t>MEUR</w:t>
            </w:r>
            <w:proofErr w:type="spellEnd"/>
          </w:p>
        </w:tc>
        <w:tc>
          <w:tcPr>
            <w:tcW w:w="1702" w:type="dxa"/>
            <w:tcBorders>
              <w:bottom w:val="nil"/>
            </w:tcBorders>
          </w:tcPr>
          <w:p w:rsidR="000078E9" w:rsidRDefault="00BE2153">
            <w:pPr>
              <w:pStyle w:val="TableParagraph"/>
              <w:spacing w:before="69"/>
              <w:ind w:left="107"/>
              <w:jc w:val="left"/>
              <w:rPr>
                <w:sz w:val="20"/>
              </w:rPr>
            </w:pPr>
            <w:r>
              <w:rPr>
                <w:sz w:val="20"/>
              </w:rPr>
              <w:t>4.18</w:t>
            </w:r>
            <w:r>
              <w:rPr>
                <w:spacing w:val="-6"/>
                <w:sz w:val="20"/>
              </w:rPr>
              <w:t xml:space="preserve"> </w:t>
            </w:r>
            <w:proofErr w:type="spellStart"/>
            <w:r>
              <w:rPr>
                <w:spacing w:val="-4"/>
                <w:sz w:val="20"/>
              </w:rPr>
              <w:t>MEUR</w:t>
            </w:r>
            <w:proofErr w:type="spellEnd"/>
          </w:p>
        </w:tc>
      </w:tr>
      <w:tr w:rsidR="000078E9">
        <w:trPr>
          <w:trHeight w:val="290"/>
        </w:trPr>
        <w:tc>
          <w:tcPr>
            <w:tcW w:w="2235" w:type="dxa"/>
            <w:vMerge/>
            <w:tcBorders>
              <w:top w:val="nil"/>
            </w:tcBorders>
          </w:tcPr>
          <w:p w:rsidR="000078E9" w:rsidRPr="00793896" w:rsidRDefault="000078E9">
            <w:pPr>
              <w:rPr>
                <w:sz w:val="2"/>
                <w:szCs w:val="2"/>
                <w:highlight w:val="yellow"/>
              </w:rPr>
            </w:pPr>
          </w:p>
        </w:tc>
        <w:tc>
          <w:tcPr>
            <w:tcW w:w="2801" w:type="dxa"/>
            <w:tcBorders>
              <w:top w:val="nil"/>
              <w:bottom w:val="nil"/>
            </w:tcBorders>
          </w:tcPr>
          <w:p w:rsidR="000078E9" w:rsidRPr="00793896" w:rsidRDefault="00BE2153">
            <w:pPr>
              <w:pStyle w:val="TableParagraph"/>
              <w:spacing w:before="26"/>
              <w:ind w:left="107"/>
              <w:jc w:val="left"/>
              <w:rPr>
                <w:sz w:val="20"/>
                <w:highlight w:val="yellow"/>
              </w:rPr>
            </w:pPr>
            <w:r w:rsidRPr="00793896">
              <w:rPr>
                <w:sz w:val="20"/>
                <w:highlight w:val="yellow"/>
              </w:rPr>
              <w:t>Severe</w:t>
            </w:r>
            <w:r w:rsidRPr="00793896">
              <w:rPr>
                <w:spacing w:val="-10"/>
                <w:sz w:val="20"/>
                <w:highlight w:val="yellow"/>
              </w:rPr>
              <w:t xml:space="preserve"> </w:t>
            </w:r>
            <w:r w:rsidRPr="00793896">
              <w:rPr>
                <w:spacing w:val="-2"/>
                <w:sz w:val="20"/>
                <w:highlight w:val="yellow"/>
              </w:rPr>
              <w:t>injury</w:t>
            </w:r>
          </w:p>
        </w:tc>
        <w:tc>
          <w:tcPr>
            <w:tcW w:w="1700" w:type="dxa"/>
            <w:tcBorders>
              <w:top w:val="nil"/>
              <w:bottom w:val="nil"/>
            </w:tcBorders>
          </w:tcPr>
          <w:p w:rsidR="000078E9" w:rsidRDefault="00BE2153">
            <w:pPr>
              <w:pStyle w:val="TableParagraph"/>
              <w:spacing w:before="26"/>
              <w:ind w:left="105"/>
              <w:jc w:val="left"/>
              <w:rPr>
                <w:sz w:val="20"/>
              </w:rPr>
            </w:pPr>
            <w:r>
              <w:rPr>
                <w:sz w:val="20"/>
              </w:rPr>
              <w:t>0.48</w:t>
            </w:r>
            <w:r>
              <w:rPr>
                <w:spacing w:val="-6"/>
                <w:sz w:val="20"/>
              </w:rPr>
              <w:t xml:space="preserve"> </w:t>
            </w:r>
            <w:proofErr w:type="spellStart"/>
            <w:r>
              <w:rPr>
                <w:spacing w:val="-4"/>
                <w:sz w:val="20"/>
              </w:rPr>
              <w:t>MEUR</w:t>
            </w:r>
            <w:proofErr w:type="spellEnd"/>
          </w:p>
        </w:tc>
        <w:tc>
          <w:tcPr>
            <w:tcW w:w="1702" w:type="dxa"/>
            <w:tcBorders>
              <w:top w:val="nil"/>
              <w:bottom w:val="nil"/>
            </w:tcBorders>
          </w:tcPr>
          <w:p w:rsidR="000078E9" w:rsidRDefault="00BE2153">
            <w:pPr>
              <w:pStyle w:val="TableParagraph"/>
              <w:spacing w:before="26"/>
              <w:ind w:left="107"/>
              <w:jc w:val="left"/>
              <w:rPr>
                <w:sz w:val="20"/>
              </w:rPr>
            </w:pPr>
            <w:r>
              <w:rPr>
                <w:sz w:val="20"/>
              </w:rPr>
              <w:t>1.13</w:t>
            </w:r>
            <w:r>
              <w:rPr>
                <w:spacing w:val="-6"/>
                <w:sz w:val="20"/>
              </w:rPr>
              <w:t xml:space="preserve"> </w:t>
            </w:r>
            <w:proofErr w:type="spellStart"/>
            <w:r>
              <w:rPr>
                <w:spacing w:val="-4"/>
                <w:sz w:val="20"/>
              </w:rPr>
              <w:t>MEUR</w:t>
            </w:r>
            <w:proofErr w:type="spellEnd"/>
          </w:p>
        </w:tc>
      </w:tr>
      <w:tr w:rsidR="000078E9">
        <w:trPr>
          <w:trHeight w:val="257"/>
        </w:trPr>
        <w:tc>
          <w:tcPr>
            <w:tcW w:w="2235" w:type="dxa"/>
            <w:vMerge/>
            <w:tcBorders>
              <w:top w:val="nil"/>
            </w:tcBorders>
          </w:tcPr>
          <w:p w:rsidR="000078E9" w:rsidRPr="00793896" w:rsidRDefault="000078E9">
            <w:pPr>
              <w:rPr>
                <w:sz w:val="2"/>
                <w:szCs w:val="2"/>
                <w:highlight w:val="yellow"/>
              </w:rPr>
            </w:pPr>
          </w:p>
        </w:tc>
        <w:tc>
          <w:tcPr>
            <w:tcW w:w="2801" w:type="dxa"/>
            <w:tcBorders>
              <w:top w:val="nil"/>
            </w:tcBorders>
          </w:tcPr>
          <w:p w:rsidR="000078E9" w:rsidRPr="00793896" w:rsidRDefault="00BE2153">
            <w:pPr>
              <w:pStyle w:val="TableParagraph"/>
              <w:spacing w:before="26" w:line="211" w:lineRule="exact"/>
              <w:ind w:left="107"/>
              <w:jc w:val="left"/>
              <w:rPr>
                <w:sz w:val="20"/>
                <w:highlight w:val="yellow"/>
              </w:rPr>
            </w:pPr>
            <w:r w:rsidRPr="00793896">
              <w:rPr>
                <w:sz w:val="20"/>
                <w:highlight w:val="yellow"/>
              </w:rPr>
              <w:t>Light</w:t>
            </w:r>
            <w:r w:rsidRPr="00793896">
              <w:rPr>
                <w:spacing w:val="-8"/>
                <w:sz w:val="20"/>
                <w:highlight w:val="yellow"/>
              </w:rPr>
              <w:t xml:space="preserve"> </w:t>
            </w:r>
            <w:r w:rsidRPr="00793896">
              <w:rPr>
                <w:spacing w:val="-2"/>
                <w:sz w:val="20"/>
                <w:highlight w:val="yellow"/>
              </w:rPr>
              <w:t>injury</w:t>
            </w:r>
          </w:p>
        </w:tc>
        <w:tc>
          <w:tcPr>
            <w:tcW w:w="1700" w:type="dxa"/>
            <w:tcBorders>
              <w:top w:val="nil"/>
            </w:tcBorders>
          </w:tcPr>
          <w:p w:rsidR="000078E9" w:rsidRDefault="00BE2153">
            <w:pPr>
              <w:pStyle w:val="TableParagraph"/>
              <w:spacing w:before="26" w:line="211" w:lineRule="exact"/>
              <w:ind w:left="105"/>
              <w:jc w:val="left"/>
              <w:rPr>
                <w:sz w:val="20"/>
              </w:rPr>
            </w:pPr>
            <w:r>
              <w:rPr>
                <w:sz w:val="20"/>
              </w:rPr>
              <w:t>0.02</w:t>
            </w:r>
            <w:r>
              <w:rPr>
                <w:spacing w:val="-6"/>
                <w:sz w:val="20"/>
              </w:rPr>
              <w:t xml:space="preserve"> </w:t>
            </w:r>
            <w:proofErr w:type="spellStart"/>
            <w:r>
              <w:rPr>
                <w:spacing w:val="-4"/>
                <w:sz w:val="20"/>
              </w:rPr>
              <w:t>MSEK</w:t>
            </w:r>
            <w:proofErr w:type="spellEnd"/>
          </w:p>
        </w:tc>
        <w:tc>
          <w:tcPr>
            <w:tcW w:w="1702" w:type="dxa"/>
            <w:tcBorders>
              <w:top w:val="nil"/>
            </w:tcBorders>
          </w:tcPr>
          <w:p w:rsidR="000078E9" w:rsidRDefault="00BE2153">
            <w:pPr>
              <w:pStyle w:val="TableParagraph"/>
              <w:spacing w:before="26" w:line="211" w:lineRule="exact"/>
              <w:ind w:left="107"/>
              <w:jc w:val="left"/>
              <w:rPr>
                <w:sz w:val="20"/>
              </w:rPr>
            </w:pPr>
            <w:r>
              <w:rPr>
                <w:sz w:val="20"/>
              </w:rPr>
              <w:t>0,08</w:t>
            </w:r>
            <w:r>
              <w:rPr>
                <w:spacing w:val="-6"/>
                <w:sz w:val="20"/>
              </w:rPr>
              <w:t xml:space="preserve"> </w:t>
            </w:r>
            <w:proofErr w:type="spellStart"/>
            <w:r>
              <w:rPr>
                <w:spacing w:val="-4"/>
                <w:sz w:val="20"/>
              </w:rPr>
              <w:t>MEUR</w:t>
            </w:r>
            <w:proofErr w:type="spellEnd"/>
          </w:p>
        </w:tc>
      </w:tr>
      <w:tr w:rsidR="000078E9">
        <w:trPr>
          <w:trHeight w:val="332"/>
        </w:trPr>
        <w:tc>
          <w:tcPr>
            <w:tcW w:w="2235" w:type="dxa"/>
            <w:vMerge w:val="restart"/>
          </w:tcPr>
          <w:p w:rsidR="000078E9" w:rsidRPr="00793896" w:rsidRDefault="00BE2153">
            <w:pPr>
              <w:pStyle w:val="TableParagraph"/>
              <w:spacing w:before="66"/>
              <w:ind w:left="107"/>
              <w:jc w:val="left"/>
              <w:rPr>
                <w:b/>
                <w:sz w:val="20"/>
                <w:highlight w:val="yellow"/>
              </w:rPr>
            </w:pPr>
            <w:r w:rsidRPr="00793896">
              <w:rPr>
                <w:b/>
                <w:spacing w:val="-2"/>
                <w:sz w:val="20"/>
                <w:highlight w:val="yellow"/>
              </w:rPr>
              <w:t>Emissions</w:t>
            </w:r>
            <w:r w:rsidRPr="00793896">
              <w:rPr>
                <w:b/>
                <w:spacing w:val="-2"/>
                <w:sz w:val="20"/>
                <w:highlight w:val="yellow"/>
                <w:vertAlign w:val="superscript"/>
              </w:rPr>
              <w:t>2</w:t>
            </w:r>
          </w:p>
        </w:tc>
        <w:tc>
          <w:tcPr>
            <w:tcW w:w="2801" w:type="dxa"/>
            <w:tcBorders>
              <w:bottom w:val="nil"/>
            </w:tcBorders>
          </w:tcPr>
          <w:p w:rsidR="000078E9" w:rsidRPr="00793896" w:rsidRDefault="00BE2153">
            <w:pPr>
              <w:pStyle w:val="TableParagraph"/>
              <w:spacing w:before="69"/>
              <w:ind w:left="107"/>
              <w:jc w:val="left"/>
              <w:rPr>
                <w:sz w:val="20"/>
                <w:highlight w:val="yellow"/>
              </w:rPr>
            </w:pPr>
            <w:r w:rsidRPr="00793896">
              <w:rPr>
                <w:sz w:val="20"/>
                <w:highlight w:val="yellow"/>
              </w:rPr>
              <w:t>Carbon</w:t>
            </w:r>
            <w:r w:rsidRPr="00793896">
              <w:rPr>
                <w:spacing w:val="-8"/>
                <w:sz w:val="20"/>
                <w:highlight w:val="yellow"/>
              </w:rPr>
              <w:t xml:space="preserve"> </w:t>
            </w:r>
            <w:r w:rsidRPr="00793896">
              <w:rPr>
                <w:spacing w:val="-2"/>
                <w:sz w:val="20"/>
                <w:highlight w:val="yellow"/>
              </w:rPr>
              <w:t>dioxide</w:t>
            </w:r>
          </w:p>
        </w:tc>
        <w:tc>
          <w:tcPr>
            <w:tcW w:w="1700" w:type="dxa"/>
            <w:tcBorders>
              <w:bottom w:val="nil"/>
            </w:tcBorders>
          </w:tcPr>
          <w:p w:rsidR="000078E9" w:rsidRDefault="00BE2153">
            <w:pPr>
              <w:pStyle w:val="TableParagraph"/>
              <w:spacing w:before="69"/>
              <w:ind w:left="105"/>
              <w:jc w:val="left"/>
              <w:rPr>
                <w:sz w:val="20"/>
              </w:rPr>
            </w:pPr>
            <w:r>
              <w:rPr>
                <w:sz w:val="20"/>
              </w:rPr>
              <w:t>0.17</w:t>
            </w:r>
            <w:r>
              <w:rPr>
                <w:spacing w:val="-6"/>
                <w:sz w:val="20"/>
              </w:rPr>
              <w:t xml:space="preserve"> </w:t>
            </w:r>
            <w:proofErr w:type="spellStart"/>
            <w:r>
              <w:rPr>
                <w:spacing w:val="-2"/>
                <w:sz w:val="20"/>
              </w:rPr>
              <w:t>SEK</w:t>
            </w:r>
            <w:proofErr w:type="spellEnd"/>
            <w:r>
              <w:rPr>
                <w:spacing w:val="-2"/>
                <w:sz w:val="20"/>
              </w:rPr>
              <w:t>/kg</w:t>
            </w:r>
          </w:p>
        </w:tc>
        <w:tc>
          <w:tcPr>
            <w:tcW w:w="1702" w:type="dxa"/>
            <w:tcBorders>
              <w:bottom w:val="nil"/>
            </w:tcBorders>
          </w:tcPr>
          <w:p w:rsidR="000078E9" w:rsidRDefault="00BE2153">
            <w:pPr>
              <w:pStyle w:val="TableParagraph"/>
              <w:spacing w:before="69"/>
              <w:ind w:left="107"/>
              <w:jc w:val="left"/>
              <w:rPr>
                <w:sz w:val="20"/>
              </w:rPr>
            </w:pPr>
            <w:r>
              <w:rPr>
                <w:sz w:val="20"/>
              </w:rPr>
              <w:t>0,03</w:t>
            </w:r>
            <w:r>
              <w:rPr>
                <w:spacing w:val="-4"/>
                <w:sz w:val="20"/>
              </w:rPr>
              <w:t xml:space="preserve"> </w:t>
            </w:r>
            <w:proofErr w:type="spellStart"/>
            <w:r>
              <w:rPr>
                <w:spacing w:val="-2"/>
                <w:sz w:val="20"/>
              </w:rPr>
              <w:t>EUR</w:t>
            </w:r>
            <w:proofErr w:type="spellEnd"/>
            <w:r>
              <w:rPr>
                <w:spacing w:val="-2"/>
                <w:sz w:val="20"/>
              </w:rPr>
              <w:t>/kg</w:t>
            </w:r>
          </w:p>
        </w:tc>
      </w:tr>
      <w:tr w:rsidR="000078E9">
        <w:trPr>
          <w:trHeight w:val="290"/>
        </w:trPr>
        <w:tc>
          <w:tcPr>
            <w:tcW w:w="2235" w:type="dxa"/>
            <w:vMerge/>
            <w:tcBorders>
              <w:top w:val="nil"/>
            </w:tcBorders>
          </w:tcPr>
          <w:p w:rsidR="000078E9" w:rsidRPr="00793896" w:rsidRDefault="000078E9">
            <w:pPr>
              <w:rPr>
                <w:sz w:val="2"/>
                <w:szCs w:val="2"/>
                <w:highlight w:val="yellow"/>
              </w:rPr>
            </w:pPr>
          </w:p>
        </w:tc>
        <w:tc>
          <w:tcPr>
            <w:tcW w:w="2801" w:type="dxa"/>
            <w:tcBorders>
              <w:top w:val="nil"/>
              <w:bottom w:val="nil"/>
            </w:tcBorders>
          </w:tcPr>
          <w:p w:rsidR="000078E9" w:rsidRPr="00793896" w:rsidRDefault="00BE2153">
            <w:pPr>
              <w:pStyle w:val="TableParagraph"/>
              <w:spacing w:before="26"/>
              <w:ind w:left="107"/>
              <w:jc w:val="left"/>
              <w:rPr>
                <w:sz w:val="20"/>
                <w:highlight w:val="yellow"/>
              </w:rPr>
            </w:pPr>
            <w:r w:rsidRPr="00793896">
              <w:rPr>
                <w:spacing w:val="-2"/>
                <w:sz w:val="20"/>
                <w:highlight w:val="yellow"/>
              </w:rPr>
              <w:t>Particles</w:t>
            </w:r>
          </w:p>
        </w:tc>
        <w:tc>
          <w:tcPr>
            <w:tcW w:w="1700" w:type="dxa"/>
            <w:tcBorders>
              <w:top w:val="nil"/>
              <w:bottom w:val="nil"/>
            </w:tcBorders>
          </w:tcPr>
          <w:p w:rsidR="000078E9" w:rsidRDefault="00BE2153">
            <w:pPr>
              <w:pStyle w:val="TableParagraph"/>
              <w:spacing w:before="26"/>
              <w:ind w:left="105"/>
              <w:jc w:val="left"/>
              <w:rPr>
                <w:sz w:val="20"/>
              </w:rPr>
            </w:pPr>
            <w:r>
              <w:rPr>
                <w:sz w:val="20"/>
              </w:rPr>
              <w:t>1323</w:t>
            </w:r>
            <w:r>
              <w:rPr>
                <w:spacing w:val="-7"/>
                <w:sz w:val="20"/>
              </w:rPr>
              <w:t xml:space="preserve"> </w:t>
            </w:r>
            <w:proofErr w:type="spellStart"/>
            <w:r>
              <w:rPr>
                <w:spacing w:val="-2"/>
                <w:sz w:val="20"/>
              </w:rPr>
              <w:t>EUR</w:t>
            </w:r>
            <w:proofErr w:type="spellEnd"/>
            <w:r>
              <w:rPr>
                <w:spacing w:val="-2"/>
                <w:sz w:val="20"/>
              </w:rPr>
              <w:t>/kg</w:t>
            </w:r>
          </w:p>
        </w:tc>
        <w:tc>
          <w:tcPr>
            <w:tcW w:w="1702" w:type="dxa"/>
            <w:tcBorders>
              <w:top w:val="nil"/>
              <w:bottom w:val="nil"/>
            </w:tcBorders>
          </w:tcPr>
          <w:p w:rsidR="000078E9" w:rsidRDefault="00BE2153">
            <w:pPr>
              <w:pStyle w:val="TableParagraph"/>
              <w:spacing w:before="26"/>
              <w:ind w:left="107"/>
              <w:jc w:val="left"/>
              <w:rPr>
                <w:sz w:val="20"/>
              </w:rPr>
            </w:pPr>
            <w:r>
              <w:rPr>
                <w:sz w:val="20"/>
              </w:rPr>
              <w:t>544</w:t>
            </w:r>
            <w:r>
              <w:rPr>
                <w:spacing w:val="-5"/>
                <w:sz w:val="20"/>
              </w:rPr>
              <w:t xml:space="preserve"> </w:t>
            </w:r>
            <w:proofErr w:type="spellStart"/>
            <w:r>
              <w:rPr>
                <w:spacing w:val="-2"/>
                <w:sz w:val="20"/>
              </w:rPr>
              <w:t>EUR</w:t>
            </w:r>
            <w:proofErr w:type="spellEnd"/>
            <w:r>
              <w:rPr>
                <w:spacing w:val="-2"/>
                <w:sz w:val="20"/>
              </w:rPr>
              <w:t>/kg</w:t>
            </w:r>
          </w:p>
        </w:tc>
      </w:tr>
      <w:tr w:rsidR="000078E9">
        <w:trPr>
          <w:trHeight w:val="290"/>
        </w:trPr>
        <w:tc>
          <w:tcPr>
            <w:tcW w:w="2235" w:type="dxa"/>
            <w:vMerge/>
            <w:tcBorders>
              <w:top w:val="nil"/>
            </w:tcBorders>
          </w:tcPr>
          <w:p w:rsidR="000078E9" w:rsidRPr="00793896" w:rsidRDefault="000078E9">
            <w:pPr>
              <w:rPr>
                <w:sz w:val="2"/>
                <w:szCs w:val="2"/>
                <w:highlight w:val="yellow"/>
              </w:rPr>
            </w:pPr>
          </w:p>
        </w:tc>
        <w:tc>
          <w:tcPr>
            <w:tcW w:w="2801" w:type="dxa"/>
            <w:tcBorders>
              <w:top w:val="nil"/>
              <w:bottom w:val="nil"/>
            </w:tcBorders>
          </w:tcPr>
          <w:p w:rsidR="000078E9" w:rsidRPr="00793896" w:rsidRDefault="00BE2153">
            <w:pPr>
              <w:pStyle w:val="TableParagraph"/>
              <w:spacing w:before="26"/>
              <w:ind w:left="107"/>
              <w:jc w:val="left"/>
              <w:rPr>
                <w:sz w:val="20"/>
                <w:highlight w:val="yellow"/>
              </w:rPr>
            </w:pPr>
            <w:proofErr w:type="spellStart"/>
            <w:r w:rsidRPr="00793896">
              <w:rPr>
                <w:spacing w:val="-5"/>
                <w:sz w:val="20"/>
                <w:highlight w:val="yellow"/>
              </w:rPr>
              <w:t>VOC</w:t>
            </w:r>
            <w:proofErr w:type="spellEnd"/>
          </w:p>
        </w:tc>
        <w:tc>
          <w:tcPr>
            <w:tcW w:w="1700" w:type="dxa"/>
            <w:tcBorders>
              <w:top w:val="nil"/>
              <w:bottom w:val="nil"/>
            </w:tcBorders>
          </w:tcPr>
          <w:p w:rsidR="000078E9" w:rsidRDefault="00BE2153">
            <w:pPr>
              <w:pStyle w:val="TableParagraph"/>
              <w:spacing w:before="26"/>
              <w:ind w:left="105"/>
              <w:jc w:val="left"/>
              <w:rPr>
                <w:sz w:val="20"/>
              </w:rPr>
            </w:pPr>
            <w:r>
              <w:rPr>
                <w:sz w:val="20"/>
              </w:rPr>
              <w:t>7.83</w:t>
            </w:r>
            <w:r>
              <w:rPr>
                <w:spacing w:val="-6"/>
                <w:sz w:val="20"/>
              </w:rPr>
              <w:t xml:space="preserve"> </w:t>
            </w:r>
            <w:proofErr w:type="spellStart"/>
            <w:r>
              <w:rPr>
                <w:spacing w:val="-2"/>
                <w:sz w:val="20"/>
              </w:rPr>
              <w:t>EUR</w:t>
            </w:r>
            <w:proofErr w:type="spellEnd"/>
            <w:r>
              <w:rPr>
                <w:spacing w:val="-2"/>
                <w:sz w:val="20"/>
              </w:rPr>
              <w:t>/kg</w:t>
            </w:r>
          </w:p>
        </w:tc>
        <w:tc>
          <w:tcPr>
            <w:tcW w:w="1702" w:type="dxa"/>
            <w:tcBorders>
              <w:top w:val="nil"/>
              <w:bottom w:val="nil"/>
            </w:tcBorders>
          </w:tcPr>
          <w:p w:rsidR="000078E9" w:rsidRDefault="00BE2153">
            <w:pPr>
              <w:pStyle w:val="TableParagraph"/>
              <w:spacing w:before="26"/>
              <w:ind w:left="5"/>
              <w:jc w:val="center"/>
              <w:rPr>
                <w:sz w:val="20"/>
              </w:rPr>
            </w:pPr>
            <w:r>
              <w:rPr>
                <w:spacing w:val="-10"/>
                <w:sz w:val="20"/>
              </w:rPr>
              <w:t>-</w:t>
            </w:r>
          </w:p>
        </w:tc>
      </w:tr>
      <w:tr w:rsidR="000078E9">
        <w:trPr>
          <w:trHeight w:val="298"/>
        </w:trPr>
        <w:tc>
          <w:tcPr>
            <w:tcW w:w="2235" w:type="dxa"/>
            <w:vMerge/>
            <w:tcBorders>
              <w:top w:val="nil"/>
            </w:tcBorders>
          </w:tcPr>
          <w:p w:rsidR="000078E9" w:rsidRPr="00793896" w:rsidRDefault="000078E9">
            <w:pPr>
              <w:rPr>
                <w:sz w:val="2"/>
                <w:szCs w:val="2"/>
                <w:highlight w:val="yellow"/>
              </w:rPr>
            </w:pPr>
          </w:p>
        </w:tc>
        <w:tc>
          <w:tcPr>
            <w:tcW w:w="2801" w:type="dxa"/>
            <w:tcBorders>
              <w:top w:val="nil"/>
              <w:bottom w:val="nil"/>
            </w:tcBorders>
          </w:tcPr>
          <w:p w:rsidR="000078E9" w:rsidRPr="00793896" w:rsidRDefault="00BE2153">
            <w:pPr>
              <w:pStyle w:val="TableParagraph"/>
              <w:spacing w:before="26"/>
              <w:ind w:left="107"/>
              <w:jc w:val="left"/>
              <w:rPr>
                <w:sz w:val="20"/>
                <w:highlight w:val="yellow"/>
              </w:rPr>
            </w:pPr>
            <w:r w:rsidRPr="00793896">
              <w:rPr>
                <w:spacing w:val="-5"/>
                <w:sz w:val="20"/>
                <w:highlight w:val="yellow"/>
              </w:rPr>
              <w:t>SO</w:t>
            </w:r>
            <w:r w:rsidRPr="00793896">
              <w:rPr>
                <w:spacing w:val="-5"/>
                <w:sz w:val="20"/>
                <w:highlight w:val="yellow"/>
                <w:vertAlign w:val="subscript"/>
              </w:rPr>
              <w:t>2</w:t>
            </w:r>
          </w:p>
        </w:tc>
        <w:tc>
          <w:tcPr>
            <w:tcW w:w="1700" w:type="dxa"/>
            <w:tcBorders>
              <w:top w:val="nil"/>
              <w:bottom w:val="nil"/>
            </w:tcBorders>
          </w:tcPr>
          <w:p w:rsidR="000078E9" w:rsidRDefault="00BE2153">
            <w:pPr>
              <w:pStyle w:val="TableParagraph"/>
              <w:spacing w:before="26"/>
              <w:ind w:left="105"/>
              <w:jc w:val="left"/>
              <w:rPr>
                <w:sz w:val="20"/>
              </w:rPr>
            </w:pPr>
            <w:r>
              <w:rPr>
                <w:sz w:val="20"/>
              </w:rPr>
              <w:t>38.33</w:t>
            </w:r>
            <w:r>
              <w:rPr>
                <w:spacing w:val="-8"/>
                <w:sz w:val="20"/>
              </w:rPr>
              <w:t xml:space="preserve"> </w:t>
            </w:r>
            <w:proofErr w:type="spellStart"/>
            <w:r>
              <w:rPr>
                <w:spacing w:val="-2"/>
                <w:sz w:val="20"/>
              </w:rPr>
              <w:t>SEK</w:t>
            </w:r>
            <w:proofErr w:type="spellEnd"/>
            <w:r>
              <w:rPr>
                <w:spacing w:val="-2"/>
                <w:sz w:val="20"/>
              </w:rPr>
              <w:t>/kg</w:t>
            </w:r>
          </w:p>
        </w:tc>
        <w:tc>
          <w:tcPr>
            <w:tcW w:w="1702" w:type="dxa"/>
            <w:tcBorders>
              <w:top w:val="nil"/>
              <w:bottom w:val="nil"/>
            </w:tcBorders>
          </w:tcPr>
          <w:p w:rsidR="000078E9" w:rsidRDefault="000078E9">
            <w:pPr>
              <w:pStyle w:val="TableParagraph"/>
              <w:jc w:val="left"/>
              <w:rPr>
                <w:rFonts w:ascii="Times New Roman"/>
              </w:rPr>
            </w:pPr>
          </w:p>
        </w:tc>
      </w:tr>
      <w:tr w:rsidR="000078E9">
        <w:trPr>
          <w:trHeight w:val="248"/>
        </w:trPr>
        <w:tc>
          <w:tcPr>
            <w:tcW w:w="2235" w:type="dxa"/>
            <w:vMerge/>
            <w:tcBorders>
              <w:top w:val="nil"/>
            </w:tcBorders>
          </w:tcPr>
          <w:p w:rsidR="000078E9" w:rsidRPr="00793896" w:rsidRDefault="000078E9">
            <w:pPr>
              <w:rPr>
                <w:sz w:val="2"/>
                <w:szCs w:val="2"/>
                <w:highlight w:val="yellow"/>
              </w:rPr>
            </w:pPr>
          </w:p>
        </w:tc>
        <w:tc>
          <w:tcPr>
            <w:tcW w:w="2801" w:type="dxa"/>
            <w:tcBorders>
              <w:top w:val="nil"/>
            </w:tcBorders>
          </w:tcPr>
          <w:p w:rsidR="000078E9" w:rsidRPr="00793896" w:rsidRDefault="00BE2153">
            <w:pPr>
              <w:pStyle w:val="TableParagraph"/>
              <w:spacing w:before="18" w:line="211" w:lineRule="exact"/>
              <w:ind w:left="107"/>
              <w:jc w:val="left"/>
              <w:rPr>
                <w:sz w:val="20"/>
                <w:highlight w:val="yellow"/>
              </w:rPr>
            </w:pPr>
            <w:proofErr w:type="spellStart"/>
            <w:r w:rsidRPr="00793896">
              <w:rPr>
                <w:spacing w:val="-5"/>
                <w:sz w:val="20"/>
                <w:highlight w:val="yellow"/>
              </w:rPr>
              <w:t>NO</w:t>
            </w:r>
            <w:r w:rsidRPr="00793896">
              <w:rPr>
                <w:spacing w:val="-5"/>
                <w:sz w:val="20"/>
                <w:highlight w:val="yellow"/>
                <w:vertAlign w:val="subscript"/>
              </w:rPr>
              <w:t>x</w:t>
            </w:r>
            <w:proofErr w:type="spellEnd"/>
          </w:p>
        </w:tc>
        <w:tc>
          <w:tcPr>
            <w:tcW w:w="1700" w:type="dxa"/>
            <w:tcBorders>
              <w:top w:val="nil"/>
            </w:tcBorders>
          </w:tcPr>
          <w:p w:rsidR="000078E9" w:rsidRDefault="00BE2153">
            <w:pPr>
              <w:pStyle w:val="TableParagraph"/>
              <w:spacing w:before="18" w:line="211" w:lineRule="exact"/>
              <w:ind w:left="105"/>
              <w:jc w:val="left"/>
              <w:rPr>
                <w:sz w:val="20"/>
              </w:rPr>
            </w:pPr>
            <w:r>
              <w:rPr>
                <w:sz w:val="20"/>
              </w:rPr>
              <w:t>4.14</w:t>
            </w:r>
            <w:r>
              <w:rPr>
                <w:spacing w:val="-6"/>
                <w:sz w:val="20"/>
              </w:rPr>
              <w:t xml:space="preserve"> </w:t>
            </w:r>
            <w:proofErr w:type="spellStart"/>
            <w:r>
              <w:rPr>
                <w:spacing w:val="-2"/>
                <w:sz w:val="20"/>
              </w:rPr>
              <w:t>SEK</w:t>
            </w:r>
            <w:proofErr w:type="spellEnd"/>
            <w:r>
              <w:rPr>
                <w:spacing w:val="-2"/>
                <w:sz w:val="20"/>
              </w:rPr>
              <w:t>/kg</w:t>
            </w:r>
          </w:p>
        </w:tc>
        <w:tc>
          <w:tcPr>
            <w:tcW w:w="1702" w:type="dxa"/>
            <w:tcBorders>
              <w:top w:val="nil"/>
            </w:tcBorders>
          </w:tcPr>
          <w:p w:rsidR="000078E9" w:rsidRDefault="00BE2153">
            <w:pPr>
              <w:pStyle w:val="TableParagraph"/>
              <w:spacing w:before="18" w:line="211" w:lineRule="exact"/>
              <w:ind w:left="107"/>
              <w:jc w:val="left"/>
              <w:rPr>
                <w:sz w:val="20"/>
              </w:rPr>
            </w:pPr>
            <w:r>
              <w:rPr>
                <w:sz w:val="20"/>
              </w:rPr>
              <w:t>6,92</w:t>
            </w:r>
            <w:r>
              <w:rPr>
                <w:spacing w:val="-6"/>
                <w:sz w:val="20"/>
              </w:rPr>
              <w:t xml:space="preserve"> </w:t>
            </w:r>
            <w:proofErr w:type="spellStart"/>
            <w:r>
              <w:rPr>
                <w:spacing w:val="-2"/>
                <w:sz w:val="20"/>
              </w:rPr>
              <w:t>EUR</w:t>
            </w:r>
            <w:proofErr w:type="spellEnd"/>
            <w:r>
              <w:rPr>
                <w:spacing w:val="-2"/>
                <w:sz w:val="20"/>
              </w:rPr>
              <w:t>/kg</w:t>
            </w:r>
          </w:p>
        </w:tc>
      </w:tr>
      <w:tr w:rsidR="000078E9">
        <w:trPr>
          <w:trHeight w:val="332"/>
        </w:trPr>
        <w:tc>
          <w:tcPr>
            <w:tcW w:w="2235" w:type="dxa"/>
            <w:vMerge w:val="restart"/>
          </w:tcPr>
          <w:p w:rsidR="000078E9" w:rsidRPr="00793896" w:rsidRDefault="00BE2153">
            <w:pPr>
              <w:pStyle w:val="TableParagraph"/>
              <w:spacing w:before="66"/>
              <w:ind w:left="107"/>
              <w:jc w:val="left"/>
              <w:rPr>
                <w:b/>
                <w:sz w:val="20"/>
                <w:highlight w:val="yellow"/>
              </w:rPr>
            </w:pPr>
            <w:r w:rsidRPr="00793896">
              <w:rPr>
                <w:b/>
                <w:sz w:val="20"/>
                <w:highlight w:val="yellow"/>
              </w:rPr>
              <w:t>General</w:t>
            </w:r>
            <w:r w:rsidRPr="00793896">
              <w:rPr>
                <w:b/>
                <w:spacing w:val="-8"/>
                <w:sz w:val="20"/>
                <w:highlight w:val="yellow"/>
              </w:rPr>
              <w:t xml:space="preserve"> </w:t>
            </w:r>
            <w:r w:rsidRPr="00793896">
              <w:rPr>
                <w:b/>
                <w:spacing w:val="-2"/>
                <w:sz w:val="20"/>
                <w:highlight w:val="yellow"/>
              </w:rPr>
              <w:t>parameters</w:t>
            </w:r>
          </w:p>
        </w:tc>
        <w:tc>
          <w:tcPr>
            <w:tcW w:w="2801" w:type="dxa"/>
            <w:tcBorders>
              <w:bottom w:val="nil"/>
            </w:tcBorders>
          </w:tcPr>
          <w:p w:rsidR="000078E9" w:rsidRPr="00793896" w:rsidRDefault="00BE2153">
            <w:pPr>
              <w:pStyle w:val="TableParagraph"/>
              <w:spacing w:before="69"/>
              <w:ind w:left="107"/>
              <w:jc w:val="left"/>
              <w:rPr>
                <w:sz w:val="20"/>
                <w:highlight w:val="yellow"/>
              </w:rPr>
            </w:pPr>
            <w:r w:rsidRPr="00793896">
              <w:rPr>
                <w:sz w:val="20"/>
                <w:highlight w:val="yellow"/>
              </w:rPr>
              <w:t>Discount</w:t>
            </w:r>
            <w:r w:rsidRPr="00793896">
              <w:rPr>
                <w:spacing w:val="-11"/>
                <w:sz w:val="20"/>
                <w:highlight w:val="yellow"/>
              </w:rPr>
              <w:t xml:space="preserve"> </w:t>
            </w:r>
            <w:r w:rsidRPr="00793896">
              <w:rPr>
                <w:spacing w:val="-4"/>
                <w:sz w:val="20"/>
                <w:highlight w:val="yellow"/>
              </w:rPr>
              <w:t>rate</w:t>
            </w:r>
          </w:p>
        </w:tc>
        <w:tc>
          <w:tcPr>
            <w:tcW w:w="1700" w:type="dxa"/>
            <w:tcBorders>
              <w:bottom w:val="nil"/>
            </w:tcBorders>
          </w:tcPr>
          <w:p w:rsidR="000078E9" w:rsidRPr="00793896" w:rsidRDefault="00BE2153">
            <w:pPr>
              <w:pStyle w:val="TableParagraph"/>
              <w:spacing w:before="69"/>
              <w:ind w:left="105"/>
              <w:jc w:val="left"/>
              <w:rPr>
                <w:sz w:val="20"/>
                <w:highlight w:val="yellow"/>
              </w:rPr>
            </w:pPr>
            <w:r w:rsidRPr="00793896">
              <w:rPr>
                <w:spacing w:val="-5"/>
                <w:sz w:val="20"/>
                <w:highlight w:val="yellow"/>
              </w:rPr>
              <w:t>4%</w:t>
            </w:r>
          </w:p>
        </w:tc>
        <w:tc>
          <w:tcPr>
            <w:tcW w:w="1702" w:type="dxa"/>
            <w:tcBorders>
              <w:bottom w:val="nil"/>
            </w:tcBorders>
          </w:tcPr>
          <w:p w:rsidR="000078E9" w:rsidRPr="00793896" w:rsidRDefault="00BE2153">
            <w:pPr>
              <w:pStyle w:val="TableParagraph"/>
              <w:spacing w:before="69"/>
              <w:ind w:left="107"/>
              <w:jc w:val="left"/>
              <w:rPr>
                <w:sz w:val="20"/>
                <w:highlight w:val="yellow"/>
              </w:rPr>
            </w:pPr>
            <w:r w:rsidRPr="00793896">
              <w:rPr>
                <w:spacing w:val="-4"/>
                <w:sz w:val="20"/>
                <w:highlight w:val="yellow"/>
              </w:rPr>
              <w:t>4,5%</w:t>
            </w:r>
          </w:p>
        </w:tc>
      </w:tr>
      <w:tr w:rsidR="000078E9">
        <w:trPr>
          <w:trHeight w:val="290"/>
        </w:trPr>
        <w:tc>
          <w:tcPr>
            <w:tcW w:w="2235" w:type="dxa"/>
            <w:vMerge/>
            <w:tcBorders>
              <w:top w:val="nil"/>
            </w:tcBorders>
          </w:tcPr>
          <w:p w:rsidR="000078E9" w:rsidRPr="00793896" w:rsidRDefault="000078E9">
            <w:pPr>
              <w:rPr>
                <w:sz w:val="2"/>
                <w:szCs w:val="2"/>
                <w:highlight w:val="yellow"/>
              </w:rPr>
            </w:pPr>
          </w:p>
        </w:tc>
        <w:tc>
          <w:tcPr>
            <w:tcW w:w="2801" w:type="dxa"/>
            <w:tcBorders>
              <w:top w:val="nil"/>
              <w:bottom w:val="nil"/>
            </w:tcBorders>
          </w:tcPr>
          <w:p w:rsidR="000078E9" w:rsidRPr="00793896" w:rsidRDefault="00BE2153">
            <w:pPr>
              <w:pStyle w:val="TableParagraph"/>
              <w:spacing w:before="26"/>
              <w:ind w:left="107"/>
              <w:jc w:val="left"/>
              <w:rPr>
                <w:sz w:val="20"/>
                <w:highlight w:val="yellow"/>
              </w:rPr>
            </w:pPr>
            <w:r w:rsidRPr="00793896">
              <w:rPr>
                <w:sz w:val="20"/>
                <w:highlight w:val="yellow"/>
              </w:rPr>
              <w:t>Appraisal</w:t>
            </w:r>
            <w:r w:rsidRPr="00793896">
              <w:rPr>
                <w:spacing w:val="-13"/>
                <w:sz w:val="20"/>
                <w:highlight w:val="yellow"/>
              </w:rPr>
              <w:t xml:space="preserve"> </w:t>
            </w:r>
            <w:r w:rsidRPr="00793896">
              <w:rPr>
                <w:spacing w:val="-2"/>
                <w:sz w:val="20"/>
                <w:highlight w:val="yellow"/>
              </w:rPr>
              <w:t>period</w:t>
            </w:r>
          </w:p>
        </w:tc>
        <w:tc>
          <w:tcPr>
            <w:tcW w:w="1700" w:type="dxa"/>
            <w:tcBorders>
              <w:top w:val="nil"/>
              <w:bottom w:val="nil"/>
            </w:tcBorders>
          </w:tcPr>
          <w:p w:rsidR="000078E9" w:rsidRPr="00793896" w:rsidRDefault="00BE2153">
            <w:pPr>
              <w:pStyle w:val="TableParagraph"/>
              <w:spacing w:before="26"/>
              <w:ind w:left="105"/>
              <w:jc w:val="left"/>
              <w:rPr>
                <w:sz w:val="20"/>
                <w:highlight w:val="yellow"/>
              </w:rPr>
            </w:pPr>
            <w:r w:rsidRPr="00793896">
              <w:rPr>
                <w:sz w:val="20"/>
                <w:highlight w:val="yellow"/>
              </w:rPr>
              <w:t xml:space="preserve">40 </w:t>
            </w:r>
            <w:r w:rsidRPr="00793896">
              <w:rPr>
                <w:spacing w:val="-2"/>
                <w:sz w:val="20"/>
                <w:highlight w:val="yellow"/>
              </w:rPr>
              <w:t>years</w:t>
            </w:r>
          </w:p>
        </w:tc>
        <w:tc>
          <w:tcPr>
            <w:tcW w:w="1702" w:type="dxa"/>
            <w:tcBorders>
              <w:top w:val="nil"/>
              <w:bottom w:val="nil"/>
            </w:tcBorders>
          </w:tcPr>
          <w:p w:rsidR="000078E9" w:rsidRPr="00793896" w:rsidRDefault="00BE2153">
            <w:pPr>
              <w:pStyle w:val="TableParagraph"/>
              <w:spacing w:before="26"/>
              <w:ind w:left="107"/>
              <w:jc w:val="left"/>
              <w:rPr>
                <w:sz w:val="20"/>
                <w:highlight w:val="yellow"/>
              </w:rPr>
            </w:pPr>
            <w:r w:rsidRPr="00793896">
              <w:rPr>
                <w:sz w:val="20"/>
                <w:highlight w:val="yellow"/>
              </w:rPr>
              <w:t xml:space="preserve">25 </w:t>
            </w:r>
            <w:r w:rsidRPr="00793896">
              <w:rPr>
                <w:spacing w:val="-2"/>
                <w:sz w:val="20"/>
                <w:highlight w:val="yellow"/>
              </w:rPr>
              <w:t>years</w:t>
            </w:r>
          </w:p>
        </w:tc>
      </w:tr>
      <w:tr w:rsidR="000078E9">
        <w:trPr>
          <w:trHeight w:val="257"/>
        </w:trPr>
        <w:tc>
          <w:tcPr>
            <w:tcW w:w="2235" w:type="dxa"/>
            <w:vMerge/>
            <w:tcBorders>
              <w:top w:val="nil"/>
            </w:tcBorders>
          </w:tcPr>
          <w:p w:rsidR="000078E9" w:rsidRDefault="000078E9">
            <w:pPr>
              <w:rPr>
                <w:sz w:val="2"/>
                <w:szCs w:val="2"/>
              </w:rPr>
            </w:pPr>
          </w:p>
        </w:tc>
        <w:tc>
          <w:tcPr>
            <w:tcW w:w="2801" w:type="dxa"/>
            <w:tcBorders>
              <w:top w:val="nil"/>
            </w:tcBorders>
          </w:tcPr>
          <w:p w:rsidR="000078E9" w:rsidRPr="00793896" w:rsidRDefault="00BE2153">
            <w:pPr>
              <w:pStyle w:val="TableParagraph"/>
              <w:spacing w:before="26" w:line="211" w:lineRule="exact"/>
              <w:ind w:left="107"/>
              <w:jc w:val="left"/>
              <w:rPr>
                <w:sz w:val="20"/>
                <w:highlight w:val="yellow"/>
              </w:rPr>
            </w:pPr>
            <w:r w:rsidRPr="00793896">
              <w:rPr>
                <w:sz w:val="20"/>
                <w:highlight w:val="yellow"/>
              </w:rPr>
              <w:t>Cost</w:t>
            </w:r>
            <w:r w:rsidRPr="00793896">
              <w:rPr>
                <w:spacing w:val="-9"/>
                <w:sz w:val="20"/>
                <w:highlight w:val="yellow"/>
              </w:rPr>
              <w:t xml:space="preserve"> </w:t>
            </w:r>
            <w:r w:rsidRPr="00793896">
              <w:rPr>
                <w:sz w:val="20"/>
                <w:highlight w:val="yellow"/>
              </w:rPr>
              <w:t>of</w:t>
            </w:r>
            <w:r w:rsidRPr="00793896">
              <w:rPr>
                <w:spacing w:val="-5"/>
                <w:sz w:val="20"/>
                <w:highlight w:val="yellow"/>
              </w:rPr>
              <w:t xml:space="preserve"> </w:t>
            </w:r>
            <w:r w:rsidRPr="00793896">
              <w:rPr>
                <w:sz w:val="20"/>
                <w:highlight w:val="yellow"/>
              </w:rPr>
              <w:t>public</w:t>
            </w:r>
            <w:r w:rsidRPr="00793896">
              <w:rPr>
                <w:spacing w:val="-5"/>
                <w:sz w:val="20"/>
                <w:highlight w:val="yellow"/>
              </w:rPr>
              <w:t xml:space="preserve"> </w:t>
            </w:r>
            <w:r w:rsidRPr="00793896">
              <w:rPr>
                <w:spacing w:val="-2"/>
                <w:sz w:val="20"/>
                <w:highlight w:val="yellow"/>
              </w:rPr>
              <w:t>funds</w:t>
            </w:r>
          </w:p>
        </w:tc>
        <w:tc>
          <w:tcPr>
            <w:tcW w:w="1700" w:type="dxa"/>
            <w:tcBorders>
              <w:top w:val="nil"/>
            </w:tcBorders>
          </w:tcPr>
          <w:p w:rsidR="000078E9" w:rsidRPr="00793896" w:rsidRDefault="00BE2153">
            <w:pPr>
              <w:pStyle w:val="TableParagraph"/>
              <w:spacing w:before="26" w:line="211" w:lineRule="exact"/>
              <w:ind w:left="105"/>
              <w:jc w:val="left"/>
              <w:rPr>
                <w:sz w:val="20"/>
                <w:highlight w:val="yellow"/>
              </w:rPr>
            </w:pPr>
            <w:r w:rsidRPr="00793896">
              <w:rPr>
                <w:spacing w:val="-4"/>
                <w:sz w:val="20"/>
                <w:highlight w:val="yellow"/>
              </w:rPr>
              <w:t>1.21</w:t>
            </w:r>
          </w:p>
        </w:tc>
        <w:tc>
          <w:tcPr>
            <w:tcW w:w="1702" w:type="dxa"/>
            <w:tcBorders>
              <w:top w:val="nil"/>
            </w:tcBorders>
          </w:tcPr>
          <w:p w:rsidR="000078E9" w:rsidRPr="00793896" w:rsidRDefault="00BE2153">
            <w:pPr>
              <w:pStyle w:val="TableParagraph"/>
              <w:spacing w:before="26" w:line="211" w:lineRule="exact"/>
              <w:ind w:left="107"/>
              <w:jc w:val="left"/>
              <w:rPr>
                <w:sz w:val="20"/>
                <w:highlight w:val="yellow"/>
              </w:rPr>
            </w:pPr>
            <w:r w:rsidRPr="00793896">
              <w:rPr>
                <w:spacing w:val="-4"/>
                <w:sz w:val="20"/>
                <w:highlight w:val="yellow"/>
              </w:rPr>
              <w:t>1.20</w:t>
            </w:r>
          </w:p>
        </w:tc>
      </w:tr>
    </w:tbl>
    <w:p w:rsidR="000078E9" w:rsidRDefault="000078E9">
      <w:pPr>
        <w:pStyle w:val="BodyText"/>
        <w:rPr>
          <w:b/>
          <w:sz w:val="20"/>
        </w:rPr>
      </w:pPr>
    </w:p>
    <w:p w:rsidR="000078E9" w:rsidRDefault="000078E9">
      <w:pPr>
        <w:pStyle w:val="BodyText"/>
        <w:spacing w:before="124"/>
        <w:rPr>
          <w:b/>
          <w:sz w:val="20"/>
        </w:rPr>
      </w:pPr>
    </w:p>
    <w:p w:rsidR="000078E9" w:rsidRDefault="00BE2153">
      <w:pPr>
        <w:pStyle w:val="BodyText"/>
        <w:spacing w:line="300" w:lineRule="auto"/>
        <w:ind w:left="678" w:right="132"/>
        <w:jc w:val="both"/>
      </w:pPr>
      <w:r>
        <w:t xml:space="preserve">Travel time savings could make up over 80% of estimated benefits in road projects. </w:t>
      </w:r>
      <w:hyperlink w:anchor="_bookmark0" w:history="1">
        <w:r w:rsidRPr="00793896">
          <w:rPr>
            <w:highlight w:val="yellow"/>
          </w:rPr>
          <w:t>Table 1</w:t>
        </w:r>
      </w:hyperlink>
      <w:r w:rsidRPr="00793896">
        <w:rPr>
          <w:highlight w:val="yellow"/>
        </w:rPr>
        <w:t xml:space="preserve"> shows that the values of travel time were considerably lower in Sweden than in Norway.</w:t>
      </w:r>
    </w:p>
    <w:p w:rsidR="000078E9" w:rsidRDefault="00BE2153">
      <w:pPr>
        <w:pStyle w:val="BodyText"/>
        <w:spacing w:before="241" w:line="300" w:lineRule="auto"/>
        <w:ind w:left="678" w:right="132"/>
        <w:jc w:val="both"/>
      </w:pPr>
      <w:r w:rsidRPr="00793896">
        <w:rPr>
          <w:highlight w:val="yellow"/>
        </w:rPr>
        <w:t>Traffic safety benefits are often one of the most important criteria when assessing infrastructure projects and are among the main reasons for investing in new and improved roads. Both countries emphasize the importance of improved transport safety in their transport plans. Again we notice that the unit values of casualties differed, with Norway valuing a statistical life some 60% higher than Sweden.</w:t>
      </w:r>
    </w:p>
    <w:p w:rsidR="000078E9" w:rsidRPr="00793896" w:rsidRDefault="00BE2153">
      <w:pPr>
        <w:pStyle w:val="BodyText"/>
        <w:spacing w:before="241" w:line="300" w:lineRule="auto"/>
        <w:ind w:left="678" w:right="133"/>
        <w:jc w:val="both"/>
        <w:rPr>
          <w:highlight w:val="yellow"/>
        </w:rPr>
      </w:pPr>
      <w:r w:rsidRPr="00793896">
        <w:rPr>
          <w:highlight w:val="yellow"/>
        </w:rPr>
        <w:t>Investment in roads and other transport infrastructure lead to changes in environmental burdens and damages. Environmental impacts, both locally, regionally and globally, cause utility losses (or gains) and are therefore important to consider</w:t>
      </w:r>
      <w:r w:rsidRPr="00793896">
        <w:rPr>
          <w:spacing w:val="-2"/>
          <w:highlight w:val="yellow"/>
        </w:rPr>
        <w:t xml:space="preserve"> </w:t>
      </w:r>
      <w:r w:rsidRPr="00793896">
        <w:rPr>
          <w:highlight w:val="yellow"/>
        </w:rPr>
        <w:t>when assessing</w:t>
      </w:r>
      <w:r w:rsidRPr="00793896">
        <w:rPr>
          <w:spacing w:val="-2"/>
          <w:highlight w:val="yellow"/>
        </w:rPr>
        <w:t xml:space="preserve"> </w:t>
      </w:r>
      <w:r w:rsidRPr="00793896">
        <w:rPr>
          <w:highlight w:val="yellow"/>
        </w:rPr>
        <w:t>the impacts</w:t>
      </w:r>
      <w:r w:rsidRPr="00793896">
        <w:rPr>
          <w:spacing w:val="-3"/>
          <w:highlight w:val="yellow"/>
        </w:rPr>
        <w:t xml:space="preserve"> </w:t>
      </w:r>
      <w:r w:rsidRPr="00793896">
        <w:rPr>
          <w:highlight w:val="yellow"/>
        </w:rPr>
        <w:t>from transport</w:t>
      </w:r>
      <w:r w:rsidRPr="00793896">
        <w:rPr>
          <w:spacing w:val="-1"/>
          <w:highlight w:val="yellow"/>
        </w:rPr>
        <w:t xml:space="preserve"> </w:t>
      </w:r>
      <w:r w:rsidRPr="00793896">
        <w:rPr>
          <w:highlight w:val="yellow"/>
        </w:rPr>
        <w:t>investments. Here we notice that the unit values of emissions were considerably lower in Norway</w:t>
      </w:r>
      <w:r w:rsidRPr="00793896">
        <w:rPr>
          <w:spacing w:val="58"/>
          <w:highlight w:val="yellow"/>
        </w:rPr>
        <w:t xml:space="preserve"> </w:t>
      </w:r>
      <w:r w:rsidRPr="00793896">
        <w:rPr>
          <w:highlight w:val="yellow"/>
        </w:rPr>
        <w:t>than</w:t>
      </w:r>
      <w:r w:rsidRPr="00793896">
        <w:rPr>
          <w:spacing w:val="61"/>
          <w:highlight w:val="yellow"/>
        </w:rPr>
        <w:t xml:space="preserve"> </w:t>
      </w:r>
      <w:r w:rsidRPr="00793896">
        <w:rPr>
          <w:highlight w:val="yellow"/>
        </w:rPr>
        <w:t>in</w:t>
      </w:r>
      <w:r w:rsidRPr="00793896">
        <w:rPr>
          <w:spacing w:val="61"/>
          <w:highlight w:val="yellow"/>
        </w:rPr>
        <w:t xml:space="preserve"> </w:t>
      </w:r>
      <w:r w:rsidRPr="00793896">
        <w:rPr>
          <w:highlight w:val="yellow"/>
        </w:rPr>
        <w:t>Sweden.</w:t>
      </w:r>
      <w:r w:rsidRPr="00793896">
        <w:rPr>
          <w:spacing w:val="61"/>
          <w:highlight w:val="yellow"/>
        </w:rPr>
        <w:t xml:space="preserve"> </w:t>
      </w:r>
      <w:r w:rsidRPr="00793896">
        <w:rPr>
          <w:highlight w:val="yellow"/>
        </w:rPr>
        <w:t>Given</w:t>
      </w:r>
      <w:r w:rsidRPr="00793896">
        <w:rPr>
          <w:spacing w:val="61"/>
          <w:highlight w:val="yellow"/>
        </w:rPr>
        <w:t xml:space="preserve"> </w:t>
      </w:r>
      <w:r w:rsidRPr="00793896">
        <w:rPr>
          <w:highlight w:val="yellow"/>
        </w:rPr>
        <w:t>a</w:t>
      </w:r>
      <w:r w:rsidRPr="00793896">
        <w:rPr>
          <w:spacing w:val="61"/>
          <w:highlight w:val="yellow"/>
        </w:rPr>
        <w:t xml:space="preserve"> </w:t>
      </w:r>
      <w:r w:rsidRPr="00793896">
        <w:rPr>
          <w:highlight w:val="yellow"/>
        </w:rPr>
        <w:t>higher</w:t>
      </w:r>
      <w:r w:rsidRPr="00793896">
        <w:rPr>
          <w:spacing w:val="57"/>
          <w:highlight w:val="yellow"/>
        </w:rPr>
        <w:t xml:space="preserve"> </w:t>
      </w:r>
      <w:r w:rsidRPr="00793896">
        <w:rPr>
          <w:highlight w:val="yellow"/>
        </w:rPr>
        <w:t>income</w:t>
      </w:r>
      <w:r w:rsidRPr="00793896">
        <w:rPr>
          <w:spacing w:val="61"/>
          <w:highlight w:val="yellow"/>
        </w:rPr>
        <w:t xml:space="preserve"> </w:t>
      </w:r>
      <w:r w:rsidRPr="00793896">
        <w:rPr>
          <w:highlight w:val="yellow"/>
        </w:rPr>
        <w:t>level</w:t>
      </w:r>
      <w:r w:rsidRPr="00793896">
        <w:rPr>
          <w:spacing w:val="60"/>
          <w:highlight w:val="yellow"/>
        </w:rPr>
        <w:t xml:space="preserve"> </w:t>
      </w:r>
      <w:r w:rsidRPr="00793896">
        <w:rPr>
          <w:highlight w:val="yellow"/>
        </w:rPr>
        <w:t>in</w:t>
      </w:r>
      <w:r w:rsidRPr="00793896">
        <w:rPr>
          <w:spacing w:val="61"/>
          <w:highlight w:val="yellow"/>
        </w:rPr>
        <w:t xml:space="preserve"> </w:t>
      </w:r>
      <w:r w:rsidRPr="00793896">
        <w:rPr>
          <w:highlight w:val="yellow"/>
        </w:rPr>
        <w:t>Norway</w:t>
      </w:r>
      <w:r w:rsidRPr="00793896">
        <w:rPr>
          <w:spacing w:val="59"/>
          <w:highlight w:val="yellow"/>
        </w:rPr>
        <w:t xml:space="preserve"> </w:t>
      </w:r>
      <w:r w:rsidRPr="00793896">
        <w:rPr>
          <w:highlight w:val="yellow"/>
        </w:rPr>
        <w:t>than</w:t>
      </w:r>
      <w:r w:rsidRPr="00793896">
        <w:rPr>
          <w:spacing w:val="61"/>
          <w:highlight w:val="yellow"/>
        </w:rPr>
        <w:t xml:space="preserve"> </w:t>
      </w:r>
      <w:r w:rsidRPr="00793896">
        <w:rPr>
          <w:highlight w:val="yellow"/>
        </w:rPr>
        <w:t>in</w:t>
      </w:r>
    </w:p>
    <w:p w:rsidR="000078E9" w:rsidRPr="00793896" w:rsidRDefault="000078E9">
      <w:pPr>
        <w:spacing w:line="300" w:lineRule="auto"/>
        <w:jc w:val="both"/>
        <w:rPr>
          <w:highlight w:val="yellow"/>
        </w:rPr>
        <w:sectPr w:rsidR="000078E9" w:rsidRPr="00793896">
          <w:pgSz w:w="11910" w:h="16840"/>
          <w:pgMar w:top="1340" w:right="1660" w:bottom="1200" w:left="1120" w:header="299" w:footer="1008" w:gutter="0"/>
          <w:cols w:space="720"/>
        </w:sectPr>
      </w:pPr>
    </w:p>
    <w:p w:rsidR="000078E9" w:rsidRDefault="00BE2153">
      <w:pPr>
        <w:pStyle w:val="BodyText"/>
        <w:spacing w:before="82" w:line="300" w:lineRule="auto"/>
        <w:ind w:left="678" w:right="138"/>
        <w:jc w:val="both"/>
      </w:pPr>
      <w:r w:rsidRPr="00793896">
        <w:rPr>
          <w:highlight w:val="yellow"/>
        </w:rPr>
        <w:lastRenderedPageBreak/>
        <w:t>Sweden, this is counterintuitive. It could be an indication of different preferences between the two countries or that unit values in Sweden are set high so as to support political objectives for reductions in emissions.</w:t>
      </w:r>
    </w:p>
    <w:p w:rsidR="000078E9" w:rsidRDefault="00BE2153">
      <w:pPr>
        <w:pStyle w:val="BodyText"/>
        <w:spacing w:before="239" w:line="300" w:lineRule="auto"/>
        <w:ind w:left="678" w:right="131"/>
        <w:jc w:val="both"/>
      </w:pPr>
      <w:r>
        <w:t xml:space="preserve">The discount rate can have a crucial impact on the profitability of a project. </w:t>
      </w:r>
      <w:r w:rsidRPr="00793896">
        <w:rPr>
          <w:highlight w:val="yellow"/>
        </w:rPr>
        <w:t>In Norway the discount rate was 8% until recently, but was reduced to 4.5% at the time when the analyses for the current transport plan was carried out. At the same time, the Swedish discount rate was 4%.</w:t>
      </w:r>
    </w:p>
    <w:p w:rsidR="000078E9" w:rsidRDefault="00BE2153">
      <w:pPr>
        <w:pStyle w:val="BodyText"/>
        <w:spacing w:before="240" w:line="300" w:lineRule="auto"/>
        <w:ind w:left="678" w:right="135"/>
        <w:jc w:val="both"/>
      </w:pPr>
      <w:r w:rsidRPr="00793896">
        <w:rPr>
          <w:highlight w:val="yellow"/>
        </w:rPr>
        <w:t>The appraisal period is the time considered in the analysis and includes the planning and construction phase and the operational phase. It determines the time period in which costs and benefits are taken into account and</w:t>
      </w:r>
      <w:r w:rsidRPr="00793896">
        <w:rPr>
          <w:spacing w:val="-1"/>
          <w:highlight w:val="yellow"/>
        </w:rPr>
        <w:t xml:space="preserve"> </w:t>
      </w:r>
      <w:r w:rsidRPr="00793896">
        <w:rPr>
          <w:highlight w:val="yellow"/>
        </w:rPr>
        <w:t>for which a forecast is needed. In the analyses presented in this paper, Sweden used an appraisal period of 40 years. Norway differed between an appraisal period</w:t>
      </w:r>
      <w:r w:rsidRPr="00793896">
        <w:rPr>
          <w:spacing w:val="40"/>
          <w:highlight w:val="yellow"/>
        </w:rPr>
        <w:t xml:space="preserve"> </w:t>
      </w:r>
      <w:r w:rsidRPr="00793896">
        <w:rPr>
          <w:highlight w:val="yellow"/>
        </w:rPr>
        <w:t>and a life span of the utility – benefits and costs were forecasted and discounted over 25 years after which a residual value equal to 15/40 of the construction costs were added.</w:t>
      </w:r>
    </w:p>
    <w:p w:rsidR="000078E9" w:rsidRDefault="00BE2153">
      <w:pPr>
        <w:pStyle w:val="BodyText"/>
        <w:spacing w:before="241" w:line="300" w:lineRule="auto"/>
        <w:ind w:left="678" w:right="127"/>
        <w:jc w:val="both"/>
      </w:pPr>
      <w:r w:rsidRPr="00793896">
        <w:rPr>
          <w:highlight w:val="yellow"/>
        </w:rPr>
        <w:t xml:space="preserve">Olsson </w:t>
      </w:r>
      <w:r w:rsidRPr="00793896">
        <w:rPr>
          <w:i/>
          <w:highlight w:val="yellow"/>
        </w:rPr>
        <w:t>et al.</w:t>
      </w:r>
      <w:r w:rsidRPr="00793896">
        <w:rPr>
          <w:highlight w:val="yellow"/>
        </w:rPr>
        <w:t xml:space="preserve"> (2012) studied the consequences of differences in CBA- methodology in seven countries and found that methodological differences caused benefit-cost ratios for the same project to vary considerably</w:t>
      </w:r>
      <w:r>
        <w:t xml:space="preserve">. </w:t>
      </w:r>
      <w:r w:rsidRPr="00793896">
        <w:rPr>
          <w:highlight w:val="yellow"/>
        </w:rPr>
        <w:t>We have not attempted to investigate whether the differences in unit</w:t>
      </w:r>
      <w:r w:rsidRPr="00793896">
        <w:rPr>
          <w:spacing w:val="-1"/>
          <w:highlight w:val="yellow"/>
        </w:rPr>
        <w:t xml:space="preserve"> </w:t>
      </w:r>
      <w:r w:rsidRPr="00793896">
        <w:rPr>
          <w:highlight w:val="yellow"/>
        </w:rPr>
        <w:t xml:space="preserve">prices and general economic parameters in the CBA methodologies of Norway and Sweden would cause different results and hence different rankings of projects. However, and as illustrated by </w:t>
      </w:r>
      <w:hyperlink w:anchor="_bookmark0" w:history="1">
        <w:r w:rsidRPr="00793896">
          <w:rPr>
            <w:highlight w:val="yellow"/>
          </w:rPr>
          <w:t>Table 1</w:t>
        </w:r>
      </w:hyperlink>
      <w:r w:rsidRPr="00793896">
        <w:rPr>
          <w:highlight w:val="yellow"/>
        </w:rPr>
        <w:t>, while Norway applied higher values</w:t>
      </w:r>
      <w:r w:rsidRPr="00793896">
        <w:rPr>
          <w:spacing w:val="80"/>
          <w:highlight w:val="yellow"/>
        </w:rPr>
        <w:t xml:space="preserve"> </w:t>
      </w:r>
      <w:r w:rsidRPr="00793896">
        <w:rPr>
          <w:highlight w:val="yellow"/>
        </w:rPr>
        <w:t>for valuations of time and safety, Sweden used a lower discount rate and a longer appraisal period. This could lead to different estimates of costs and benefits for identical projects.</w:t>
      </w:r>
      <w:r>
        <w:t xml:space="preserve"> The proportion of profitable projects in the two countries and their rankings should hence be interpreted with some care.</w:t>
      </w:r>
    </w:p>
    <w:p w:rsidR="000078E9" w:rsidRDefault="00BE2153">
      <w:pPr>
        <w:pStyle w:val="BodyText"/>
        <w:spacing w:before="241" w:line="300" w:lineRule="auto"/>
        <w:ind w:left="678" w:right="131"/>
        <w:jc w:val="both"/>
      </w:pPr>
      <w:r w:rsidRPr="00793896">
        <w:rPr>
          <w:highlight w:val="cyan"/>
        </w:rPr>
        <w:t>Since the appraisals carried out for the transport plans studied in this paper, both countries have revised their CBA guidelines. The main changes are increased unit prices for travel time and accidents, a reduction in the discount rate to 3.5% and 4.0% for Sweden and Norway respectively and an increase in the Norwegian appraisal period to 40 years</w:t>
      </w:r>
      <w:r>
        <w:t>.</w:t>
      </w:r>
    </w:p>
    <w:p w:rsidR="000078E9" w:rsidRDefault="00BE2153">
      <w:pPr>
        <w:pStyle w:val="Heading1"/>
        <w:numPr>
          <w:ilvl w:val="0"/>
          <w:numId w:val="1"/>
        </w:numPr>
        <w:tabs>
          <w:tab w:val="left" w:pos="677"/>
        </w:tabs>
        <w:ind w:left="677" w:hanging="566"/>
      </w:pPr>
      <w:r>
        <w:t>THE USE OF COST</w:t>
      </w:r>
      <w:r>
        <w:rPr>
          <w:spacing w:val="-3"/>
        </w:rPr>
        <w:t xml:space="preserve"> </w:t>
      </w:r>
      <w:r>
        <w:t>BENEFIT</w:t>
      </w:r>
      <w:r>
        <w:rPr>
          <w:spacing w:val="2"/>
        </w:rPr>
        <w:t xml:space="preserve"> </w:t>
      </w:r>
      <w:r>
        <w:rPr>
          <w:spacing w:val="-2"/>
        </w:rPr>
        <w:t>ANALYSIS</w:t>
      </w:r>
    </w:p>
    <w:p w:rsidR="000078E9" w:rsidRPr="00DB5B12" w:rsidRDefault="00BE2153">
      <w:pPr>
        <w:pStyle w:val="BodyText"/>
        <w:spacing w:before="240" w:line="300" w:lineRule="auto"/>
        <w:ind w:left="678" w:right="130"/>
        <w:jc w:val="both"/>
        <w:rPr>
          <w:highlight w:val="green"/>
        </w:rPr>
      </w:pPr>
      <w:r>
        <w:t>In this study we have used databases compiled for the Swedish Transport Investment Plan 2010-</w:t>
      </w:r>
      <w:r w:rsidRPr="00DB5B12">
        <w:rPr>
          <w:highlight w:val="green"/>
        </w:rPr>
        <w:t>2021</w:t>
      </w:r>
      <w:r>
        <w:t xml:space="preserve"> and the Norwegian National</w:t>
      </w:r>
      <w:r>
        <w:rPr>
          <w:spacing w:val="-3"/>
        </w:rPr>
        <w:t xml:space="preserve"> </w:t>
      </w:r>
      <w:r>
        <w:t>Transport</w:t>
      </w:r>
      <w:r>
        <w:rPr>
          <w:spacing w:val="-3"/>
        </w:rPr>
        <w:t xml:space="preserve"> </w:t>
      </w:r>
      <w:r>
        <w:t xml:space="preserve">Plan 2014- </w:t>
      </w:r>
      <w:r w:rsidRPr="00DB5B12">
        <w:rPr>
          <w:highlight w:val="green"/>
        </w:rPr>
        <w:t>2023</w:t>
      </w:r>
      <w:r>
        <w:t xml:space="preserve">. Our analysis deals with the administrations’ proposals. </w:t>
      </w:r>
      <w:r w:rsidRPr="00DB5B12">
        <w:rPr>
          <w:highlight w:val="green"/>
        </w:rPr>
        <w:t>The subsequent Parliamentary</w:t>
      </w:r>
      <w:r w:rsidRPr="00DB5B12">
        <w:rPr>
          <w:spacing w:val="73"/>
          <w:highlight w:val="green"/>
        </w:rPr>
        <w:t xml:space="preserve"> </w:t>
      </w:r>
      <w:r w:rsidRPr="00DB5B12">
        <w:rPr>
          <w:highlight w:val="green"/>
        </w:rPr>
        <w:t>debate</w:t>
      </w:r>
      <w:r w:rsidRPr="00DB5B12">
        <w:rPr>
          <w:spacing w:val="75"/>
          <w:highlight w:val="green"/>
        </w:rPr>
        <w:t xml:space="preserve"> </w:t>
      </w:r>
      <w:r w:rsidRPr="00DB5B12">
        <w:rPr>
          <w:highlight w:val="green"/>
        </w:rPr>
        <w:t>and</w:t>
      </w:r>
      <w:r w:rsidRPr="00DB5B12">
        <w:rPr>
          <w:spacing w:val="77"/>
          <w:highlight w:val="green"/>
        </w:rPr>
        <w:t xml:space="preserve"> </w:t>
      </w:r>
      <w:r w:rsidRPr="00DB5B12">
        <w:rPr>
          <w:highlight w:val="green"/>
        </w:rPr>
        <w:t>the</w:t>
      </w:r>
      <w:r w:rsidRPr="00DB5B12">
        <w:rPr>
          <w:spacing w:val="72"/>
          <w:highlight w:val="green"/>
        </w:rPr>
        <w:t xml:space="preserve"> </w:t>
      </w:r>
      <w:r w:rsidRPr="00DB5B12">
        <w:rPr>
          <w:highlight w:val="green"/>
        </w:rPr>
        <w:t>final</w:t>
      </w:r>
      <w:r w:rsidRPr="00DB5B12">
        <w:rPr>
          <w:spacing w:val="79"/>
          <w:highlight w:val="green"/>
        </w:rPr>
        <w:t xml:space="preserve"> </w:t>
      </w:r>
      <w:r w:rsidRPr="00DB5B12">
        <w:rPr>
          <w:highlight w:val="green"/>
        </w:rPr>
        <w:t>plans</w:t>
      </w:r>
      <w:r w:rsidRPr="00DB5B12">
        <w:rPr>
          <w:spacing w:val="74"/>
          <w:highlight w:val="green"/>
        </w:rPr>
        <w:t xml:space="preserve"> </w:t>
      </w:r>
      <w:r w:rsidRPr="00DB5B12">
        <w:rPr>
          <w:highlight w:val="green"/>
        </w:rPr>
        <w:t>presented</w:t>
      </w:r>
      <w:r w:rsidRPr="00DB5B12">
        <w:rPr>
          <w:spacing w:val="75"/>
          <w:highlight w:val="green"/>
        </w:rPr>
        <w:t xml:space="preserve"> </w:t>
      </w:r>
      <w:r w:rsidRPr="00DB5B12">
        <w:rPr>
          <w:highlight w:val="green"/>
        </w:rPr>
        <w:t>by</w:t>
      </w:r>
      <w:r w:rsidRPr="00DB5B12">
        <w:rPr>
          <w:spacing w:val="74"/>
          <w:highlight w:val="green"/>
        </w:rPr>
        <w:t xml:space="preserve"> </w:t>
      </w:r>
      <w:r w:rsidRPr="00DB5B12">
        <w:rPr>
          <w:highlight w:val="green"/>
        </w:rPr>
        <w:t>the</w:t>
      </w:r>
      <w:r w:rsidRPr="00DB5B12">
        <w:rPr>
          <w:spacing w:val="77"/>
          <w:highlight w:val="green"/>
        </w:rPr>
        <w:t xml:space="preserve"> </w:t>
      </w:r>
      <w:r w:rsidRPr="00DB5B12">
        <w:rPr>
          <w:highlight w:val="green"/>
        </w:rPr>
        <w:t>governments</w:t>
      </w:r>
    </w:p>
    <w:p w:rsidR="000078E9" w:rsidRPr="00DB5B12" w:rsidRDefault="000078E9">
      <w:pPr>
        <w:spacing w:line="300" w:lineRule="auto"/>
        <w:jc w:val="both"/>
        <w:rPr>
          <w:highlight w:val="green"/>
        </w:rPr>
        <w:sectPr w:rsidR="000078E9" w:rsidRPr="00DB5B12">
          <w:pgSz w:w="11910" w:h="16840"/>
          <w:pgMar w:top="1340" w:right="1660" w:bottom="1200" w:left="1120" w:header="299" w:footer="1008" w:gutter="0"/>
          <w:cols w:space="720"/>
        </w:sectPr>
      </w:pPr>
    </w:p>
    <w:p w:rsidR="000078E9" w:rsidRDefault="00BE2153">
      <w:pPr>
        <w:pStyle w:val="BodyText"/>
        <w:spacing w:before="82" w:line="300" w:lineRule="auto"/>
        <w:ind w:left="678" w:right="137"/>
        <w:jc w:val="both"/>
      </w:pPr>
      <w:proofErr w:type="gramStart"/>
      <w:r w:rsidRPr="00DB5B12">
        <w:rPr>
          <w:highlight w:val="green"/>
        </w:rPr>
        <w:lastRenderedPageBreak/>
        <w:t>usually</w:t>
      </w:r>
      <w:proofErr w:type="gramEnd"/>
      <w:r w:rsidRPr="00DB5B12">
        <w:rPr>
          <w:highlight w:val="green"/>
        </w:rPr>
        <w:t xml:space="preserve"> differs from that of the administrations – normally by the inclusion of more projects than what the administrations’ budget limits would have</w:t>
      </w:r>
      <w:r w:rsidRPr="00DB5B12">
        <w:rPr>
          <w:spacing w:val="40"/>
          <w:highlight w:val="green"/>
        </w:rPr>
        <w:t xml:space="preserve"> </w:t>
      </w:r>
      <w:r w:rsidRPr="00DB5B12">
        <w:rPr>
          <w:spacing w:val="-2"/>
          <w:highlight w:val="green"/>
        </w:rPr>
        <w:t>allowed</w:t>
      </w:r>
      <w:r>
        <w:rPr>
          <w:spacing w:val="-2"/>
        </w:rPr>
        <w:t>.</w:t>
      </w:r>
    </w:p>
    <w:p w:rsidR="000078E9" w:rsidRDefault="00BE2153">
      <w:pPr>
        <w:pStyle w:val="BodyText"/>
        <w:spacing w:before="239" w:line="300" w:lineRule="auto"/>
        <w:ind w:left="678" w:right="132"/>
        <w:jc w:val="both"/>
      </w:pPr>
      <w:r>
        <w:t>The Swedish database includes 417 projects out of which 67 were already pre-selected for implementation by</w:t>
      </w:r>
      <w:r>
        <w:rPr>
          <w:spacing w:val="-1"/>
        </w:rPr>
        <w:t xml:space="preserve"> </w:t>
      </w:r>
      <w:r>
        <w:t>the government and 135 recommended by the administration. The Norwegian database includes 216 projects for which full socio economic appraisals were available. Of these, 35 were pre-selected and further 18 were recommended by the administration.</w:t>
      </w:r>
    </w:p>
    <w:p w:rsidR="000078E9" w:rsidRDefault="00BE2153">
      <w:pPr>
        <w:pStyle w:val="BodyText"/>
        <w:spacing w:before="242" w:line="300" w:lineRule="auto"/>
        <w:ind w:left="678" w:right="133"/>
        <w:jc w:val="both"/>
      </w:pPr>
      <w:r w:rsidRPr="00DB5B12">
        <w:rPr>
          <w:highlight w:val="green"/>
        </w:rPr>
        <w:t>In</w:t>
      </w:r>
      <w:r w:rsidRPr="00DB5B12">
        <w:rPr>
          <w:spacing w:val="-1"/>
          <w:highlight w:val="green"/>
        </w:rPr>
        <w:t xml:space="preserve"> </w:t>
      </w:r>
      <w:r w:rsidRPr="00DB5B12">
        <w:rPr>
          <w:highlight w:val="green"/>
        </w:rPr>
        <w:t>the</w:t>
      </w:r>
      <w:r w:rsidRPr="00DB5B12">
        <w:rPr>
          <w:spacing w:val="-2"/>
          <w:highlight w:val="green"/>
        </w:rPr>
        <w:t xml:space="preserve"> </w:t>
      </w:r>
      <w:r w:rsidRPr="00DB5B12">
        <w:rPr>
          <w:highlight w:val="green"/>
        </w:rPr>
        <w:t>paper</w:t>
      </w:r>
      <w:r w:rsidRPr="00DB5B12">
        <w:rPr>
          <w:spacing w:val="-2"/>
          <w:highlight w:val="green"/>
        </w:rPr>
        <w:t xml:space="preserve"> </w:t>
      </w:r>
      <w:r w:rsidRPr="00DB5B12">
        <w:rPr>
          <w:highlight w:val="green"/>
        </w:rPr>
        <w:t>we</w:t>
      </w:r>
      <w:r w:rsidRPr="00DB5B12">
        <w:rPr>
          <w:spacing w:val="-2"/>
          <w:highlight w:val="green"/>
        </w:rPr>
        <w:t xml:space="preserve"> </w:t>
      </w:r>
      <w:r w:rsidRPr="00DB5B12">
        <w:rPr>
          <w:highlight w:val="green"/>
        </w:rPr>
        <w:t>use</w:t>
      </w:r>
      <w:r w:rsidRPr="00DB5B12">
        <w:rPr>
          <w:spacing w:val="-2"/>
          <w:highlight w:val="green"/>
        </w:rPr>
        <w:t xml:space="preserve"> </w:t>
      </w:r>
      <w:r w:rsidRPr="00DB5B12">
        <w:rPr>
          <w:highlight w:val="green"/>
        </w:rPr>
        <w:t>the</w:t>
      </w:r>
      <w:r w:rsidRPr="00DB5B12">
        <w:rPr>
          <w:spacing w:val="-2"/>
          <w:highlight w:val="green"/>
        </w:rPr>
        <w:t xml:space="preserve"> </w:t>
      </w:r>
      <w:r w:rsidRPr="00DB5B12">
        <w:rPr>
          <w:highlight w:val="green"/>
        </w:rPr>
        <w:t>net</w:t>
      </w:r>
      <w:r w:rsidRPr="00DB5B12">
        <w:rPr>
          <w:spacing w:val="-2"/>
          <w:highlight w:val="green"/>
        </w:rPr>
        <w:t xml:space="preserve"> </w:t>
      </w:r>
      <w:r w:rsidRPr="00DB5B12">
        <w:rPr>
          <w:highlight w:val="green"/>
        </w:rPr>
        <w:t>benefit-investment</w:t>
      </w:r>
      <w:r w:rsidRPr="00DB5B12">
        <w:rPr>
          <w:spacing w:val="-2"/>
          <w:highlight w:val="green"/>
        </w:rPr>
        <w:t xml:space="preserve"> </w:t>
      </w:r>
      <w:r w:rsidRPr="00DB5B12">
        <w:rPr>
          <w:highlight w:val="green"/>
        </w:rPr>
        <w:t>cost</w:t>
      </w:r>
      <w:r w:rsidRPr="00DB5B12">
        <w:rPr>
          <w:spacing w:val="-2"/>
          <w:highlight w:val="green"/>
        </w:rPr>
        <w:t xml:space="preserve"> </w:t>
      </w:r>
      <w:r w:rsidRPr="00DB5B12">
        <w:rPr>
          <w:highlight w:val="green"/>
        </w:rPr>
        <w:t>ratio</w:t>
      </w:r>
      <w:r w:rsidRPr="00DB5B12">
        <w:rPr>
          <w:spacing w:val="-2"/>
          <w:highlight w:val="green"/>
        </w:rPr>
        <w:t xml:space="preserve"> </w:t>
      </w:r>
      <w:r w:rsidRPr="00DB5B12">
        <w:rPr>
          <w:highlight w:val="green"/>
        </w:rPr>
        <w:t>(</w:t>
      </w:r>
      <w:proofErr w:type="spellStart"/>
      <w:r w:rsidRPr="00DB5B12">
        <w:rPr>
          <w:highlight w:val="green"/>
        </w:rPr>
        <w:t>NBIR</w:t>
      </w:r>
      <w:proofErr w:type="spellEnd"/>
      <w:r w:rsidRPr="00DB5B12">
        <w:rPr>
          <w:highlight w:val="green"/>
        </w:rPr>
        <w:t>)</w:t>
      </w:r>
      <w:r w:rsidRPr="00DB5B12">
        <w:rPr>
          <w:spacing w:val="-3"/>
          <w:highlight w:val="green"/>
        </w:rPr>
        <w:t xml:space="preserve"> </w:t>
      </w:r>
      <w:r w:rsidRPr="00DB5B12">
        <w:rPr>
          <w:highlight w:val="green"/>
        </w:rPr>
        <w:t>as</w:t>
      </w:r>
      <w:r w:rsidRPr="00DB5B12">
        <w:rPr>
          <w:spacing w:val="-2"/>
          <w:highlight w:val="green"/>
        </w:rPr>
        <w:t xml:space="preserve"> </w:t>
      </w:r>
      <w:r w:rsidRPr="00DB5B12">
        <w:rPr>
          <w:highlight w:val="green"/>
        </w:rPr>
        <w:t>a</w:t>
      </w:r>
      <w:r w:rsidRPr="00DB5B12">
        <w:rPr>
          <w:spacing w:val="-1"/>
          <w:highlight w:val="green"/>
        </w:rPr>
        <w:t xml:space="preserve"> </w:t>
      </w:r>
      <w:r w:rsidRPr="00DB5B12">
        <w:rPr>
          <w:highlight w:val="green"/>
        </w:rPr>
        <w:t xml:space="preserve">measure of cost efficiency. The </w:t>
      </w:r>
      <w:proofErr w:type="spellStart"/>
      <w:r w:rsidRPr="00DB5B12">
        <w:rPr>
          <w:highlight w:val="green"/>
        </w:rPr>
        <w:t>NBIR</w:t>
      </w:r>
      <w:proofErr w:type="spellEnd"/>
      <w:r w:rsidRPr="00DB5B12">
        <w:rPr>
          <w:highlight w:val="green"/>
        </w:rPr>
        <w:t xml:space="preserve"> is similar to the benefit-cost ratio but the nominator is the net benefits rather than the present value of the costs. If the </w:t>
      </w:r>
      <w:proofErr w:type="spellStart"/>
      <w:r w:rsidRPr="00DB5B12">
        <w:rPr>
          <w:highlight w:val="green"/>
        </w:rPr>
        <w:t>NBIR</w:t>
      </w:r>
      <w:proofErr w:type="spellEnd"/>
      <w:r w:rsidRPr="00DB5B12">
        <w:rPr>
          <w:highlight w:val="green"/>
        </w:rPr>
        <w:t xml:space="preserve"> is above 0, the project is profitable from a socio economic perspective</w:t>
      </w:r>
      <w:r>
        <w:t>.</w:t>
      </w:r>
    </w:p>
    <w:p w:rsidR="000078E9" w:rsidRDefault="00DD301B">
      <w:pPr>
        <w:pStyle w:val="BodyText"/>
        <w:spacing w:before="240" w:line="300" w:lineRule="auto"/>
        <w:ind w:left="678" w:right="132"/>
        <w:jc w:val="both"/>
      </w:pPr>
      <w:hyperlink w:anchor="_bookmark1" w:history="1">
        <w:r w:rsidR="00BE2153">
          <w:t>Table 2</w:t>
        </w:r>
      </w:hyperlink>
      <w:r w:rsidR="00BE2153">
        <w:t xml:space="preserve"> summarizes some characteristics of the projects in the study. As the table shows, the Norwegian projects are more expensive on average than the Swedish ones. This seems to be because the Swedish projects are usually smaller; in Norway, several such small projects would have been combined into larger packages and treated as one project.</w:t>
      </w:r>
    </w:p>
    <w:p w:rsidR="000078E9" w:rsidRDefault="00BE2153">
      <w:pPr>
        <w:spacing w:before="240"/>
        <w:ind w:left="678"/>
        <w:jc w:val="both"/>
        <w:rPr>
          <w:b/>
          <w:sz w:val="18"/>
        </w:rPr>
      </w:pPr>
      <w:bookmarkStart w:id="1" w:name="_bookmark1"/>
      <w:bookmarkEnd w:id="1"/>
      <w:r>
        <w:rPr>
          <w:b/>
          <w:sz w:val="18"/>
        </w:rPr>
        <w:t>Table</w:t>
      </w:r>
      <w:r>
        <w:rPr>
          <w:b/>
          <w:spacing w:val="-1"/>
          <w:sz w:val="18"/>
        </w:rPr>
        <w:t xml:space="preserve"> </w:t>
      </w:r>
      <w:r>
        <w:rPr>
          <w:b/>
          <w:sz w:val="18"/>
        </w:rPr>
        <w:t>2:</w:t>
      </w:r>
      <w:r>
        <w:rPr>
          <w:b/>
          <w:spacing w:val="-3"/>
          <w:sz w:val="18"/>
        </w:rPr>
        <w:t xml:space="preserve"> </w:t>
      </w:r>
      <w:r>
        <w:rPr>
          <w:b/>
          <w:sz w:val="18"/>
        </w:rPr>
        <w:t>Summary</w:t>
      </w:r>
      <w:r>
        <w:rPr>
          <w:b/>
          <w:spacing w:val="-7"/>
          <w:sz w:val="18"/>
        </w:rPr>
        <w:t xml:space="preserve"> </w:t>
      </w:r>
      <w:r>
        <w:rPr>
          <w:b/>
          <w:sz w:val="18"/>
        </w:rPr>
        <w:t>of project</w:t>
      </w:r>
      <w:r>
        <w:rPr>
          <w:b/>
          <w:spacing w:val="1"/>
          <w:sz w:val="18"/>
        </w:rPr>
        <w:t xml:space="preserve"> </w:t>
      </w:r>
      <w:r>
        <w:rPr>
          <w:b/>
          <w:spacing w:val="-2"/>
          <w:sz w:val="18"/>
        </w:rPr>
        <w:t>characteristics</w:t>
      </w:r>
    </w:p>
    <w:p w:rsidR="000078E9" w:rsidRDefault="000078E9">
      <w:pPr>
        <w:pStyle w:val="BodyText"/>
        <w:rPr>
          <w:b/>
          <w:sz w:val="19"/>
        </w:rPr>
      </w:pPr>
    </w:p>
    <w:tbl>
      <w:tblPr>
        <w:tblW w:w="0" w:type="auto"/>
        <w:tblInd w:w="575"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2804"/>
        <w:gridCol w:w="2269"/>
        <w:gridCol w:w="1559"/>
        <w:gridCol w:w="1278"/>
      </w:tblGrid>
      <w:tr w:rsidR="000078E9">
        <w:trPr>
          <w:trHeight w:val="301"/>
        </w:trPr>
        <w:tc>
          <w:tcPr>
            <w:tcW w:w="2804" w:type="dxa"/>
            <w:tcBorders>
              <w:left w:val="single" w:sz="4" w:space="0" w:color="000000"/>
              <w:bottom w:val="double" w:sz="4" w:space="0" w:color="000000"/>
              <w:right w:val="single" w:sz="4" w:space="0" w:color="000000"/>
            </w:tcBorders>
          </w:tcPr>
          <w:p w:rsidR="000078E9" w:rsidRDefault="000078E9">
            <w:pPr>
              <w:pStyle w:val="TableParagraph"/>
              <w:jc w:val="left"/>
              <w:rPr>
                <w:rFonts w:ascii="Times New Roman"/>
              </w:rPr>
            </w:pPr>
          </w:p>
        </w:tc>
        <w:tc>
          <w:tcPr>
            <w:tcW w:w="2269" w:type="dxa"/>
            <w:tcBorders>
              <w:left w:val="single" w:sz="4" w:space="0" w:color="000000"/>
              <w:bottom w:val="double" w:sz="4" w:space="0" w:color="000000"/>
              <w:right w:val="single" w:sz="4" w:space="0" w:color="000000"/>
            </w:tcBorders>
          </w:tcPr>
          <w:p w:rsidR="000078E9" w:rsidRDefault="000078E9">
            <w:pPr>
              <w:pStyle w:val="TableParagraph"/>
              <w:jc w:val="left"/>
              <w:rPr>
                <w:rFonts w:ascii="Times New Roman"/>
              </w:rPr>
            </w:pPr>
          </w:p>
        </w:tc>
        <w:tc>
          <w:tcPr>
            <w:tcW w:w="1559" w:type="dxa"/>
            <w:tcBorders>
              <w:left w:val="single" w:sz="4" w:space="0" w:color="000000"/>
              <w:bottom w:val="double" w:sz="4" w:space="0" w:color="000000"/>
              <w:right w:val="single" w:sz="4" w:space="0" w:color="000000"/>
            </w:tcBorders>
          </w:tcPr>
          <w:p w:rsidR="000078E9" w:rsidRPr="00DB5B12" w:rsidRDefault="00BE2153">
            <w:pPr>
              <w:pStyle w:val="TableParagraph"/>
              <w:spacing w:line="203" w:lineRule="exact"/>
              <w:ind w:right="94"/>
              <w:rPr>
                <w:b/>
                <w:sz w:val="18"/>
                <w:highlight w:val="green"/>
              </w:rPr>
            </w:pPr>
            <w:r w:rsidRPr="00DB5B12">
              <w:rPr>
                <w:b/>
                <w:spacing w:val="-2"/>
                <w:sz w:val="18"/>
                <w:highlight w:val="green"/>
              </w:rPr>
              <w:t>Norway</w:t>
            </w:r>
          </w:p>
        </w:tc>
        <w:tc>
          <w:tcPr>
            <w:tcW w:w="1278" w:type="dxa"/>
            <w:tcBorders>
              <w:left w:val="single" w:sz="4" w:space="0" w:color="000000"/>
              <w:bottom w:val="double" w:sz="4" w:space="0" w:color="000000"/>
              <w:right w:val="single" w:sz="4" w:space="0" w:color="000000"/>
            </w:tcBorders>
          </w:tcPr>
          <w:p w:rsidR="000078E9" w:rsidRPr="00DB5B12" w:rsidRDefault="00BE2153">
            <w:pPr>
              <w:pStyle w:val="TableParagraph"/>
              <w:spacing w:line="203" w:lineRule="exact"/>
              <w:ind w:right="97"/>
              <w:rPr>
                <w:b/>
                <w:sz w:val="18"/>
                <w:highlight w:val="green"/>
              </w:rPr>
            </w:pPr>
            <w:r w:rsidRPr="00DB5B12">
              <w:rPr>
                <w:b/>
                <w:spacing w:val="-2"/>
                <w:sz w:val="18"/>
                <w:highlight w:val="green"/>
              </w:rPr>
              <w:t>Sweden</w:t>
            </w:r>
          </w:p>
        </w:tc>
      </w:tr>
      <w:tr w:rsidR="000078E9">
        <w:trPr>
          <w:trHeight w:val="289"/>
        </w:trPr>
        <w:tc>
          <w:tcPr>
            <w:tcW w:w="2804" w:type="dxa"/>
            <w:vMerge w:val="restart"/>
            <w:tcBorders>
              <w:top w:val="double" w:sz="4" w:space="0" w:color="000000"/>
              <w:left w:val="single" w:sz="4" w:space="0" w:color="000000"/>
              <w:bottom w:val="double" w:sz="4" w:space="0" w:color="000000"/>
              <w:right w:val="single" w:sz="4" w:space="0" w:color="000000"/>
            </w:tcBorders>
          </w:tcPr>
          <w:p w:rsidR="000078E9" w:rsidRDefault="00BE2153">
            <w:pPr>
              <w:pStyle w:val="TableParagraph"/>
              <w:spacing w:line="201" w:lineRule="exact"/>
              <w:ind w:left="107"/>
              <w:jc w:val="left"/>
              <w:rPr>
                <w:b/>
                <w:sz w:val="18"/>
              </w:rPr>
            </w:pPr>
            <w:r>
              <w:rPr>
                <w:b/>
                <w:sz w:val="18"/>
              </w:rPr>
              <w:t xml:space="preserve">Number of </w:t>
            </w:r>
            <w:r>
              <w:rPr>
                <w:b/>
                <w:spacing w:val="-2"/>
                <w:sz w:val="18"/>
              </w:rPr>
              <w:t>projects</w:t>
            </w:r>
          </w:p>
        </w:tc>
        <w:tc>
          <w:tcPr>
            <w:tcW w:w="2269" w:type="dxa"/>
            <w:tcBorders>
              <w:top w:val="double" w:sz="4" w:space="0" w:color="000000"/>
              <w:left w:val="single" w:sz="4" w:space="0" w:color="000000"/>
              <w:bottom w:val="single" w:sz="4" w:space="0" w:color="000000"/>
              <w:right w:val="single" w:sz="4" w:space="0" w:color="000000"/>
            </w:tcBorders>
          </w:tcPr>
          <w:p w:rsidR="000078E9" w:rsidRDefault="00BE2153">
            <w:pPr>
              <w:pStyle w:val="TableParagraph"/>
              <w:spacing w:line="206" w:lineRule="exact"/>
              <w:ind w:left="105"/>
              <w:jc w:val="left"/>
              <w:rPr>
                <w:sz w:val="18"/>
              </w:rPr>
            </w:pPr>
            <w:r>
              <w:rPr>
                <w:sz w:val="18"/>
              </w:rPr>
              <w:t>All</w:t>
            </w:r>
            <w:r>
              <w:rPr>
                <w:spacing w:val="-1"/>
                <w:sz w:val="18"/>
              </w:rPr>
              <w:t xml:space="preserve"> </w:t>
            </w:r>
            <w:r>
              <w:rPr>
                <w:spacing w:val="-2"/>
                <w:sz w:val="18"/>
              </w:rPr>
              <w:t>candidates</w:t>
            </w:r>
          </w:p>
        </w:tc>
        <w:tc>
          <w:tcPr>
            <w:tcW w:w="1559" w:type="dxa"/>
            <w:tcBorders>
              <w:top w:val="double" w:sz="4" w:space="0" w:color="000000"/>
              <w:left w:val="single" w:sz="4" w:space="0" w:color="000000"/>
              <w:bottom w:val="single" w:sz="4" w:space="0" w:color="000000"/>
              <w:right w:val="single" w:sz="4" w:space="0" w:color="000000"/>
            </w:tcBorders>
          </w:tcPr>
          <w:p w:rsidR="000078E9" w:rsidRPr="00DB5B12" w:rsidRDefault="00BE2153">
            <w:pPr>
              <w:pStyle w:val="TableParagraph"/>
              <w:spacing w:line="206" w:lineRule="exact"/>
              <w:ind w:right="95"/>
              <w:rPr>
                <w:sz w:val="18"/>
                <w:highlight w:val="green"/>
              </w:rPr>
            </w:pPr>
            <w:r w:rsidRPr="00DB5B12">
              <w:rPr>
                <w:spacing w:val="-5"/>
                <w:sz w:val="18"/>
                <w:highlight w:val="green"/>
              </w:rPr>
              <w:t>216</w:t>
            </w:r>
          </w:p>
        </w:tc>
        <w:tc>
          <w:tcPr>
            <w:tcW w:w="1278" w:type="dxa"/>
            <w:tcBorders>
              <w:top w:val="double" w:sz="4" w:space="0" w:color="000000"/>
              <w:left w:val="single" w:sz="4" w:space="0" w:color="000000"/>
              <w:bottom w:val="single" w:sz="4" w:space="0" w:color="000000"/>
              <w:right w:val="single" w:sz="4" w:space="0" w:color="000000"/>
            </w:tcBorders>
          </w:tcPr>
          <w:p w:rsidR="000078E9" w:rsidRPr="00DB5B12" w:rsidRDefault="00BE2153">
            <w:pPr>
              <w:pStyle w:val="TableParagraph"/>
              <w:spacing w:line="206" w:lineRule="exact"/>
              <w:ind w:right="96"/>
              <w:rPr>
                <w:sz w:val="18"/>
                <w:highlight w:val="green"/>
              </w:rPr>
            </w:pPr>
            <w:r w:rsidRPr="00DB5B12">
              <w:rPr>
                <w:spacing w:val="-5"/>
                <w:sz w:val="18"/>
                <w:highlight w:val="green"/>
              </w:rPr>
              <w:t>417</w:t>
            </w:r>
          </w:p>
        </w:tc>
      </w:tr>
      <w:tr w:rsidR="000078E9">
        <w:trPr>
          <w:trHeight w:val="279"/>
        </w:trPr>
        <w:tc>
          <w:tcPr>
            <w:tcW w:w="2804" w:type="dxa"/>
            <w:vMerge/>
            <w:tcBorders>
              <w:top w:val="nil"/>
              <w:left w:val="single" w:sz="4" w:space="0" w:color="000000"/>
              <w:bottom w:val="double" w:sz="4" w:space="0" w:color="000000"/>
              <w:right w:val="single" w:sz="4" w:space="0" w:color="000000"/>
            </w:tcBorders>
          </w:tcPr>
          <w:p w:rsidR="000078E9" w:rsidRDefault="000078E9">
            <w:pPr>
              <w:rPr>
                <w:sz w:val="2"/>
                <w:szCs w:val="2"/>
              </w:rPr>
            </w:pPr>
          </w:p>
        </w:tc>
        <w:tc>
          <w:tcPr>
            <w:tcW w:w="2269" w:type="dxa"/>
            <w:tcBorders>
              <w:top w:val="single" w:sz="4" w:space="0" w:color="000000"/>
              <w:left w:val="single" w:sz="4" w:space="0" w:color="000000"/>
              <w:bottom w:val="single" w:sz="4" w:space="0" w:color="000000"/>
              <w:right w:val="single" w:sz="4" w:space="0" w:color="000000"/>
            </w:tcBorders>
          </w:tcPr>
          <w:p w:rsidR="000078E9" w:rsidRDefault="00BE2153">
            <w:pPr>
              <w:pStyle w:val="TableParagraph"/>
              <w:spacing w:line="196" w:lineRule="exact"/>
              <w:ind w:left="105"/>
              <w:jc w:val="left"/>
              <w:rPr>
                <w:sz w:val="18"/>
              </w:rPr>
            </w:pPr>
            <w:r>
              <w:rPr>
                <w:sz w:val="18"/>
              </w:rPr>
              <w:t>Selected</w:t>
            </w:r>
            <w:r>
              <w:rPr>
                <w:spacing w:val="-4"/>
                <w:sz w:val="18"/>
              </w:rPr>
              <w:t xml:space="preserve"> </w:t>
            </w:r>
            <w:r>
              <w:rPr>
                <w:sz w:val="18"/>
              </w:rPr>
              <w:t>by</w:t>
            </w:r>
            <w:r>
              <w:rPr>
                <w:spacing w:val="-4"/>
                <w:sz w:val="18"/>
              </w:rPr>
              <w:t xml:space="preserve"> </w:t>
            </w:r>
            <w:r>
              <w:rPr>
                <w:spacing w:val="-2"/>
                <w:sz w:val="18"/>
              </w:rPr>
              <w:t>Govt.</w:t>
            </w:r>
          </w:p>
        </w:tc>
        <w:tc>
          <w:tcPr>
            <w:tcW w:w="1559" w:type="dxa"/>
            <w:tcBorders>
              <w:top w:val="single" w:sz="4" w:space="0" w:color="000000"/>
              <w:left w:val="single" w:sz="4" w:space="0" w:color="000000"/>
              <w:bottom w:val="single" w:sz="4" w:space="0" w:color="000000"/>
              <w:right w:val="single" w:sz="4" w:space="0" w:color="000000"/>
            </w:tcBorders>
          </w:tcPr>
          <w:p w:rsidR="000078E9" w:rsidRPr="00DB5B12" w:rsidRDefault="00BE2153">
            <w:pPr>
              <w:pStyle w:val="TableParagraph"/>
              <w:spacing w:line="196" w:lineRule="exact"/>
              <w:ind w:right="95"/>
              <w:rPr>
                <w:sz w:val="18"/>
                <w:highlight w:val="green"/>
              </w:rPr>
            </w:pPr>
            <w:r w:rsidRPr="00DB5B12">
              <w:rPr>
                <w:spacing w:val="-5"/>
                <w:sz w:val="18"/>
                <w:highlight w:val="green"/>
              </w:rPr>
              <w:t>35</w:t>
            </w:r>
          </w:p>
        </w:tc>
        <w:tc>
          <w:tcPr>
            <w:tcW w:w="1278" w:type="dxa"/>
            <w:tcBorders>
              <w:top w:val="single" w:sz="4" w:space="0" w:color="000000"/>
              <w:left w:val="single" w:sz="4" w:space="0" w:color="000000"/>
              <w:bottom w:val="single" w:sz="4" w:space="0" w:color="000000"/>
              <w:right w:val="single" w:sz="4" w:space="0" w:color="000000"/>
            </w:tcBorders>
          </w:tcPr>
          <w:p w:rsidR="000078E9" w:rsidRPr="00DB5B12" w:rsidRDefault="00BE2153">
            <w:pPr>
              <w:pStyle w:val="TableParagraph"/>
              <w:spacing w:line="196" w:lineRule="exact"/>
              <w:ind w:right="96"/>
              <w:rPr>
                <w:sz w:val="18"/>
                <w:highlight w:val="green"/>
              </w:rPr>
            </w:pPr>
            <w:r w:rsidRPr="00DB5B12">
              <w:rPr>
                <w:spacing w:val="-5"/>
                <w:sz w:val="18"/>
                <w:highlight w:val="green"/>
              </w:rPr>
              <w:t>67</w:t>
            </w:r>
          </w:p>
        </w:tc>
      </w:tr>
      <w:tr w:rsidR="000078E9">
        <w:trPr>
          <w:trHeight w:val="289"/>
        </w:trPr>
        <w:tc>
          <w:tcPr>
            <w:tcW w:w="2804" w:type="dxa"/>
            <w:vMerge/>
            <w:tcBorders>
              <w:top w:val="nil"/>
              <w:left w:val="single" w:sz="4" w:space="0" w:color="000000"/>
              <w:bottom w:val="double" w:sz="4" w:space="0" w:color="000000"/>
              <w:right w:val="single" w:sz="4" w:space="0" w:color="000000"/>
            </w:tcBorders>
          </w:tcPr>
          <w:p w:rsidR="000078E9" w:rsidRDefault="000078E9">
            <w:pPr>
              <w:rPr>
                <w:sz w:val="2"/>
                <w:szCs w:val="2"/>
              </w:rPr>
            </w:pPr>
          </w:p>
        </w:tc>
        <w:tc>
          <w:tcPr>
            <w:tcW w:w="2269" w:type="dxa"/>
            <w:tcBorders>
              <w:top w:val="single" w:sz="4" w:space="0" w:color="000000"/>
              <w:left w:val="single" w:sz="4" w:space="0" w:color="000000"/>
              <w:bottom w:val="double" w:sz="4" w:space="0" w:color="000000"/>
              <w:right w:val="single" w:sz="4" w:space="0" w:color="000000"/>
            </w:tcBorders>
          </w:tcPr>
          <w:p w:rsidR="000078E9" w:rsidRDefault="00BE2153">
            <w:pPr>
              <w:pStyle w:val="TableParagraph"/>
              <w:spacing w:line="196" w:lineRule="exact"/>
              <w:ind w:left="105"/>
              <w:jc w:val="left"/>
              <w:rPr>
                <w:sz w:val="18"/>
              </w:rPr>
            </w:pPr>
            <w:r>
              <w:rPr>
                <w:sz w:val="18"/>
              </w:rPr>
              <w:t>Selected</w:t>
            </w:r>
            <w:r>
              <w:rPr>
                <w:spacing w:val="-6"/>
                <w:sz w:val="18"/>
              </w:rPr>
              <w:t xml:space="preserve"> </w:t>
            </w:r>
            <w:r>
              <w:rPr>
                <w:sz w:val="18"/>
              </w:rPr>
              <w:t>by</w:t>
            </w:r>
            <w:r>
              <w:rPr>
                <w:spacing w:val="-4"/>
                <w:sz w:val="18"/>
              </w:rPr>
              <w:t xml:space="preserve"> Adm.</w:t>
            </w:r>
          </w:p>
        </w:tc>
        <w:tc>
          <w:tcPr>
            <w:tcW w:w="1559" w:type="dxa"/>
            <w:tcBorders>
              <w:top w:val="single" w:sz="4" w:space="0" w:color="000000"/>
              <w:left w:val="single" w:sz="4" w:space="0" w:color="000000"/>
              <w:bottom w:val="double" w:sz="4" w:space="0" w:color="000000"/>
              <w:right w:val="single" w:sz="4" w:space="0" w:color="000000"/>
            </w:tcBorders>
          </w:tcPr>
          <w:p w:rsidR="000078E9" w:rsidRPr="00DB5B12" w:rsidRDefault="00BE2153">
            <w:pPr>
              <w:pStyle w:val="TableParagraph"/>
              <w:spacing w:line="196" w:lineRule="exact"/>
              <w:ind w:right="95"/>
              <w:rPr>
                <w:sz w:val="18"/>
                <w:highlight w:val="green"/>
              </w:rPr>
            </w:pPr>
            <w:r w:rsidRPr="00DB5B12">
              <w:rPr>
                <w:spacing w:val="-5"/>
                <w:sz w:val="18"/>
                <w:highlight w:val="green"/>
              </w:rPr>
              <w:t>18</w:t>
            </w:r>
          </w:p>
        </w:tc>
        <w:tc>
          <w:tcPr>
            <w:tcW w:w="1278" w:type="dxa"/>
            <w:tcBorders>
              <w:top w:val="single" w:sz="4" w:space="0" w:color="000000"/>
              <w:left w:val="single" w:sz="4" w:space="0" w:color="000000"/>
              <w:bottom w:val="double" w:sz="4" w:space="0" w:color="000000"/>
              <w:right w:val="single" w:sz="4" w:space="0" w:color="000000"/>
            </w:tcBorders>
          </w:tcPr>
          <w:p w:rsidR="000078E9" w:rsidRPr="00DB5B12" w:rsidRDefault="00BE2153">
            <w:pPr>
              <w:pStyle w:val="TableParagraph"/>
              <w:spacing w:line="196" w:lineRule="exact"/>
              <w:ind w:right="96"/>
              <w:rPr>
                <w:sz w:val="18"/>
                <w:highlight w:val="green"/>
              </w:rPr>
            </w:pPr>
            <w:r w:rsidRPr="00DB5B12">
              <w:rPr>
                <w:spacing w:val="-5"/>
                <w:sz w:val="18"/>
                <w:highlight w:val="green"/>
              </w:rPr>
              <w:t>135</w:t>
            </w:r>
          </w:p>
        </w:tc>
      </w:tr>
      <w:tr w:rsidR="000078E9">
        <w:trPr>
          <w:trHeight w:val="291"/>
        </w:trPr>
        <w:tc>
          <w:tcPr>
            <w:tcW w:w="2804" w:type="dxa"/>
            <w:vMerge w:val="restart"/>
            <w:tcBorders>
              <w:top w:val="double" w:sz="4" w:space="0" w:color="000000"/>
              <w:left w:val="single" w:sz="4" w:space="0" w:color="000000"/>
              <w:bottom w:val="double" w:sz="4" w:space="0" w:color="000000"/>
              <w:right w:val="single" w:sz="4" w:space="0" w:color="000000"/>
            </w:tcBorders>
          </w:tcPr>
          <w:p w:rsidR="000078E9" w:rsidRDefault="00BE2153">
            <w:pPr>
              <w:pStyle w:val="TableParagraph"/>
              <w:spacing w:line="203" w:lineRule="exact"/>
              <w:ind w:left="107"/>
              <w:jc w:val="left"/>
              <w:rPr>
                <w:b/>
                <w:sz w:val="18"/>
              </w:rPr>
            </w:pPr>
            <w:r>
              <w:rPr>
                <w:b/>
                <w:sz w:val="18"/>
              </w:rPr>
              <w:t>Total</w:t>
            </w:r>
            <w:r>
              <w:rPr>
                <w:b/>
                <w:spacing w:val="-2"/>
                <w:sz w:val="18"/>
              </w:rPr>
              <w:t xml:space="preserve"> </w:t>
            </w:r>
            <w:r>
              <w:rPr>
                <w:b/>
                <w:sz w:val="18"/>
              </w:rPr>
              <w:t>project</w:t>
            </w:r>
            <w:r>
              <w:rPr>
                <w:b/>
                <w:spacing w:val="-1"/>
                <w:sz w:val="18"/>
              </w:rPr>
              <w:t xml:space="preserve"> </w:t>
            </w:r>
            <w:r>
              <w:rPr>
                <w:b/>
                <w:sz w:val="18"/>
              </w:rPr>
              <w:t>cost</w:t>
            </w:r>
            <w:r>
              <w:rPr>
                <w:b/>
                <w:spacing w:val="-2"/>
                <w:sz w:val="18"/>
              </w:rPr>
              <w:t xml:space="preserve"> </w:t>
            </w:r>
            <w:r>
              <w:rPr>
                <w:b/>
                <w:sz w:val="18"/>
              </w:rPr>
              <w:t>(bill.</w:t>
            </w:r>
            <w:r>
              <w:rPr>
                <w:b/>
                <w:spacing w:val="1"/>
                <w:sz w:val="18"/>
              </w:rPr>
              <w:t xml:space="preserve"> </w:t>
            </w:r>
            <w:r>
              <w:rPr>
                <w:b/>
                <w:spacing w:val="-2"/>
                <w:sz w:val="18"/>
              </w:rPr>
              <w:t>euros)</w:t>
            </w:r>
          </w:p>
        </w:tc>
        <w:tc>
          <w:tcPr>
            <w:tcW w:w="2269" w:type="dxa"/>
            <w:tcBorders>
              <w:top w:val="double" w:sz="4" w:space="0" w:color="000000"/>
              <w:left w:val="single" w:sz="4" w:space="0" w:color="000000"/>
              <w:bottom w:val="single" w:sz="4" w:space="0" w:color="000000"/>
              <w:right w:val="single" w:sz="4" w:space="0" w:color="000000"/>
            </w:tcBorders>
          </w:tcPr>
          <w:p w:rsidR="000078E9" w:rsidRDefault="00BE2153">
            <w:pPr>
              <w:pStyle w:val="TableParagraph"/>
              <w:spacing w:before="1"/>
              <w:ind w:left="105"/>
              <w:jc w:val="left"/>
              <w:rPr>
                <w:sz w:val="18"/>
              </w:rPr>
            </w:pPr>
            <w:r>
              <w:rPr>
                <w:sz w:val="18"/>
              </w:rPr>
              <w:t xml:space="preserve">All </w:t>
            </w:r>
            <w:r>
              <w:rPr>
                <w:spacing w:val="-2"/>
                <w:sz w:val="18"/>
              </w:rPr>
              <w:t>candidates</w:t>
            </w:r>
          </w:p>
        </w:tc>
        <w:tc>
          <w:tcPr>
            <w:tcW w:w="1559" w:type="dxa"/>
            <w:tcBorders>
              <w:top w:val="double" w:sz="4" w:space="0" w:color="000000"/>
              <w:left w:val="single" w:sz="4" w:space="0" w:color="000000"/>
              <w:bottom w:val="single" w:sz="4" w:space="0" w:color="000000"/>
              <w:right w:val="single" w:sz="4" w:space="0" w:color="000000"/>
            </w:tcBorders>
          </w:tcPr>
          <w:p w:rsidR="000078E9" w:rsidRPr="00DB5B12" w:rsidRDefault="00BE2153">
            <w:pPr>
              <w:pStyle w:val="TableParagraph"/>
              <w:spacing w:before="1"/>
              <w:ind w:right="96"/>
              <w:rPr>
                <w:sz w:val="18"/>
                <w:highlight w:val="green"/>
              </w:rPr>
            </w:pPr>
            <w:r w:rsidRPr="00DB5B12">
              <w:rPr>
                <w:spacing w:val="-4"/>
                <w:sz w:val="18"/>
                <w:highlight w:val="green"/>
              </w:rPr>
              <w:t>27.0</w:t>
            </w:r>
          </w:p>
        </w:tc>
        <w:tc>
          <w:tcPr>
            <w:tcW w:w="1278" w:type="dxa"/>
            <w:tcBorders>
              <w:top w:val="double" w:sz="4" w:space="0" w:color="000000"/>
              <w:left w:val="single" w:sz="4" w:space="0" w:color="000000"/>
              <w:bottom w:val="single" w:sz="4" w:space="0" w:color="000000"/>
              <w:right w:val="single" w:sz="4" w:space="0" w:color="000000"/>
            </w:tcBorders>
          </w:tcPr>
          <w:p w:rsidR="000078E9" w:rsidRPr="00DB5B12" w:rsidRDefault="00BE2153">
            <w:pPr>
              <w:pStyle w:val="TableParagraph"/>
              <w:spacing w:before="1"/>
              <w:ind w:right="98"/>
              <w:rPr>
                <w:sz w:val="18"/>
                <w:highlight w:val="green"/>
              </w:rPr>
            </w:pPr>
            <w:r w:rsidRPr="00DB5B12">
              <w:rPr>
                <w:spacing w:val="-4"/>
                <w:sz w:val="18"/>
                <w:highlight w:val="green"/>
              </w:rPr>
              <w:t>14.7</w:t>
            </w:r>
          </w:p>
        </w:tc>
      </w:tr>
      <w:tr w:rsidR="000078E9">
        <w:trPr>
          <w:trHeight w:val="279"/>
        </w:trPr>
        <w:tc>
          <w:tcPr>
            <w:tcW w:w="2804" w:type="dxa"/>
            <w:vMerge/>
            <w:tcBorders>
              <w:top w:val="nil"/>
              <w:left w:val="single" w:sz="4" w:space="0" w:color="000000"/>
              <w:bottom w:val="double" w:sz="4" w:space="0" w:color="000000"/>
              <w:right w:val="single" w:sz="4" w:space="0" w:color="000000"/>
            </w:tcBorders>
          </w:tcPr>
          <w:p w:rsidR="000078E9" w:rsidRDefault="000078E9">
            <w:pPr>
              <w:rPr>
                <w:sz w:val="2"/>
                <w:szCs w:val="2"/>
              </w:rPr>
            </w:pPr>
          </w:p>
        </w:tc>
        <w:tc>
          <w:tcPr>
            <w:tcW w:w="2269" w:type="dxa"/>
            <w:tcBorders>
              <w:top w:val="single" w:sz="4" w:space="0" w:color="000000"/>
              <w:left w:val="single" w:sz="4" w:space="0" w:color="000000"/>
              <w:bottom w:val="single" w:sz="4" w:space="0" w:color="000000"/>
              <w:right w:val="single" w:sz="4" w:space="0" w:color="000000"/>
            </w:tcBorders>
          </w:tcPr>
          <w:p w:rsidR="000078E9" w:rsidRDefault="00BE2153">
            <w:pPr>
              <w:pStyle w:val="TableParagraph"/>
              <w:spacing w:line="196" w:lineRule="exact"/>
              <w:ind w:left="105"/>
              <w:jc w:val="left"/>
              <w:rPr>
                <w:sz w:val="18"/>
              </w:rPr>
            </w:pPr>
            <w:r>
              <w:rPr>
                <w:sz w:val="18"/>
              </w:rPr>
              <w:t>Selected</w:t>
            </w:r>
            <w:r>
              <w:rPr>
                <w:spacing w:val="-4"/>
                <w:sz w:val="18"/>
              </w:rPr>
              <w:t xml:space="preserve"> </w:t>
            </w:r>
            <w:r>
              <w:rPr>
                <w:sz w:val="18"/>
              </w:rPr>
              <w:t>by</w:t>
            </w:r>
            <w:r>
              <w:rPr>
                <w:spacing w:val="-4"/>
                <w:sz w:val="18"/>
              </w:rPr>
              <w:t xml:space="preserve"> </w:t>
            </w:r>
            <w:r>
              <w:rPr>
                <w:spacing w:val="-2"/>
                <w:sz w:val="18"/>
              </w:rPr>
              <w:t>Govt.</w:t>
            </w:r>
          </w:p>
        </w:tc>
        <w:tc>
          <w:tcPr>
            <w:tcW w:w="1559" w:type="dxa"/>
            <w:tcBorders>
              <w:top w:val="single" w:sz="4" w:space="0" w:color="000000"/>
              <w:left w:val="single" w:sz="4" w:space="0" w:color="000000"/>
              <w:bottom w:val="single" w:sz="4" w:space="0" w:color="000000"/>
              <w:right w:val="single" w:sz="4" w:space="0" w:color="000000"/>
            </w:tcBorders>
          </w:tcPr>
          <w:p w:rsidR="000078E9" w:rsidRPr="00DB5B12" w:rsidRDefault="00BE2153">
            <w:pPr>
              <w:pStyle w:val="TableParagraph"/>
              <w:spacing w:line="196" w:lineRule="exact"/>
              <w:ind w:right="96"/>
              <w:rPr>
                <w:sz w:val="18"/>
                <w:highlight w:val="green"/>
              </w:rPr>
            </w:pPr>
            <w:r w:rsidRPr="00DB5B12">
              <w:rPr>
                <w:spacing w:val="-5"/>
                <w:sz w:val="18"/>
                <w:highlight w:val="green"/>
              </w:rPr>
              <w:t>3.6</w:t>
            </w:r>
          </w:p>
        </w:tc>
        <w:tc>
          <w:tcPr>
            <w:tcW w:w="1278" w:type="dxa"/>
            <w:tcBorders>
              <w:top w:val="single" w:sz="4" w:space="0" w:color="000000"/>
              <w:left w:val="single" w:sz="4" w:space="0" w:color="000000"/>
              <w:bottom w:val="single" w:sz="4" w:space="0" w:color="000000"/>
              <w:right w:val="single" w:sz="4" w:space="0" w:color="000000"/>
            </w:tcBorders>
          </w:tcPr>
          <w:p w:rsidR="000078E9" w:rsidRPr="00DB5B12" w:rsidRDefault="00BE2153">
            <w:pPr>
              <w:pStyle w:val="TableParagraph"/>
              <w:spacing w:line="196" w:lineRule="exact"/>
              <w:ind w:right="97"/>
              <w:rPr>
                <w:sz w:val="18"/>
                <w:highlight w:val="green"/>
              </w:rPr>
            </w:pPr>
            <w:r w:rsidRPr="00DB5B12">
              <w:rPr>
                <w:spacing w:val="-5"/>
                <w:sz w:val="18"/>
                <w:highlight w:val="green"/>
              </w:rPr>
              <w:t>8.1</w:t>
            </w:r>
          </w:p>
        </w:tc>
      </w:tr>
      <w:tr w:rsidR="000078E9">
        <w:trPr>
          <w:trHeight w:val="289"/>
        </w:trPr>
        <w:tc>
          <w:tcPr>
            <w:tcW w:w="2804" w:type="dxa"/>
            <w:vMerge/>
            <w:tcBorders>
              <w:top w:val="nil"/>
              <w:left w:val="single" w:sz="4" w:space="0" w:color="000000"/>
              <w:bottom w:val="double" w:sz="4" w:space="0" w:color="000000"/>
              <w:right w:val="single" w:sz="4" w:space="0" w:color="000000"/>
            </w:tcBorders>
          </w:tcPr>
          <w:p w:rsidR="000078E9" w:rsidRDefault="000078E9">
            <w:pPr>
              <w:rPr>
                <w:sz w:val="2"/>
                <w:szCs w:val="2"/>
              </w:rPr>
            </w:pPr>
          </w:p>
        </w:tc>
        <w:tc>
          <w:tcPr>
            <w:tcW w:w="2269" w:type="dxa"/>
            <w:tcBorders>
              <w:top w:val="single" w:sz="4" w:space="0" w:color="000000"/>
              <w:left w:val="single" w:sz="4" w:space="0" w:color="000000"/>
              <w:bottom w:val="double" w:sz="4" w:space="0" w:color="000000"/>
              <w:right w:val="single" w:sz="4" w:space="0" w:color="000000"/>
            </w:tcBorders>
          </w:tcPr>
          <w:p w:rsidR="000078E9" w:rsidRDefault="00BE2153">
            <w:pPr>
              <w:pStyle w:val="TableParagraph"/>
              <w:spacing w:line="197" w:lineRule="exact"/>
              <w:ind w:left="105"/>
              <w:jc w:val="left"/>
              <w:rPr>
                <w:sz w:val="18"/>
              </w:rPr>
            </w:pPr>
            <w:r>
              <w:rPr>
                <w:sz w:val="18"/>
              </w:rPr>
              <w:t>Selected</w:t>
            </w:r>
            <w:r>
              <w:rPr>
                <w:spacing w:val="-6"/>
                <w:sz w:val="18"/>
              </w:rPr>
              <w:t xml:space="preserve"> </w:t>
            </w:r>
            <w:r>
              <w:rPr>
                <w:sz w:val="18"/>
              </w:rPr>
              <w:t>by</w:t>
            </w:r>
            <w:r>
              <w:rPr>
                <w:spacing w:val="-4"/>
                <w:sz w:val="18"/>
              </w:rPr>
              <w:t xml:space="preserve"> Adm.</w:t>
            </w:r>
          </w:p>
        </w:tc>
        <w:tc>
          <w:tcPr>
            <w:tcW w:w="1559" w:type="dxa"/>
            <w:tcBorders>
              <w:top w:val="single" w:sz="4" w:space="0" w:color="000000"/>
              <w:left w:val="single" w:sz="4" w:space="0" w:color="000000"/>
              <w:bottom w:val="double" w:sz="4" w:space="0" w:color="000000"/>
              <w:right w:val="single" w:sz="4" w:space="0" w:color="000000"/>
            </w:tcBorders>
          </w:tcPr>
          <w:p w:rsidR="000078E9" w:rsidRPr="00DB5B12" w:rsidRDefault="00BE2153">
            <w:pPr>
              <w:pStyle w:val="TableParagraph"/>
              <w:spacing w:line="197" w:lineRule="exact"/>
              <w:ind w:right="96"/>
              <w:rPr>
                <w:sz w:val="18"/>
                <w:highlight w:val="green"/>
              </w:rPr>
            </w:pPr>
            <w:r w:rsidRPr="00DB5B12">
              <w:rPr>
                <w:spacing w:val="-5"/>
                <w:sz w:val="18"/>
                <w:highlight w:val="green"/>
              </w:rPr>
              <w:t>2.3</w:t>
            </w:r>
          </w:p>
        </w:tc>
        <w:tc>
          <w:tcPr>
            <w:tcW w:w="1278" w:type="dxa"/>
            <w:tcBorders>
              <w:top w:val="single" w:sz="4" w:space="0" w:color="000000"/>
              <w:left w:val="single" w:sz="4" w:space="0" w:color="000000"/>
              <w:bottom w:val="double" w:sz="4" w:space="0" w:color="000000"/>
              <w:right w:val="single" w:sz="4" w:space="0" w:color="000000"/>
            </w:tcBorders>
          </w:tcPr>
          <w:p w:rsidR="000078E9" w:rsidRPr="00DB5B12" w:rsidRDefault="00BE2153">
            <w:pPr>
              <w:pStyle w:val="TableParagraph"/>
              <w:spacing w:line="197" w:lineRule="exact"/>
              <w:ind w:right="97"/>
              <w:rPr>
                <w:sz w:val="18"/>
                <w:highlight w:val="green"/>
              </w:rPr>
            </w:pPr>
            <w:r w:rsidRPr="00DB5B12">
              <w:rPr>
                <w:spacing w:val="-5"/>
                <w:sz w:val="18"/>
                <w:highlight w:val="green"/>
              </w:rPr>
              <w:t>2.9</w:t>
            </w:r>
          </w:p>
        </w:tc>
      </w:tr>
      <w:tr w:rsidR="000078E9">
        <w:trPr>
          <w:trHeight w:val="291"/>
        </w:trPr>
        <w:tc>
          <w:tcPr>
            <w:tcW w:w="2804" w:type="dxa"/>
            <w:vMerge w:val="restart"/>
            <w:tcBorders>
              <w:top w:val="double" w:sz="4" w:space="0" w:color="000000"/>
              <w:left w:val="single" w:sz="4" w:space="0" w:color="000000"/>
              <w:bottom w:val="double" w:sz="4" w:space="0" w:color="000000"/>
              <w:right w:val="single" w:sz="4" w:space="0" w:color="000000"/>
            </w:tcBorders>
          </w:tcPr>
          <w:p w:rsidR="000078E9" w:rsidRDefault="00BE2153">
            <w:pPr>
              <w:pStyle w:val="TableParagraph"/>
              <w:ind w:left="107" w:right="173"/>
              <w:jc w:val="left"/>
              <w:rPr>
                <w:b/>
                <w:sz w:val="18"/>
              </w:rPr>
            </w:pPr>
            <w:r>
              <w:rPr>
                <w:b/>
                <w:sz w:val="18"/>
              </w:rPr>
              <w:t>Average</w:t>
            </w:r>
            <w:r>
              <w:rPr>
                <w:b/>
                <w:spacing w:val="-12"/>
                <w:sz w:val="18"/>
              </w:rPr>
              <w:t xml:space="preserve"> </w:t>
            </w:r>
            <w:r>
              <w:rPr>
                <w:b/>
                <w:sz w:val="18"/>
              </w:rPr>
              <w:t>project</w:t>
            </w:r>
            <w:r>
              <w:rPr>
                <w:b/>
                <w:spacing w:val="-13"/>
                <w:sz w:val="18"/>
              </w:rPr>
              <w:t xml:space="preserve"> </w:t>
            </w:r>
            <w:r>
              <w:rPr>
                <w:b/>
                <w:sz w:val="18"/>
              </w:rPr>
              <w:t>cost</w:t>
            </w:r>
            <w:r>
              <w:rPr>
                <w:b/>
                <w:spacing w:val="-11"/>
                <w:sz w:val="18"/>
              </w:rPr>
              <w:t xml:space="preserve"> </w:t>
            </w:r>
            <w:r>
              <w:rPr>
                <w:b/>
                <w:sz w:val="18"/>
              </w:rPr>
              <w:t xml:space="preserve">(bill. euros), excl. 5 most </w:t>
            </w:r>
            <w:r>
              <w:rPr>
                <w:b/>
                <w:spacing w:val="-2"/>
                <w:sz w:val="18"/>
              </w:rPr>
              <w:t>expensive</w:t>
            </w:r>
          </w:p>
        </w:tc>
        <w:tc>
          <w:tcPr>
            <w:tcW w:w="2269" w:type="dxa"/>
            <w:tcBorders>
              <w:top w:val="double" w:sz="4" w:space="0" w:color="000000"/>
              <w:left w:val="single" w:sz="4" w:space="0" w:color="000000"/>
              <w:bottom w:val="single" w:sz="4" w:space="0" w:color="000000"/>
              <w:right w:val="single" w:sz="4" w:space="0" w:color="000000"/>
            </w:tcBorders>
          </w:tcPr>
          <w:p w:rsidR="000078E9" w:rsidRDefault="00BE2153">
            <w:pPr>
              <w:pStyle w:val="TableParagraph"/>
              <w:spacing w:before="1"/>
              <w:ind w:left="105"/>
              <w:jc w:val="left"/>
              <w:rPr>
                <w:sz w:val="18"/>
              </w:rPr>
            </w:pPr>
            <w:r>
              <w:rPr>
                <w:sz w:val="18"/>
              </w:rPr>
              <w:t>All</w:t>
            </w:r>
            <w:r>
              <w:rPr>
                <w:spacing w:val="-1"/>
                <w:sz w:val="18"/>
              </w:rPr>
              <w:t xml:space="preserve"> </w:t>
            </w:r>
            <w:r>
              <w:rPr>
                <w:spacing w:val="-2"/>
                <w:sz w:val="18"/>
              </w:rPr>
              <w:t>candidates</w:t>
            </w:r>
          </w:p>
        </w:tc>
        <w:tc>
          <w:tcPr>
            <w:tcW w:w="1559" w:type="dxa"/>
            <w:tcBorders>
              <w:top w:val="double" w:sz="4" w:space="0" w:color="000000"/>
              <w:left w:val="single" w:sz="4" w:space="0" w:color="000000"/>
              <w:bottom w:val="single" w:sz="4" w:space="0" w:color="000000"/>
              <w:right w:val="single" w:sz="4" w:space="0" w:color="000000"/>
            </w:tcBorders>
          </w:tcPr>
          <w:p w:rsidR="000078E9" w:rsidRPr="00DB5B12" w:rsidRDefault="00BE2153">
            <w:pPr>
              <w:pStyle w:val="TableParagraph"/>
              <w:spacing w:before="1"/>
              <w:ind w:right="97"/>
              <w:rPr>
                <w:sz w:val="18"/>
                <w:highlight w:val="green"/>
              </w:rPr>
            </w:pPr>
            <w:r w:rsidRPr="00DB5B12">
              <w:rPr>
                <w:spacing w:val="-2"/>
                <w:sz w:val="18"/>
                <w:highlight w:val="green"/>
              </w:rPr>
              <w:t>102.2</w:t>
            </w:r>
          </w:p>
        </w:tc>
        <w:tc>
          <w:tcPr>
            <w:tcW w:w="1278" w:type="dxa"/>
            <w:tcBorders>
              <w:top w:val="double" w:sz="4" w:space="0" w:color="000000"/>
              <w:left w:val="single" w:sz="4" w:space="0" w:color="000000"/>
              <w:bottom w:val="single" w:sz="4" w:space="0" w:color="000000"/>
              <w:right w:val="single" w:sz="4" w:space="0" w:color="000000"/>
            </w:tcBorders>
          </w:tcPr>
          <w:p w:rsidR="000078E9" w:rsidRPr="00DB5B12" w:rsidRDefault="00BE2153">
            <w:pPr>
              <w:pStyle w:val="TableParagraph"/>
              <w:spacing w:before="1"/>
              <w:ind w:right="98"/>
              <w:rPr>
                <w:sz w:val="18"/>
                <w:highlight w:val="green"/>
              </w:rPr>
            </w:pPr>
            <w:r w:rsidRPr="00DB5B12">
              <w:rPr>
                <w:spacing w:val="-4"/>
                <w:sz w:val="18"/>
                <w:highlight w:val="green"/>
              </w:rPr>
              <w:t>23.2</w:t>
            </w:r>
          </w:p>
        </w:tc>
      </w:tr>
      <w:tr w:rsidR="000078E9">
        <w:trPr>
          <w:trHeight w:val="279"/>
        </w:trPr>
        <w:tc>
          <w:tcPr>
            <w:tcW w:w="2804" w:type="dxa"/>
            <w:vMerge/>
            <w:tcBorders>
              <w:top w:val="nil"/>
              <w:left w:val="single" w:sz="4" w:space="0" w:color="000000"/>
              <w:bottom w:val="double" w:sz="4" w:space="0" w:color="000000"/>
              <w:right w:val="single" w:sz="4" w:space="0" w:color="000000"/>
            </w:tcBorders>
          </w:tcPr>
          <w:p w:rsidR="000078E9" w:rsidRDefault="000078E9">
            <w:pPr>
              <w:rPr>
                <w:sz w:val="2"/>
                <w:szCs w:val="2"/>
              </w:rPr>
            </w:pPr>
          </w:p>
        </w:tc>
        <w:tc>
          <w:tcPr>
            <w:tcW w:w="2269" w:type="dxa"/>
            <w:tcBorders>
              <w:top w:val="single" w:sz="4" w:space="0" w:color="000000"/>
              <w:left w:val="single" w:sz="4" w:space="0" w:color="000000"/>
              <w:bottom w:val="single" w:sz="4" w:space="0" w:color="000000"/>
              <w:right w:val="single" w:sz="4" w:space="0" w:color="000000"/>
            </w:tcBorders>
          </w:tcPr>
          <w:p w:rsidR="000078E9" w:rsidRDefault="00BE2153">
            <w:pPr>
              <w:pStyle w:val="TableParagraph"/>
              <w:spacing w:line="196" w:lineRule="exact"/>
              <w:ind w:left="105"/>
              <w:jc w:val="left"/>
              <w:rPr>
                <w:sz w:val="18"/>
              </w:rPr>
            </w:pPr>
            <w:r>
              <w:rPr>
                <w:sz w:val="18"/>
              </w:rPr>
              <w:t>Selected</w:t>
            </w:r>
            <w:r>
              <w:rPr>
                <w:spacing w:val="-4"/>
                <w:sz w:val="18"/>
              </w:rPr>
              <w:t xml:space="preserve"> </w:t>
            </w:r>
            <w:r>
              <w:rPr>
                <w:sz w:val="18"/>
              </w:rPr>
              <w:t>by</w:t>
            </w:r>
            <w:r>
              <w:rPr>
                <w:spacing w:val="-4"/>
                <w:sz w:val="18"/>
              </w:rPr>
              <w:t xml:space="preserve"> </w:t>
            </w:r>
            <w:r>
              <w:rPr>
                <w:spacing w:val="-2"/>
                <w:sz w:val="18"/>
              </w:rPr>
              <w:t>Govt.</w:t>
            </w:r>
          </w:p>
        </w:tc>
        <w:tc>
          <w:tcPr>
            <w:tcW w:w="1559" w:type="dxa"/>
            <w:tcBorders>
              <w:top w:val="single" w:sz="4" w:space="0" w:color="000000"/>
              <w:left w:val="single" w:sz="4" w:space="0" w:color="000000"/>
              <w:bottom w:val="single" w:sz="4" w:space="0" w:color="000000"/>
              <w:right w:val="single" w:sz="4" w:space="0" w:color="000000"/>
            </w:tcBorders>
          </w:tcPr>
          <w:p w:rsidR="000078E9" w:rsidRPr="00DB5B12" w:rsidRDefault="00BE2153">
            <w:pPr>
              <w:pStyle w:val="TableParagraph"/>
              <w:spacing w:line="196" w:lineRule="exact"/>
              <w:ind w:right="97"/>
              <w:rPr>
                <w:sz w:val="18"/>
                <w:highlight w:val="green"/>
              </w:rPr>
            </w:pPr>
            <w:r w:rsidRPr="00DB5B12">
              <w:rPr>
                <w:spacing w:val="-2"/>
                <w:sz w:val="18"/>
                <w:highlight w:val="green"/>
              </w:rPr>
              <w:t>104.4</w:t>
            </w:r>
          </w:p>
        </w:tc>
        <w:tc>
          <w:tcPr>
            <w:tcW w:w="1278" w:type="dxa"/>
            <w:tcBorders>
              <w:top w:val="single" w:sz="4" w:space="0" w:color="000000"/>
              <w:left w:val="single" w:sz="4" w:space="0" w:color="000000"/>
              <w:bottom w:val="single" w:sz="4" w:space="0" w:color="000000"/>
              <w:right w:val="single" w:sz="4" w:space="0" w:color="000000"/>
            </w:tcBorders>
          </w:tcPr>
          <w:p w:rsidR="000078E9" w:rsidRPr="00DB5B12" w:rsidRDefault="00BE2153">
            <w:pPr>
              <w:pStyle w:val="TableParagraph"/>
              <w:spacing w:line="196" w:lineRule="exact"/>
              <w:ind w:right="98"/>
              <w:rPr>
                <w:sz w:val="18"/>
                <w:highlight w:val="green"/>
              </w:rPr>
            </w:pPr>
            <w:r w:rsidRPr="00DB5B12">
              <w:rPr>
                <w:spacing w:val="-4"/>
                <w:sz w:val="18"/>
                <w:highlight w:val="green"/>
              </w:rPr>
              <w:t>46.3</w:t>
            </w:r>
          </w:p>
        </w:tc>
      </w:tr>
      <w:tr w:rsidR="000078E9">
        <w:trPr>
          <w:trHeight w:val="289"/>
        </w:trPr>
        <w:tc>
          <w:tcPr>
            <w:tcW w:w="2804" w:type="dxa"/>
            <w:vMerge/>
            <w:tcBorders>
              <w:top w:val="nil"/>
              <w:left w:val="single" w:sz="4" w:space="0" w:color="000000"/>
              <w:bottom w:val="double" w:sz="4" w:space="0" w:color="000000"/>
              <w:right w:val="single" w:sz="4" w:space="0" w:color="000000"/>
            </w:tcBorders>
          </w:tcPr>
          <w:p w:rsidR="000078E9" w:rsidRDefault="000078E9">
            <w:pPr>
              <w:rPr>
                <w:sz w:val="2"/>
                <w:szCs w:val="2"/>
              </w:rPr>
            </w:pPr>
          </w:p>
        </w:tc>
        <w:tc>
          <w:tcPr>
            <w:tcW w:w="2269" w:type="dxa"/>
            <w:tcBorders>
              <w:top w:val="single" w:sz="4" w:space="0" w:color="000000"/>
              <w:left w:val="single" w:sz="4" w:space="0" w:color="000000"/>
              <w:bottom w:val="double" w:sz="4" w:space="0" w:color="000000"/>
              <w:right w:val="single" w:sz="4" w:space="0" w:color="000000"/>
            </w:tcBorders>
          </w:tcPr>
          <w:p w:rsidR="000078E9" w:rsidRDefault="00BE2153">
            <w:pPr>
              <w:pStyle w:val="TableParagraph"/>
              <w:spacing w:line="196" w:lineRule="exact"/>
              <w:ind w:left="105"/>
              <w:jc w:val="left"/>
              <w:rPr>
                <w:sz w:val="18"/>
              </w:rPr>
            </w:pPr>
            <w:r>
              <w:rPr>
                <w:sz w:val="18"/>
              </w:rPr>
              <w:t>Selected</w:t>
            </w:r>
            <w:r>
              <w:rPr>
                <w:spacing w:val="-6"/>
                <w:sz w:val="18"/>
              </w:rPr>
              <w:t xml:space="preserve"> </w:t>
            </w:r>
            <w:r>
              <w:rPr>
                <w:sz w:val="18"/>
              </w:rPr>
              <w:t>by</w:t>
            </w:r>
            <w:r>
              <w:rPr>
                <w:spacing w:val="-4"/>
                <w:sz w:val="18"/>
              </w:rPr>
              <w:t xml:space="preserve"> Adm.</w:t>
            </w:r>
          </w:p>
        </w:tc>
        <w:tc>
          <w:tcPr>
            <w:tcW w:w="1559" w:type="dxa"/>
            <w:tcBorders>
              <w:top w:val="single" w:sz="4" w:space="0" w:color="000000"/>
              <w:left w:val="single" w:sz="4" w:space="0" w:color="000000"/>
              <w:bottom w:val="double" w:sz="4" w:space="0" w:color="000000"/>
              <w:right w:val="single" w:sz="4" w:space="0" w:color="000000"/>
            </w:tcBorders>
          </w:tcPr>
          <w:p w:rsidR="000078E9" w:rsidRPr="00DB5B12" w:rsidRDefault="00BE2153">
            <w:pPr>
              <w:pStyle w:val="TableParagraph"/>
              <w:spacing w:line="196" w:lineRule="exact"/>
              <w:ind w:right="96"/>
              <w:rPr>
                <w:sz w:val="18"/>
                <w:highlight w:val="green"/>
              </w:rPr>
            </w:pPr>
            <w:r w:rsidRPr="00DB5B12">
              <w:rPr>
                <w:spacing w:val="-4"/>
                <w:sz w:val="18"/>
                <w:highlight w:val="green"/>
              </w:rPr>
              <w:t>91.9</w:t>
            </w:r>
          </w:p>
        </w:tc>
        <w:tc>
          <w:tcPr>
            <w:tcW w:w="1278" w:type="dxa"/>
            <w:tcBorders>
              <w:top w:val="single" w:sz="4" w:space="0" w:color="000000"/>
              <w:left w:val="single" w:sz="4" w:space="0" w:color="000000"/>
              <w:bottom w:val="double" w:sz="4" w:space="0" w:color="000000"/>
              <w:right w:val="single" w:sz="4" w:space="0" w:color="000000"/>
            </w:tcBorders>
          </w:tcPr>
          <w:p w:rsidR="000078E9" w:rsidRPr="00DB5B12" w:rsidRDefault="00BE2153">
            <w:pPr>
              <w:pStyle w:val="TableParagraph"/>
              <w:spacing w:line="196" w:lineRule="exact"/>
              <w:ind w:right="98"/>
              <w:rPr>
                <w:sz w:val="18"/>
                <w:highlight w:val="green"/>
              </w:rPr>
            </w:pPr>
            <w:r w:rsidRPr="00DB5B12">
              <w:rPr>
                <w:spacing w:val="-4"/>
                <w:sz w:val="18"/>
                <w:highlight w:val="green"/>
              </w:rPr>
              <w:t>21.4</w:t>
            </w:r>
          </w:p>
        </w:tc>
      </w:tr>
      <w:tr w:rsidR="000078E9">
        <w:trPr>
          <w:trHeight w:val="291"/>
        </w:trPr>
        <w:tc>
          <w:tcPr>
            <w:tcW w:w="2804" w:type="dxa"/>
            <w:vMerge w:val="restart"/>
            <w:tcBorders>
              <w:top w:val="double" w:sz="4" w:space="0" w:color="000000"/>
              <w:left w:val="single" w:sz="4" w:space="0" w:color="000000"/>
              <w:bottom w:val="double" w:sz="4" w:space="0" w:color="000000"/>
              <w:right w:val="single" w:sz="4" w:space="0" w:color="000000"/>
            </w:tcBorders>
          </w:tcPr>
          <w:p w:rsidR="000078E9" w:rsidRDefault="00BE2153">
            <w:pPr>
              <w:pStyle w:val="TableParagraph"/>
              <w:spacing w:line="203" w:lineRule="exact"/>
              <w:ind w:left="107"/>
              <w:jc w:val="left"/>
              <w:rPr>
                <w:b/>
                <w:sz w:val="18"/>
              </w:rPr>
            </w:pPr>
            <w:r>
              <w:rPr>
                <w:b/>
                <w:sz w:val="18"/>
              </w:rPr>
              <w:t>Average</w:t>
            </w:r>
            <w:r>
              <w:rPr>
                <w:b/>
                <w:spacing w:val="-2"/>
                <w:sz w:val="18"/>
              </w:rPr>
              <w:t xml:space="preserve"> </w:t>
            </w:r>
            <w:proofErr w:type="spellStart"/>
            <w:r>
              <w:rPr>
                <w:b/>
                <w:spacing w:val="-4"/>
                <w:sz w:val="18"/>
              </w:rPr>
              <w:t>NBIR</w:t>
            </w:r>
            <w:proofErr w:type="spellEnd"/>
          </w:p>
        </w:tc>
        <w:tc>
          <w:tcPr>
            <w:tcW w:w="2269" w:type="dxa"/>
            <w:tcBorders>
              <w:top w:val="double" w:sz="4" w:space="0" w:color="000000"/>
              <w:left w:val="single" w:sz="4" w:space="0" w:color="000000"/>
              <w:bottom w:val="single" w:sz="4" w:space="0" w:color="000000"/>
              <w:right w:val="single" w:sz="4" w:space="0" w:color="000000"/>
            </w:tcBorders>
          </w:tcPr>
          <w:p w:rsidR="000078E9" w:rsidRDefault="00BE2153">
            <w:pPr>
              <w:pStyle w:val="TableParagraph"/>
              <w:spacing w:before="1"/>
              <w:ind w:left="105"/>
              <w:jc w:val="left"/>
              <w:rPr>
                <w:sz w:val="18"/>
              </w:rPr>
            </w:pPr>
            <w:r>
              <w:rPr>
                <w:sz w:val="18"/>
              </w:rPr>
              <w:t>All</w:t>
            </w:r>
            <w:r>
              <w:rPr>
                <w:spacing w:val="-1"/>
                <w:sz w:val="18"/>
              </w:rPr>
              <w:t xml:space="preserve"> </w:t>
            </w:r>
            <w:r>
              <w:rPr>
                <w:spacing w:val="-2"/>
                <w:sz w:val="18"/>
              </w:rPr>
              <w:t>candidates</w:t>
            </w:r>
          </w:p>
        </w:tc>
        <w:tc>
          <w:tcPr>
            <w:tcW w:w="1559" w:type="dxa"/>
            <w:tcBorders>
              <w:top w:val="double" w:sz="4" w:space="0" w:color="000000"/>
              <w:left w:val="single" w:sz="4" w:space="0" w:color="000000"/>
              <w:bottom w:val="single" w:sz="4" w:space="0" w:color="000000"/>
              <w:right w:val="single" w:sz="4" w:space="0" w:color="000000"/>
            </w:tcBorders>
          </w:tcPr>
          <w:p w:rsidR="000078E9" w:rsidRPr="00795F06" w:rsidRDefault="00BE2153">
            <w:pPr>
              <w:pStyle w:val="TableParagraph"/>
              <w:spacing w:before="1"/>
              <w:ind w:right="96"/>
              <w:rPr>
                <w:sz w:val="18"/>
                <w:highlight w:val="cyan"/>
              </w:rPr>
            </w:pPr>
            <w:r w:rsidRPr="00795F06">
              <w:rPr>
                <w:spacing w:val="-2"/>
                <w:sz w:val="18"/>
                <w:highlight w:val="cyan"/>
              </w:rPr>
              <w:t>-</w:t>
            </w:r>
            <w:r w:rsidRPr="00795F06">
              <w:rPr>
                <w:spacing w:val="-4"/>
                <w:sz w:val="18"/>
                <w:highlight w:val="cyan"/>
              </w:rPr>
              <w:t>0.18</w:t>
            </w:r>
          </w:p>
        </w:tc>
        <w:tc>
          <w:tcPr>
            <w:tcW w:w="1278" w:type="dxa"/>
            <w:tcBorders>
              <w:top w:val="double" w:sz="4" w:space="0" w:color="000000"/>
              <w:left w:val="single" w:sz="4" w:space="0" w:color="000000"/>
              <w:bottom w:val="single" w:sz="4" w:space="0" w:color="000000"/>
              <w:right w:val="single" w:sz="4" w:space="0" w:color="000000"/>
            </w:tcBorders>
          </w:tcPr>
          <w:p w:rsidR="000078E9" w:rsidRPr="00795F06" w:rsidRDefault="00BE2153">
            <w:pPr>
              <w:pStyle w:val="TableParagraph"/>
              <w:spacing w:before="1"/>
              <w:ind w:right="97"/>
              <w:rPr>
                <w:sz w:val="18"/>
                <w:highlight w:val="cyan"/>
              </w:rPr>
            </w:pPr>
            <w:r w:rsidRPr="00795F06">
              <w:rPr>
                <w:spacing w:val="-4"/>
                <w:sz w:val="18"/>
                <w:highlight w:val="cyan"/>
              </w:rPr>
              <w:t>0.36</w:t>
            </w:r>
          </w:p>
        </w:tc>
      </w:tr>
      <w:tr w:rsidR="000078E9">
        <w:trPr>
          <w:trHeight w:val="279"/>
        </w:trPr>
        <w:tc>
          <w:tcPr>
            <w:tcW w:w="2804" w:type="dxa"/>
            <w:vMerge/>
            <w:tcBorders>
              <w:top w:val="nil"/>
              <w:left w:val="single" w:sz="4" w:space="0" w:color="000000"/>
              <w:bottom w:val="double" w:sz="4" w:space="0" w:color="000000"/>
              <w:right w:val="single" w:sz="4" w:space="0" w:color="000000"/>
            </w:tcBorders>
          </w:tcPr>
          <w:p w:rsidR="000078E9" w:rsidRDefault="000078E9">
            <w:pPr>
              <w:rPr>
                <w:sz w:val="2"/>
                <w:szCs w:val="2"/>
              </w:rPr>
            </w:pPr>
          </w:p>
        </w:tc>
        <w:tc>
          <w:tcPr>
            <w:tcW w:w="2269" w:type="dxa"/>
            <w:tcBorders>
              <w:top w:val="single" w:sz="4" w:space="0" w:color="000000"/>
              <w:left w:val="single" w:sz="4" w:space="0" w:color="000000"/>
              <w:bottom w:val="single" w:sz="4" w:space="0" w:color="000000"/>
              <w:right w:val="single" w:sz="4" w:space="0" w:color="000000"/>
            </w:tcBorders>
          </w:tcPr>
          <w:p w:rsidR="000078E9" w:rsidRDefault="00BE2153">
            <w:pPr>
              <w:pStyle w:val="TableParagraph"/>
              <w:spacing w:line="196" w:lineRule="exact"/>
              <w:ind w:left="105"/>
              <w:jc w:val="left"/>
              <w:rPr>
                <w:sz w:val="18"/>
              </w:rPr>
            </w:pPr>
            <w:r>
              <w:rPr>
                <w:sz w:val="18"/>
              </w:rPr>
              <w:t>Selected</w:t>
            </w:r>
            <w:r>
              <w:rPr>
                <w:spacing w:val="-4"/>
                <w:sz w:val="18"/>
              </w:rPr>
              <w:t xml:space="preserve"> </w:t>
            </w:r>
            <w:r>
              <w:rPr>
                <w:sz w:val="18"/>
              </w:rPr>
              <w:t>by</w:t>
            </w:r>
            <w:r>
              <w:rPr>
                <w:spacing w:val="-4"/>
                <w:sz w:val="18"/>
              </w:rPr>
              <w:t xml:space="preserve"> </w:t>
            </w:r>
            <w:r>
              <w:rPr>
                <w:spacing w:val="-2"/>
                <w:sz w:val="18"/>
              </w:rPr>
              <w:t>Govt.</w:t>
            </w:r>
          </w:p>
        </w:tc>
        <w:tc>
          <w:tcPr>
            <w:tcW w:w="1559" w:type="dxa"/>
            <w:tcBorders>
              <w:top w:val="single" w:sz="4" w:space="0" w:color="000000"/>
              <w:left w:val="single" w:sz="4" w:space="0" w:color="000000"/>
              <w:bottom w:val="single" w:sz="4" w:space="0" w:color="000000"/>
              <w:right w:val="single" w:sz="4" w:space="0" w:color="000000"/>
            </w:tcBorders>
          </w:tcPr>
          <w:p w:rsidR="000078E9" w:rsidRPr="00795F06" w:rsidRDefault="00BE2153">
            <w:pPr>
              <w:pStyle w:val="TableParagraph"/>
              <w:spacing w:line="196" w:lineRule="exact"/>
              <w:ind w:right="96"/>
              <w:rPr>
                <w:sz w:val="18"/>
                <w:highlight w:val="cyan"/>
              </w:rPr>
            </w:pPr>
            <w:r w:rsidRPr="00795F06">
              <w:rPr>
                <w:spacing w:val="-2"/>
                <w:sz w:val="18"/>
                <w:highlight w:val="cyan"/>
              </w:rPr>
              <w:t>-</w:t>
            </w:r>
            <w:r w:rsidRPr="00795F06">
              <w:rPr>
                <w:spacing w:val="-4"/>
                <w:sz w:val="18"/>
                <w:highlight w:val="cyan"/>
              </w:rPr>
              <w:t>0.18</w:t>
            </w:r>
          </w:p>
        </w:tc>
        <w:tc>
          <w:tcPr>
            <w:tcW w:w="1278" w:type="dxa"/>
            <w:tcBorders>
              <w:top w:val="single" w:sz="4" w:space="0" w:color="000000"/>
              <w:left w:val="single" w:sz="4" w:space="0" w:color="000000"/>
              <w:bottom w:val="single" w:sz="4" w:space="0" w:color="000000"/>
              <w:right w:val="single" w:sz="4" w:space="0" w:color="000000"/>
            </w:tcBorders>
          </w:tcPr>
          <w:p w:rsidR="000078E9" w:rsidRPr="00795F06" w:rsidRDefault="00BE2153">
            <w:pPr>
              <w:pStyle w:val="TableParagraph"/>
              <w:spacing w:line="196" w:lineRule="exact"/>
              <w:ind w:right="97"/>
              <w:rPr>
                <w:sz w:val="18"/>
                <w:highlight w:val="cyan"/>
              </w:rPr>
            </w:pPr>
            <w:r w:rsidRPr="00795F06">
              <w:rPr>
                <w:spacing w:val="-4"/>
                <w:sz w:val="18"/>
                <w:highlight w:val="cyan"/>
              </w:rPr>
              <w:t>0.50</w:t>
            </w:r>
          </w:p>
        </w:tc>
      </w:tr>
      <w:tr w:rsidR="000078E9">
        <w:trPr>
          <w:trHeight w:val="289"/>
        </w:trPr>
        <w:tc>
          <w:tcPr>
            <w:tcW w:w="2804" w:type="dxa"/>
            <w:vMerge/>
            <w:tcBorders>
              <w:top w:val="nil"/>
              <w:left w:val="single" w:sz="4" w:space="0" w:color="000000"/>
              <w:bottom w:val="double" w:sz="4" w:space="0" w:color="000000"/>
              <w:right w:val="single" w:sz="4" w:space="0" w:color="000000"/>
            </w:tcBorders>
          </w:tcPr>
          <w:p w:rsidR="000078E9" w:rsidRDefault="000078E9">
            <w:pPr>
              <w:rPr>
                <w:sz w:val="2"/>
                <w:szCs w:val="2"/>
              </w:rPr>
            </w:pPr>
          </w:p>
        </w:tc>
        <w:tc>
          <w:tcPr>
            <w:tcW w:w="2269" w:type="dxa"/>
            <w:tcBorders>
              <w:top w:val="single" w:sz="4" w:space="0" w:color="000000"/>
              <w:left w:val="single" w:sz="4" w:space="0" w:color="000000"/>
              <w:bottom w:val="double" w:sz="4" w:space="0" w:color="000000"/>
              <w:right w:val="single" w:sz="4" w:space="0" w:color="000000"/>
            </w:tcBorders>
          </w:tcPr>
          <w:p w:rsidR="000078E9" w:rsidRDefault="00BE2153">
            <w:pPr>
              <w:pStyle w:val="TableParagraph"/>
              <w:spacing w:line="196" w:lineRule="exact"/>
              <w:ind w:left="105"/>
              <w:jc w:val="left"/>
              <w:rPr>
                <w:sz w:val="18"/>
              </w:rPr>
            </w:pPr>
            <w:r>
              <w:rPr>
                <w:sz w:val="18"/>
              </w:rPr>
              <w:t>Selected</w:t>
            </w:r>
            <w:r>
              <w:rPr>
                <w:spacing w:val="-6"/>
                <w:sz w:val="18"/>
              </w:rPr>
              <w:t xml:space="preserve"> </w:t>
            </w:r>
            <w:r>
              <w:rPr>
                <w:sz w:val="18"/>
              </w:rPr>
              <w:t>by</w:t>
            </w:r>
            <w:r>
              <w:rPr>
                <w:spacing w:val="-4"/>
                <w:sz w:val="18"/>
              </w:rPr>
              <w:t xml:space="preserve"> Adm.</w:t>
            </w:r>
          </w:p>
        </w:tc>
        <w:tc>
          <w:tcPr>
            <w:tcW w:w="1559" w:type="dxa"/>
            <w:tcBorders>
              <w:top w:val="single" w:sz="4" w:space="0" w:color="000000"/>
              <w:left w:val="single" w:sz="4" w:space="0" w:color="000000"/>
              <w:bottom w:val="double" w:sz="4" w:space="0" w:color="000000"/>
              <w:right w:val="single" w:sz="4" w:space="0" w:color="000000"/>
            </w:tcBorders>
          </w:tcPr>
          <w:p w:rsidR="000078E9" w:rsidRPr="00795F06" w:rsidRDefault="00BE2153">
            <w:pPr>
              <w:pStyle w:val="TableParagraph"/>
              <w:spacing w:line="196" w:lineRule="exact"/>
              <w:ind w:right="96"/>
              <w:rPr>
                <w:sz w:val="18"/>
                <w:highlight w:val="cyan"/>
              </w:rPr>
            </w:pPr>
            <w:r w:rsidRPr="00795F06">
              <w:rPr>
                <w:spacing w:val="-2"/>
                <w:sz w:val="18"/>
                <w:highlight w:val="cyan"/>
              </w:rPr>
              <w:t>-</w:t>
            </w:r>
            <w:r w:rsidRPr="00795F06">
              <w:rPr>
                <w:spacing w:val="-4"/>
                <w:sz w:val="18"/>
                <w:highlight w:val="cyan"/>
              </w:rPr>
              <w:t>0.17</w:t>
            </w:r>
          </w:p>
        </w:tc>
        <w:tc>
          <w:tcPr>
            <w:tcW w:w="1278" w:type="dxa"/>
            <w:tcBorders>
              <w:top w:val="single" w:sz="4" w:space="0" w:color="000000"/>
              <w:left w:val="single" w:sz="4" w:space="0" w:color="000000"/>
              <w:bottom w:val="double" w:sz="4" w:space="0" w:color="000000"/>
              <w:right w:val="single" w:sz="4" w:space="0" w:color="000000"/>
            </w:tcBorders>
          </w:tcPr>
          <w:p w:rsidR="000078E9" w:rsidRPr="00795F06" w:rsidRDefault="00BE2153">
            <w:pPr>
              <w:pStyle w:val="TableParagraph"/>
              <w:spacing w:line="196" w:lineRule="exact"/>
              <w:ind w:right="97"/>
              <w:rPr>
                <w:sz w:val="18"/>
                <w:highlight w:val="cyan"/>
              </w:rPr>
            </w:pPr>
            <w:r w:rsidRPr="00795F06">
              <w:rPr>
                <w:spacing w:val="-4"/>
                <w:sz w:val="18"/>
                <w:highlight w:val="cyan"/>
              </w:rPr>
              <w:t>0.83</w:t>
            </w:r>
          </w:p>
        </w:tc>
      </w:tr>
      <w:tr w:rsidR="000078E9">
        <w:trPr>
          <w:trHeight w:val="299"/>
        </w:trPr>
        <w:tc>
          <w:tcPr>
            <w:tcW w:w="2804" w:type="dxa"/>
            <w:vMerge w:val="restart"/>
            <w:tcBorders>
              <w:top w:val="double" w:sz="4" w:space="0" w:color="000000"/>
              <w:left w:val="single" w:sz="4" w:space="0" w:color="000000"/>
              <w:bottom w:val="single" w:sz="4" w:space="0" w:color="000000"/>
              <w:right w:val="single" w:sz="4" w:space="0" w:color="000000"/>
            </w:tcBorders>
          </w:tcPr>
          <w:p w:rsidR="000078E9" w:rsidRDefault="00BE2153">
            <w:pPr>
              <w:pStyle w:val="TableParagraph"/>
              <w:spacing w:line="201" w:lineRule="exact"/>
              <w:ind w:left="107"/>
              <w:jc w:val="left"/>
              <w:rPr>
                <w:b/>
                <w:sz w:val="18"/>
              </w:rPr>
            </w:pPr>
            <w:r>
              <w:rPr>
                <w:b/>
                <w:sz w:val="18"/>
              </w:rPr>
              <w:t>Share</w:t>
            </w:r>
            <w:r>
              <w:rPr>
                <w:b/>
                <w:spacing w:val="-1"/>
                <w:sz w:val="18"/>
              </w:rPr>
              <w:t xml:space="preserve"> </w:t>
            </w:r>
            <w:r>
              <w:rPr>
                <w:b/>
                <w:sz w:val="18"/>
              </w:rPr>
              <w:t>of projects</w:t>
            </w:r>
            <w:r>
              <w:rPr>
                <w:b/>
                <w:spacing w:val="-2"/>
                <w:sz w:val="18"/>
              </w:rPr>
              <w:t xml:space="preserve"> </w:t>
            </w:r>
            <w:r>
              <w:rPr>
                <w:b/>
                <w:sz w:val="18"/>
              </w:rPr>
              <w:t>with</w:t>
            </w:r>
            <w:r>
              <w:rPr>
                <w:b/>
                <w:spacing w:val="-2"/>
                <w:sz w:val="18"/>
              </w:rPr>
              <w:t xml:space="preserve"> </w:t>
            </w:r>
            <w:proofErr w:type="spellStart"/>
            <w:r>
              <w:rPr>
                <w:b/>
                <w:spacing w:val="-2"/>
                <w:sz w:val="18"/>
              </w:rPr>
              <w:t>NBIR</w:t>
            </w:r>
            <w:proofErr w:type="spellEnd"/>
            <w:r>
              <w:rPr>
                <w:b/>
                <w:spacing w:val="-2"/>
                <w:sz w:val="18"/>
              </w:rPr>
              <w:t>&gt;0</w:t>
            </w:r>
          </w:p>
        </w:tc>
        <w:tc>
          <w:tcPr>
            <w:tcW w:w="2269" w:type="dxa"/>
            <w:tcBorders>
              <w:top w:val="double" w:sz="4" w:space="0" w:color="000000"/>
              <w:left w:val="single" w:sz="4" w:space="0" w:color="000000"/>
              <w:bottom w:val="single" w:sz="4" w:space="0" w:color="000000"/>
              <w:right w:val="single" w:sz="4" w:space="0" w:color="000000"/>
            </w:tcBorders>
          </w:tcPr>
          <w:p w:rsidR="000078E9" w:rsidRDefault="00BE2153">
            <w:pPr>
              <w:pStyle w:val="TableParagraph"/>
              <w:spacing w:line="206" w:lineRule="exact"/>
              <w:ind w:left="105"/>
              <w:jc w:val="left"/>
              <w:rPr>
                <w:sz w:val="18"/>
              </w:rPr>
            </w:pPr>
            <w:r>
              <w:rPr>
                <w:sz w:val="18"/>
              </w:rPr>
              <w:t>All</w:t>
            </w:r>
            <w:r>
              <w:rPr>
                <w:spacing w:val="-1"/>
                <w:sz w:val="18"/>
              </w:rPr>
              <w:t xml:space="preserve"> </w:t>
            </w:r>
            <w:r>
              <w:rPr>
                <w:spacing w:val="-2"/>
                <w:sz w:val="18"/>
              </w:rPr>
              <w:t>candidates</w:t>
            </w:r>
          </w:p>
        </w:tc>
        <w:tc>
          <w:tcPr>
            <w:tcW w:w="1559" w:type="dxa"/>
            <w:tcBorders>
              <w:top w:val="double" w:sz="4" w:space="0" w:color="000000"/>
              <w:left w:val="single" w:sz="4" w:space="0" w:color="000000"/>
              <w:bottom w:val="single" w:sz="4" w:space="0" w:color="000000"/>
              <w:right w:val="single" w:sz="4" w:space="0" w:color="000000"/>
            </w:tcBorders>
          </w:tcPr>
          <w:p w:rsidR="000078E9" w:rsidRPr="00DB5B12" w:rsidRDefault="00BE2153">
            <w:pPr>
              <w:pStyle w:val="TableParagraph"/>
              <w:spacing w:line="206" w:lineRule="exact"/>
              <w:ind w:right="95"/>
              <w:rPr>
                <w:sz w:val="18"/>
                <w:highlight w:val="green"/>
              </w:rPr>
            </w:pPr>
            <w:r w:rsidRPr="00DB5B12">
              <w:rPr>
                <w:spacing w:val="-5"/>
                <w:sz w:val="18"/>
                <w:highlight w:val="green"/>
              </w:rPr>
              <w:t>31%</w:t>
            </w:r>
          </w:p>
        </w:tc>
        <w:tc>
          <w:tcPr>
            <w:tcW w:w="1278" w:type="dxa"/>
            <w:tcBorders>
              <w:top w:val="double" w:sz="4" w:space="0" w:color="000000"/>
              <w:left w:val="single" w:sz="4" w:space="0" w:color="000000"/>
              <w:bottom w:val="single" w:sz="4" w:space="0" w:color="000000"/>
              <w:right w:val="single" w:sz="4" w:space="0" w:color="000000"/>
            </w:tcBorders>
          </w:tcPr>
          <w:p w:rsidR="000078E9" w:rsidRPr="00DB5B12" w:rsidRDefault="00BE2153">
            <w:pPr>
              <w:pStyle w:val="TableParagraph"/>
              <w:spacing w:line="206" w:lineRule="exact"/>
              <w:ind w:right="96"/>
              <w:rPr>
                <w:sz w:val="18"/>
                <w:highlight w:val="green"/>
              </w:rPr>
            </w:pPr>
            <w:r w:rsidRPr="00DB5B12">
              <w:rPr>
                <w:spacing w:val="-5"/>
                <w:sz w:val="18"/>
                <w:highlight w:val="green"/>
              </w:rPr>
              <w:t>56%</w:t>
            </w:r>
          </w:p>
        </w:tc>
      </w:tr>
      <w:tr w:rsidR="000078E9">
        <w:trPr>
          <w:trHeight w:val="301"/>
        </w:trPr>
        <w:tc>
          <w:tcPr>
            <w:tcW w:w="2804" w:type="dxa"/>
            <w:vMerge/>
            <w:tcBorders>
              <w:top w:val="nil"/>
              <w:left w:val="single" w:sz="4" w:space="0" w:color="000000"/>
              <w:bottom w:val="single" w:sz="4" w:space="0" w:color="000000"/>
              <w:right w:val="single" w:sz="4" w:space="0" w:color="000000"/>
            </w:tcBorders>
          </w:tcPr>
          <w:p w:rsidR="000078E9" w:rsidRDefault="000078E9">
            <w:pPr>
              <w:rPr>
                <w:sz w:val="2"/>
                <w:szCs w:val="2"/>
              </w:rPr>
            </w:pPr>
          </w:p>
        </w:tc>
        <w:tc>
          <w:tcPr>
            <w:tcW w:w="2269" w:type="dxa"/>
            <w:tcBorders>
              <w:top w:val="single" w:sz="4" w:space="0" w:color="000000"/>
              <w:left w:val="single" w:sz="4" w:space="0" w:color="000000"/>
              <w:bottom w:val="single" w:sz="4" w:space="0" w:color="000000"/>
              <w:right w:val="single" w:sz="4" w:space="0" w:color="000000"/>
            </w:tcBorders>
          </w:tcPr>
          <w:p w:rsidR="000078E9" w:rsidRDefault="00BE2153">
            <w:pPr>
              <w:pStyle w:val="TableParagraph"/>
              <w:spacing w:before="1"/>
              <w:ind w:left="105"/>
              <w:jc w:val="left"/>
              <w:rPr>
                <w:sz w:val="18"/>
              </w:rPr>
            </w:pPr>
            <w:r>
              <w:rPr>
                <w:sz w:val="18"/>
              </w:rPr>
              <w:t>Selected</w:t>
            </w:r>
            <w:r>
              <w:rPr>
                <w:spacing w:val="-4"/>
                <w:sz w:val="18"/>
              </w:rPr>
              <w:t xml:space="preserve"> </w:t>
            </w:r>
            <w:r>
              <w:rPr>
                <w:sz w:val="18"/>
              </w:rPr>
              <w:t>by</w:t>
            </w:r>
            <w:r>
              <w:rPr>
                <w:spacing w:val="-4"/>
                <w:sz w:val="18"/>
              </w:rPr>
              <w:t xml:space="preserve"> </w:t>
            </w:r>
            <w:r>
              <w:rPr>
                <w:spacing w:val="-2"/>
                <w:sz w:val="18"/>
              </w:rPr>
              <w:t>Govt.</w:t>
            </w:r>
          </w:p>
        </w:tc>
        <w:tc>
          <w:tcPr>
            <w:tcW w:w="1559" w:type="dxa"/>
            <w:tcBorders>
              <w:top w:val="single" w:sz="4" w:space="0" w:color="000000"/>
              <w:left w:val="single" w:sz="4" w:space="0" w:color="000000"/>
              <w:bottom w:val="single" w:sz="4" w:space="0" w:color="000000"/>
              <w:right w:val="single" w:sz="4" w:space="0" w:color="000000"/>
            </w:tcBorders>
          </w:tcPr>
          <w:p w:rsidR="000078E9" w:rsidRPr="00DB5B12" w:rsidRDefault="00BE2153">
            <w:pPr>
              <w:pStyle w:val="TableParagraph"/>
              <w:spacing w:before="1"/>
              <w:ind w:right="95"/>
              <w:rPr>
                <w:sz w:val="18"/>
                <w:highlight w:val="cyan"/>
              </w:rPr>
            </w:pPr>
            <w:r w:rsidRPr="00DB5B12">
              <w:rPr>
                <w:spacing w:val="-5"/>
                <w:sz w:val="18"/>
                <w:highlight w:val="cyan"/>
              </w:rPr>
              <w:t>34%</w:t>
            </w:r>
          </w:p>
        </w:tc>
        <w:tc>
          <w:tcPr>
            <w:tcW w:w="1278" w:type="dxa"/>
            <w:tcBorders>
              <w:top w:val="single" w:sz="4" w:space="0" w:color="000000"/>
              <w:left w:val="single" w:sz="4" w:space="0" w:color="000000"/>
              <w:bottom w:val="single" w:sz="4" w:space="0" w:color="000000"/>
              <w:right w:val="single" w:sz="4" w:space="0" w:color="000000"/>
            </w:tcBorders>
          </w:tcPr>
          <w:p w:rsidR="000078E9" w:rsidRPr="00DB5B12" w:rsidRDefault="00BE2153">
            <w:pPr>
              <w:pStyle w:val="TableParagraph"/>
              <w:spacing w:before="1"/>
              <w:ind w:right="96"/>
              <w:rPr>
                <w:sz w:val="18"/>
                <w:highlight w:val="cyan"/>
              </w:rPr>
            </w:pPr>
            <w:r w:rsidRPr="00DB5B12">
              <w:rPr>
                <w:spacing w:val="-5"/>
                <w:sz w:val="18"/>
                <w:highlight w:val="cyan"/>
              </w:rPr>
              <w:t>66%</w:t>
            </w:r>
          </w:p>
        </w:tc>
      </w:tr>
      <w:tr w:rsidR="000078E9">
        <w:trPr>
          <w:trHeight w:val="299"/>
        </w:trPr>
        <w:tc>
          <w:tcPr>
            <w:tcW w:w="2804" w:type="dxa"/>
            <w:vMerge/>
            <w:tcBorders>
              <w:top w:val="nil"/>
              <w:left w:val="single" w:sz="4" w:space="0" w:color="000000"/>
              <w:bottom w:val="single" w:sz="4" w:space="0" w:color="000000"/>
              <w:right w:val="single" w:sz="4" w:space="0" w:color="000000"/>
            </w:tcBorders>
          </w:tcPr>
          <w:p w:rsidR="000078E9" w:rsidRDefault="000078E9">
            <w:pPr>
              <w:rPr>
                <w:sz w:val="2"/>
                <w:szCs w:val="2"/>
              </w:rPr>
            </w:pPr>
          </w:p>
        </w:tc>
        <w:tc>
          <w:tcPr>
            <w:tcW w:w="2269" w:type="dxa"/>
            <w:tcBorders>
              <w:top w:val="single" w:sz="4" w:space="0" w:color="000000"/>
              <w:left w:val="single" w:sz="4" w:space="0" w:color="000000"/>
              <w:bottom w:val="single" w:sz="4" w:space="0" w:color="000000"/>
              <w:right w:val="single" w:sz="4" w:space="0" w:color="000000"/>
            </w:tcBorders>
          </w:tcPr>
          <w:p w:rsidR="000078E9" w:rsidRDefault="00BE2153">
            <w:pPr>
              <w:pStyle w:val="TableParagraph"/>
              <w:spacing w:line="206" w:lineRule="exact"/>
              <w:ind w:left="105"/>
              <w:jc w:val="left"/>
              <w:rPr>
                <w:sz w:val="18"/>
              </w:rPr>
            </w:pPr>
            <w:r>
              <w:rPr>
                <w:sz w:val="18"/>
              </w:rPr>
              <w:t>Selected</w:t>
            </w:r>
            <w:r>
              <w:rPr>
                <w:spacing w:val="-6"/>
                <w:sz w:val="18"/>
              </w:rPr>
              <w:t xml:space="preserve"> </w:t>
            </w:r>
            <w:r>
              <w:rPr>
                <w:sz w:val="18"/>
              </w:rPr>
              <w:t>by</w:t>
            </w:r>
            <w:r>
              <w:rPr>
                <w:spacing w:val="-4"/>
                <w:sz w:val="18"/>
              </w:rPr>
              <w:t xml:space="preserve"> Adm.</w:t>
            </w:r>
          </w:p>
        </w:tc>
        <w:tc>
          <w:tcPr>
            <w:tcW w:w="1559" w:type="dxa"/>
            <w:tcBorders>
              <w:top w:val="single" w:sz="4" w:space="0" w:color="000000"/>
              <w:left w:val="single" w:sz="4" w:space="0" w:color="000000"/>
              <w:bottom w:val="single" w:sz="4" w:space="0" w:color="000000"/>
              <w:right w:val="single" w:sz="4" w:space="0" w:color="000000"/>
            </w:tcBorders>
          </w:tcPr>
          <w:p w:rsidR="000078E9" w:rsidRPr="00DB5B12" w:rsidRDefault="00BE2153">
            <w:pPr>
              <w:pStyle w:val="TableParagraph"/>
              <w:spacing w:line="206" w:lineRule="exact"/>
              <w:ind w:right="95"/>
              <w:rPr>
                <w:sz w:val="18"/>
                <w:highlight w:val="green"/>
              </w:rPr>
            </w:pPr>
            <w:r w:rsidRPr="00DB5B12">
              <w:rPr>
                <w:spacing w:val="-5"/>
                <w:sz w:val="18"/>
                <w:highlight w:val="green"/>
              </w:rPr>
              <w:t>22%</w:t>
            </w:r>
          </w:p>
        </w:tc>
        <w:tc>
          <w:tcPr>
            <w:tcW w:w="1278" w:type="dxa"/>
            <w:tcBorders>
              <w:top w:val="single" w:sz="4" w:space="0" w:color="000000"/>
              <w:left w:val="single" w:sz="4" w:space="0" w:color="000000"/>
              <w:bottom w:val="single" w:sz="4" w:space="0" w:color="000000"/>
              <w:right w:val="single" w:sz="4" w:space="0" w:color="000000"/>
            </w:tcBorders>
          </w:tcPr>
          <w:p w:rsidR="000078E9" w:rsidRPr="00DB5B12" w:rsidRDefault="00BE2153">
            <w:pPr>
              <w:pStyle w:val="TableParagraph"/>
              <w:spacing w:line="206" w:lineRule="exact"/>
              <w:ind w:right="96"/>
              <w:rPr>
                <w:sz w:val="18"/>
                <w:highlight w:val="green"/>
              </w:rPr>
            </w:pPr>
            <w:r w:rsidRPr="00DB5B12">
              <w:rPr>
                <w:spacing w:val="-5"/>
                <w:sz w:val="18"/>
                <w:highlight w:val="green"/>
              </w:rPr>
              <w:t>74%</w:t>
            </w:r>
          </w:p>
        </w:tc>
      </w:tr>
    </w:tbl>
    <w:p w:rsidR="000078E9" w:rsidRDefault="000078E9">
      <w:pPr>
        <w:pStyle w:val="BodyText"/>
        <w:rPr>
          <w:b/>
          <w:sz w:val="18"/>
        </w:rPr>
      </w:pPr>
    </w:p>
    <w:p w:rsidR="000078E9" w:rsidRDefault="000078E9">
      <w:pPr>
        <w:pStyle w:val="BodyText"/>
        <w:spacing w:before="160"/>
        <w:rPr>
          <w:b/>
          <w:sz w:val="18"/>
        </w:rPr>
      </w:pPr>
    </w:p>
    <w:p w:rsidR="000078E9" w:rsidRPr="00DB5B12" w:rsidRDefault="00BE2153">
      <w:pPr>
        <w:pStyle w:val="BodyText"/>
        <w:spacing w:line="300" w:lineRule="auto"/>
        <w:ind w:left="678" w:right="136"/>
        <w:jc w:val="both"/>
        <w:rPr>
          <w:highlight w:val="yellow"/>
        </w:rPr>
      </w:pPr>
      <w:r w:rsidRPr="00DB5B12">
        <w:rPr>
          <w:highlight w:val="yellow"/>
        </w:rPr>
        <w:t xml:space="preserve">More interesting is the difference in ratio of projects with a positive </w:t>
      </w:r>
      <w:proofErr w:type="spellStart"/>
      <w:r w:rsidRPr="00DB5B12">
        <w:rPr>
          <w:highlight w:val="yellow"/>
        </w:rPr>
        <w:t>NBIR</w:t>
      </w:r>
      <w:proofErr w:type="spellEnd"/>
      <w:r w:rsidRPr="00DB5B12">
        <w:rPr>
          <w:highlight w:val="yellow"/>
        </w:rPr>
        <w:t xml:space="preserve">. On average, Norwegian projects have a negative </w:t>
      </w:r>
      <w:proofErr w:type="spellStart"/>
      <w:r w:rsidRPr="00DB5B12">
        <w:rPr>
          <w:highlight w:val="yellow"/>
        </w:rPr>
        <w:t>NBIR</w:t>
      </w:r>
      <w:proofErr w:type="spellEnd"/>
      <w:r w:rsidRPr="00DB5B12">
        <w:rPr>
          <w:highlight w:val="yellow"/>
        </w:rPr>
        <w:t xml:space="preserve"> whereas the average Swedish</w:t>
      </w:r>
      <w:r w:rsidRPr="00DB5B12">
        <w:rPr>
          <w:spacing w:val="9"/>
          <w:highlight w:val="yellow"/>
        </w:rPr>
        <w:t xml:space="preserve"> </w:t>
      </w:r>
      <w:r w:rsidRPr="00DB5B12">
        <w:rPr>
          <w:highlight w:val="yellow"/>
        </w:rPr>
        <w:t>road</w:t>
      </w:r>
      <w:r w:rsidRPr="00DB5B12">
        <w:rPr>
          <w:spacing w:val="10"/>
          <w:highlight w:val="yellow"/>
        </w:rPr>
        <w:t xml:space="preserve"> </w:t>
      </w:r>
      <w:r w:rsidRPr="00DB5B12">
        <w:rPr>
          <w:highlight w:val="yellow"/>
        </w:rPr>
        <w:t>project</w:t>
      </w:r>
      <w:r w:rsidRPr="00DB5B12">
        <w:rPr>
          <w:spacing w:val="8"/>
          <w:highlight w:val="yellow"/>
        </w:rPr>
        <w:t xml:space="preserve"> </w:t>
      </w:r>
      <w:r w:rsidRPr="00DB5B12">
        <w:rPr>
          <w:highlight w:val="yellow"/>
        </w:rPr>
        <w:t>has</w:t>
      </w:r>
      <w:r w:rsidRPr="00DB5B12">
        <w:rPr>
          <w:spacing w:val="10"/>
          <w:highlight w:val="yellow"/>
        </w:rPr>
        <w:t xml:space="preserve"> </w:t>
      </w:r>
      <w:r w:rsidRPr="00DB5B12">
        <w:rPr>
          <w:highlight w:val="yellow"/>
        </w:rPr>
        <w:t>a</w:t>
      </w:r>
      <w:r w:rsidRPr="00DB5B12">
        <w:rPr>
          <w:spacing w:val="10"/>
          <w:highlight w:val="yellow"/>
        </w:rPr>
        <w:t xml:space="preserve"> </w:t>
      </w:r>
      <w:proofErr w:type="spellStart"/>
      <w:r w:rsidRPr="00DB5B12">
        <w:rPr>
          <w:highlight w:val="yellow"/>
        </w:rPr>
        <w:t>NBIR</w:t>
      </w:r>
      <w:proofErr w:type="spellEnd"/>
      <w:r w:rsidRPr="00DB5B12">
        <w:rPr>
          <w:spacing w:val="7"/>
          <w:highlight w:val="yellow"/>
        </w:rPr>
        <w:t xml:space="preserve"> </w:t>
      </w:r>
      <w:r w:rsidRPr="00DB5B12">
        <w:rPr>
          <w:highlight w:val="yellow"/>
        </w:rPr>
        <w:t>of</w:t>
      </w:r>
      <w:r w:rsidRPr="00DB5B12">
        <w:rPr>
          <w:spacing w:val="12"/>
          <w:highlight w:val="yellow"/>
        </w:rPr>
        <w:t xml:space="preserve"> </w:t>
      </w:r>
      <w:r w:rsidRPr="00DB5B12">
        <w:rPr>
          <w:highlight w:val="yellow"/>
        </w:rPr>
        <w:t>0.36.</w:t>
      </w:r>
      <w:r w:rsidRPr="00DB5B12">
        <w:rPr>
          <w:spacing w:val="13"/>
          <w:highlight w:val="yellow"/>
        </w:rPr>
        <w:t xml:space="preserve"> </w:t>
      </w:r>
      <w:r w:rsidRPr="00DB5B12">
        <w:rPr>
          <w:highlight w:val="yellow"/>
        </w:rPr>
        <w:t>This</w:t>
      </w:r>
      <w:r w:rsidRPr="00DB5B12">
        <w:rPr>
          <w:spacing w:val="10"/>
          <w:highlight w:val="yellow"/>
        </w:rPr>
        <w:t xml:space="preserve"> </w:t>
      </w:r>
      <w:r w:rsidRPr="00DB5B12">
        <w:rPr>
          <w:highlight w:val="yellow"/>
        </w:rPr>
        <w:t>explains</w:t>
      </w:r>
      <w:r w:rsidRPr="00DB5B12">
        <w:rPr>
          <w:spacing w:val="10"/>
          <w:highlight w:val="yellow"/>
        </w:rPr>
        <w:t xml:space="preserve"> </w:t>
      </w:r>
      <w:r w:rsidRPr="00DB5B12">
        <w:rPr>
          <w:highlight w:val="yellow"/>
        </w:rPr>
        <w:t>why</w:t>
      </w:r>
      <w:r w:rsidRPr="00DB5B12">
        <w:rPr>
          <w:spacing w:val="7"/>
          <w:highlight w:val="yellow"/>
        </w:rPr>
        <w:t xml:space="preserve"> </w:t>
      </w:r>
      <w:r w:rsidRPr="00DB5B12">
        <w:rPr>
          <w:highlight w:val="yellow"/>
        </w:rPr>
        <w:t>a</w:t>
      </w:r>
      <w:r w:rsidRPr="00DB5B12">
        <w:rPr>
          <w:spacing w:val="10"/>
          <w:highlight w:val="yellow"/>
        </w:rPr>
        <w:t xml:space="preserve"> </w:t>
      </w:r>
      <w:r w:rsidRPr="00DB5B12">
        <w:rPr>
          <w:highlight w:val="yellow"/>
        </w:rPr>
        <w:t>majority</w:t>
      </w:r>
      <w:r w:rsidRPr="00DB5B12">
        <w:rPr>
          <w:spacing w:val="8"/>
          <w:highlight w:val="yellow"/>
        </w:rPr>
        <w:t xml:space="preserve"> </w:t>
      </w:r>
      <w:r w:rsidRPr="00DB5B12">
        <w:rPr>
          <w:highlight w:val="yellow"/>
        </w:rPr>
        <w:t>of</w:t>
      </w:r>
      <w:r w:rsidRPr="00DB5B12">
        <w:rPr>
          <w:spacing w:val="12"/>
          <w:highlight w:val="yellow"/>
        </w:rPr>
        <w:t xml:space="preserve"> </w:t>
      </w:r>
      <w:r w:rsidRPr="00DB5B12">
        <w:rPr>
          <w:spacing w:val="-5"/>
          <w:highlight w:val="yellow"/>
        </w:rPr>
        <w:t>the</w:t>
      </w:r>
    </w:p>
    <w:p w:rsidR="000078E9" w:rsidRPr="00DB5B12" w:rsidRDefault="000078E9">
      <w:pPr>
        <w:spacing w:line="300" w:lineRule="auto"/>
        <w:jc w:val="both"/>
        <w:rPr>
          <w:highlight w:val="yellow"/>
        </w:rPr>
        <w:sectPr w:rsidR="000078E9" w:rsidRPr="00DB5B12">
          <w:pgSz w:w="11910" w:h="16840"/>
          <w:pgMar w:top="1340" w:right="1660" w:bottom="1200" w:left="1120" w:header="299" w:footer="1008" w:gutter="0"/>
          <w:cols w:space="720"/>
        </w:sectPr>
      </w:pPr>
    </w:p>
    <w:p w:rsidR="000078E9" w:rsidRDefault="00BE2153">
      <w:pPr>
        <w:pStyle w:val="BodyText"/>
        <w:spacing w:before="82" w:line="300" w:lineRule="auto"/>
        <w:ind w:left="678" w:right="138"/>
        <w:jc w:val="both"/>
      </w:pPr>
      <w:r w:rsidRPr="00DB5B12">
        <w:rPr>
          <w:highlight w:val="yellow"/>
        </w:rPr>
        <w:lastRenderedPageBreak/>
        <w:t>Swedish projects in the database are profitable while only about a third of Norwegian projects are. In other words, there are many more projects in the Norwegian database that provides poor value for money than in the Swedish one. Whether this is because the Norwegian administration have selected poor projects for appraisal or because Norwegian projects generally struggle to deliver a positive return is uncertain, but it is reasonable to assume that the demanding Norwegian topography, low population density and traffic levels could</w:t>
      </w:r>
      <w:r w:rsidRPr="00DB5B12">
        <w:rPr>
          <w:spacing w:val="-4"/>
          <w:highlight w:val="yellow"/>
        </w:rPr>
        <w:t xml:space="preserve"> </w:t>
      </w:r>
      <w:r w:rsidRPr="00DB5B12">
        <w:rPr>
          <w:highlight w:val="yellow"/>
        </w:rPr>
        <w:t>explain</w:t>
      </w:r>
      <w:r w:rsidRPr="00DB5B12">
        <w:rPr>
          <w:spacing w:val="-2"/>
          <w:highlight w:val="yellow"/>
        </w:rPr>
        <w:t xml:space="preserve"> </w:t>
      </w:r>
      <w:r w:rsidRPr="00DB5B12">
        <w:rPr>
          <w:highlight w:val="yellow"/>
        </w:rPr>
        <w:t>why</w:t>
      </w:r>
      <w:r w:rsidRPr="00DB5B12">
        <w:rPr>
          <w:spacing w:val="-5"/>
          <w:highlight w:val="yellow"/>
        </w:rPr>
        <w:t xml:space="preserve"> </w:t>
      </w:r>
      <w:r w:rsidRPr="00DB5B12">
        <w:rPr>
          <w:highlight w:val="yellow"/>
        </w:rPr>
        <w:t>net</w:t>
      </w:r>
      <w:r w:rsidRPr="00DB5B12">
        <w:rPr>
          <w:spacing w:val="-2"/>
          <w:highlight w:val="yellow"/>
        </w:rPr>
        <w:t xml:space="preserve"> </w:t>
      </w:r>
      <w:r w:rsidRPr="00DB5B12">
        <w:rPr>
          <w:highlight w:val="yellow"/>
        </w:rPr>
        <w:t>present</w:t>
      </w:r>
      <w:r w:rsidRPr="00DB5B12">
        <w:rPr>
          <w:spacing w:val="-4"/>
          <w:highlight w:val="yellow"/>
        </w:rPr>
        <w:t xml:space="preserve"> </w:t>
      </w:r>
      <w:r w:rsidRPr="00DB5B12">
        <w:rPr>
          <w:highlight w:val="yellow"/>
        </w:rPr>
        <w:t>values</w:t>
      </w:r>
      <w:r w:rsidRPr="00DB5B12">
        <w:rPr>
          <w:spacing w:val="-2"/>
          <w:highlight w:val="yellow"/>
        </w:rPr>
        <w:t xml:space="preserve"> </w:t>
      </w:r>
      <w:r w:rsidRPr="00DB5B12">
        <w:rPr>
          <w:highlight w:val="yellow"/>
        </w:rPr>
        <w:t>of</w:t>
      </w:r>
      <w:r w:rsidRPr="00DB5B12">
        <w:rPr>
          <w:spacing w:val="-2"/>
          <w:highlight w:val="yellow"/>
        </w:rPr>
        <w:t xml:space="preserve"> </w:t>
      </w:r>
      <w:r w:rsidRPr="00DB5B12">
        <w:rPr>
          <w:highlight w:val="yellow"/>
        </w:rPr>
        <w:t>planned</w:t>
      </w:r>
      <w:r w:rsidRPr="00DB5B12">
        <w:rPr>
          <w:spacing w:val="-2"/>
          <w:highlight w:val="yellow"/>
        </w:rPr>
        <w:t xml:space="preserve"> </w:t>
      </w:r>
      <w:r w:rsidRPr="00DB5B12">
        <w:rPr>
          <w:highlight w:val="yellow"/>
        </w:rPr>
        <w:t>road</w:t>
      </w:r>
      <w:r w:rsidRPr="00DB5B12">
        <w:rPr>
          <w:spacing w:val="-4"/>
          <w:highlight w:val="yellow"/>
        </w:rPr>
        <w:t xml:space="preserve"> </w:t>
      </w:r>
      <w:r w:rsidRPr="00DB5B12">
        <w:rPr>
          <w:highlight w:val="yellow"/>
        </w:rPr>
        <w:t>projects</w:t>
      </w:r>
      <w:r w:rsidRPr="00DB5B12">
        <w:rPr>
          <w:spacing w:val="-4"/>
          <w:highlight w:val="yellow"/>
        </w:rPr>
        <w:t xml:space="preserve"> </w:t>
      </w:r>
      <w:r w:rsidRPr="00DB5B12">
        <w:rPr>
          <w:highlight w:val="yellow"/>
        </w:rPr>
        <w:t>often</w:t>
      </w:r>
      <w:r w:rsidRPr="00DB5B12">
        <w:rPr>
          <w:spacing w:val="-4"/>
          <w:highlight w:val="yellow"/>
        </w:rPr>
        <w:t xml:space="preserve"> </w:t>
      </w:r>
      <w:r w:rsidRPr="00DB5B12">
        <w:rPr>
          <w:highlight w:val="yellow"/>
        </w:rPr>
        <w:t>turn</w:t>
      </w:r>
      <w:r w:rsidRPr="00DB5B12">
        <w:rPr>
          <w:spacing w:val="-2"/>
          <w:highlight w:val="yellow"/>
        </w:rPr>
        <w:t xml:space="preserve"> </w:t>
      </w:r>
      <w:r w:rsidRPr="00DB5B12">
        <w:rPr>
          <w:highlight w:val="yellow"/>
        </w:rPr>
        <w:t>out</w:t>
      </w:r>
      <w:r w:rsidRPr="00DB5B12">
        <w:rPr>
          <w:spacing w:val="-4"/>
          <w:highlight w:val="yellow"/>
        </w:rPr>
        <w:t xml:space="preserve"> </w:t>
      </w:r>
      <w:r w:rsidRPr="00DB5B12">
        <w:rPr>
          <w:highlight w:val="yellow"/>
        </w:rPr>
        <w:t>to be negative.</w:t>
      </w:r>
    </w:p>
    <w:p w:rsidR="000078E9" w:rsidRDefault="00BE2153">
      <w:pPr>
        <w:pStyle w:val="BodyText"/>
        <w:spacing w:before="241" w:line="300" w:lineRule="auto"/>
        <w:ind w:left="678" w:right="132"/>
        <w:jc w:val="both"/>
      </w:pPr>
      <w:r>
        <w:t xml:space="preserve">The most striking difference between the two countries, however, is that while the share of Swedish projects with a positive </w:t>
      </w:r>
      <w:proofErr w:type="spellStart"/>
      <w:r>
        <w:t>NBIR</w:t>
      </w:r>
      <w:proofErr w:type="spellEnd"/>
      <w:r>
        <w:t xml:space="preserve"> is higher both among projects (pre-) selected by the government and projects selected by the administration, there is no such link in Norway. In fact, only 22% of the projects selected by the Norwegian administration have a positive </w:t>
      </w:r>
      <w:proofErr w:type="spellStart"/>
      <w:r>
        <w:t>NBIR</w:t>
      </w:r>
      <w:proofErr w:type="spellEnd"/>
      <w:r>
        <w:t>. In other</w:t>
      </w:r>
      <w:r>
        <w:rPr>
          <w:spacing w:val="-1"/>
        </w:rPr>
        <w:t xml:space="preserve"> </w:t>
      </w:r>
      <w:r>
        <w:t>words, the Norwegian administration managed to</w:t>
      </w:r>
      <w:r>
        <w:rPr>
          <w:spacing w:val="-1"/>
        </w:rPr>
        <w:t xml:space="preserve"> </w:t>
      </w:r>
      <w:r>
        <w:t xml:space="preserve">find projects which, on average, performed </w:t>
      </w:r>
      <w:r>
        <w:rPr>
          <w:u w:val="single"/>
        </w:rPr>
        <w:t>worse</w:t>
      </w:r>
      <w:r>
        <w:t xml:space="preserve"> than the average of all the projects in the</w:t>
      </w:r>
      <w:r>
        <w:rPr>
          <w:spacing w:val="40"/>
        </w:rPr>
        <w:t xml:space="preserve"> </w:t>
      </w:r>
      <w:r>
        <w:t>database</w:t>
      </w:r>
      <w:r w:rsidRPr="00795F06">
        <w:rPr>
          <w:highlight w:val="cyan"/>
        </w:rPr>
        <w:t xml:space="preserve">. This indicates that </w:t>
      </w:r>
      <w:proofErr w:type="spellStart"/>
      <w:r w:rsidRPr="00795F06">
        <w:rPr>
          <w:highlight w:val="cyan"/>
        </w:rPr>
        <w:t>NBIR</w:t>
      </w:r>
      <w:proofErr w:type="spellEnd"/>
      <w:r w:rsidRPr="00795F06">
        <w:rPr>
          <w:highlight w:val="cyan"/>
        </w:rPr>
        <w:t xml:space="preserve"> seems to affect project selection in Sweden, but probably not in Norway.</w:t>
      </w:r>
    </w:p>
    <w:p w:rsidR="000078E9" w:rsidRDefault="00BE2153">
      <w:pPr>
        <w:pStyle w:val="BodyText"/>
        <w:spacing w:before="239" w:line="300" w:lineRule="auto"/>
        <w:ind w:left="678" w:right="131"/>
        <w:jc w:val="both"/>
      </w:pPr>
      <w:r>
        <w:t xml:space="preserve">In order to explain the first observation, that the average </w:t>
      </w:r>
      <w:proofErr w:type="spellStart"/>
      <w:r>
        <w:t>NBIR</w:t>
      </w:r>
      <w:proofErr w:type="spellEnd"/>
      <w:r>
        <w:t xml:space="preserve"> is so much lower in Norway than in Sweden, the cumulative distributions of </w:t>
      </w:r>
      <w:proofErr w:type="spellStart"/>
      <w:r>
        <w:t>NBIRs</w:t>
      </w:r>
      <w:proofErr w:type="spellEnd"/>
      <w:r>
        <w:t xml:space="preserve"> are illustrated in </w:t>
      </w:r>
      <w:hyperlink w:anchor="_bookmark2" w:history="1">
        <w:r>
          <w:t>Figure 1</w:t>
        </w:r>
      </w:hyperlink>
      <w:r>
        <w:t xml:space="preserve">. The figure shows what the maximal average </w:t>
      </w:r>
      <w:proofErr w:type="spellStart"/>
      <w:r>
        <w:t>NBIR</w:t>
      </w:r>
      <w:proofErr w:type="spellEnd"/>
      <w:r>
        <w:t xml:space="preserve"> would be given a certain budget. In other words, this would be the attained </w:t>
      </w:r>
      <w:proofErr w:type="spellStart"/>
      <w:r>
        <w:t>NBIR</w:t>
      </w:r>
      <w:proofErr w:type="spellEnd"/>
      <w:r>
        <w:t xml:space="preserve"> if all projects were ranked according to their </w:t>
      </w:r>
      <w:proofErr w:type="spellStart"/>
      <w:r>
        <w:t>NBIR</w:t>
      </w:r>
      <w:proofErr w:type="spellEnd"/>
      <w:r>
        <w:t>, and then the best ones up to a given budget were selected.</w:t>
      </w:r>
    </w:p>
    <w:p w:rsidR="000078E9" w:rsidRDefault="000078E9">
      <w:pPr>
        <w:spacing w:line="300" w:lineRule="auto"/>
        <w:jc w:val="both"/>
        <w:sectPr w:rsidR="000078E9">
          <w:pgSz w:w="11910" w:h="16840"/>
          <w:pgMar w:top="1340" w:right="1660" w:bottom="1200" w:left="1120" w:header="299" w:footer="1008" w:gutter="0"/>
          <w:cols w:space="720"/>
        </w:sectPr>
      </w:pPr>
    </w:p>
    <w:p w:rsidR="000078E9" w:rsidRDefault="000078E9">
      <w:pPr>
        <w:pStyle w:val="BodyText"/>
        <w:spacing w:before="93"/>
        <w:rPr>
          <w:sz w:val="20"/>
        </w:rPr>
      </w:pPr>
    </w:p>
    <w:p w:rsidR="000078E9" w:rsidRDefault="00BE2153">
      <w:pPr>
        <w:pStyle w:val="BodyText"/>
        <w:ind w:left="952"/>
        <w:rPr>
          <w:sz w:val="20"/>
        </w:rPr>
      </w:pPr>
      <w:r>
        <w:rPr>
          <w:noProof/>
          <w:sz w:val="20"/>
          <w:lang w:val="en-AU" w:eastAsia="en-AU"/>
        </w:rPr>
        <w:drawing>
          <wp:inline distT="0" distB="0" distL="0" distR="0">
            <wp:extent cx="6045658" cy="26289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35" cstate="print"/>
                    <a:stretch>
                      <a:fillRect/>
                    </a:stretch>
                  </pic:blipFill>
                  <pic:spPr>
                    <a:xfrm>
                      <a:off x="0" y="0"/>
                      <a:ext cx="6098257" cy="2651772"/>
                    </a:xfrm>
                    <a:prstGeom prst="rect">
                      <a:avLst/>
                    </a:prstGeom>
                  </pic:spPr>
                </pic:pic>
              </a:graphicData>
            </a:graphic>
          </wp:inline>
        </w:drawing>
      </w:r>
    </w:p>
    <w:p w:rsidR="000078E9" w:rsidRDefault="000078E9">
      <w:pPr>
        <w:pStyle w:val="BodyText"/>
        <w:rPr>
          <w:sz w:val="18"/>
        </w:rPr>
      </w:pPr>
    </w:p>
    <w:p w:rsidR="000078E9" w:rsidRDefault="000078E9">
      <w:pPr>
        <w:pStyle w:val="BodyText"/>
        <w:spacing w:before="146"/>
        <w:rPr>
          <w:sz w:val="18"/>
        </w:rPr>
      </w:pPr>
    </w:p>
    <w:p w:rsidR="000078E9" w:rsidRDefault="00BE2153">
      <w:pPr>
        <w:ind w:left="678" w:right="214"/>
        <w:jc w:val="both"/>
        <w:rPr>
          <w:b/>
          <w:sz w:val="18"/>
        </w:rPr>
      </w:pPr>
      <w:bookmarkStart w:id="2" w:name="_bookmark2"/>
      <w:bookmarkEnd w:id="2"/>
      <w:r>
        <w:rPr>
          <w:b/>
          <w:sz w:val="18"/>
        </w:rPr>
        <w:t>Figure</w:t>
      </w:r>
      <w:r>
        <w:rPr>
          <w:b/>
          <w:spacing w:val="-1"/>
          <w:sz w:val="18"/>
        </w:rPr>
        <w:t xml:space="preserve"> </w:t>
      </w:r>
      <w:r>
        <w:rPr>
          <w:b/>
          <w:sz w:val="18"/>
        </w:rPr>
        <w:t>1:</w:t>
      </w:r>
      <w:r>
        <w:rPr>
          <w:b/>
          <w:spacing w:val="-4"/>
          <w:sz w:val="18"/>
        </w:rPr>
        <w:t xml:space="preserve"> </w:t>
      </w:r>
      <w:r>
        <w:rPr>
          <w:b/>
          <w:sz w:val="18"/>
        </w:rPr>
        <w:t>Distribution</w:t>
      </w:r>
      <w:r>
        <w:rPr>
          <w:b/>
          <w:spacing w:val="-2"/>
          <w:sz w:val="18"/>
        </w:rPr>
        <w:t xml:space="preserve"> </w:t>
      </w:r>
      <w:r>
        <w:rPr>
          <w:b/>
          <w:sz w:val="18"/>
        </w:rPr>
        <w:t>of</w:t>
      </w:r>
      <w:r>
        <w:rPr>
          <w:b/>
          <w:spacing w:val="-2"/>
          <w:sz w:val="18"/>
        </w:rPr>
        <w:t xml:space="preserve"> </w:t>
      </w:r>
      <w:proofErr w:type="spellStart"/>
      <w:r>
        <w:rPr>
          <w:b/>
          <w:sz w:val="18"/>
        </w:rPr>
        <w:t>NBIRs</w:t>
      </w:r>
      <w:proofErr w:type="spellEnd"/>
      <w:r>
        <w:rPr>
          <w:b/>
          <w:sz w:val="18"/>
        </w:rPr>
        <w:t>:</w:t>
      </w:r>
      <w:r>
        <w:rPr>
          <w:b/>
          <w:spacing w:val="-4"/>
          <w:sz w:val="18"/>
        </w:rPr>
        <w:t xml:space="preserve"> </w:t>
      </w:r>
      <w:proofErr w:type="spellStart"/>
      <w:r>
        <w:rPr>
          <w:b/>
          <w:sz w:val="18"/>
        </w:rPr>
        <w:t>maxinal</w:t>
      </w:r>
      <w:proofErr w:type="spellEnd"/>
      <w:r>
        <w:rPr>
          <w:b/>
          <w:spacing w:val="-2"/>
          <w:sz w:val="18"/>
        </w:rPr>
        <w:t xml:space="preserve"> </w:t>
      </w:r>
      <w:r>
        <w:rPr>
          <w:b/>
          <w:sz w:val="18"/>
        </w:rPr>
        <w:t>total</w:t>
      </w:r>
      <w:r>
        <w:rPr>
          <w:b/>
          <w:spacing w:val="-2"/>
          <w:sz w:val="18"/>
        </w:rPr>
        <w:t xml:space="preserve"> </w:t>
      </w:r>
      <w:proofErr w:type="spellStart"/>
      <w:r>
        <w:rPr>
          <w:b/>
          <w:sz w:val="18"/>
        </w:rPr>
        <w:t>NBIR</w:t>
      </w:r>
      <w:proofErr w:type="spellEnd"/>
      <w:r>
        <w:rPr>
          <w:b/>
          <w:spacing w:val="-4"/>
          <w:sz w:val="18"/>
        </w:rPr>
        <w:t xml:space="preserve"> </w:t>
      </w:r>
      <w:r>
        <w:rPr>
          <w:b/>
          <w:sz w:val="18"/>
        </w:rPr>
        <w:t>within</w:t>
      </w:r>
      <w:r>
        <w:rPr>
          <w:b/>
          <w:spacing w:val="-2"/>
          <w:sz w:val="18"/>
        </w:rPr>
        <w:t xml:space="preserve"> </w:t>
      </w:r>
      <w:r>
        <w:rPr>
          <w:b/>
          <w:sz w:val="18"/>
        </w:rPr>
        <w:t>a</w:t>
      </w:r>
      <w:r>
        <w:rPr>
          <w:b/>
          <w:spacing w:val="-2"/>
          <w:sz w:val="18"/>
        </w:rPr>
        <w:t xml:space="preserve"> </w:t>
      </w:r>
      <w:r>
        <w:rPr>
          <w:b/>
          <w:sz w:val="18"/>
        </w:rPr>
        <w:t>given</w:t>
      </w:r>
      <w:r>
        <w:rPr>
          <w:b/>
          <w:spacing w:val="-2"/>
          <w:sz w:val="18"/>
        </w:rPr>
        <w:t xml:space="preserve"> </w:t>
      </w:r>
      <w:r>
        <w:rPr>
          <w:b/>
          <w:sz w:val="18"/>
        </w:rPr>
        <w:t>budget.</w:t>
      </w:r>
      <w:r>
        <w:rPr>
          <w:b/>
          <w:spacing w:val="-4"/>
          <w:sz w:val="18"/>
        </w:rPr>
        <w:t xml:space="preserve"> </w:t>
      </w:r>
      <w:r>
        <w:rPr>
          <w:b/>
          <w:sz w:val="18"/>
        </w:rPr>
        <w:t>The</w:t>
      </w:r>
      <w:r>
        <w:rPr>
          <w:b/>
          <w:spacing w:val="-2"/>
          <w:sz w:val="18"/>
        </w:rPr>
        <w:t xml:space="preserve"> </w:t>
      </w:r>
      <w:r>
        <w:rPr>
          <w:b/>
          <w:sz w:val="18"/>
        </w:rPr>
        <w:t>budgets</w:t>
      </w:r>
      <w:r>
        <w:rPr>
          <w:b/>
          <w:spacing w:val="-2"/>
          <w:sz w:val="18"/>
        </w:rPr>
        <w:t xml:space="preserve"> </w:t>
      </w:r>
      <w:r>
        <w:rPr>
          <w:b/>
          <w:sz w:val="18"/>
        </w:rPr>
        <w:t>are</w:t>
      </w:r>
      <w:r>
        <w:rPr>
          <w:b/>
          <w:spacing w:val="-2"/>
          <w:sz w:val="18"/>
        </w:rPr>
        <w:t xml:space="preserve"> </w:t>
      </w:r>
      <w:r>
        <w:rPr>
          <w:b/>
          <w:sz w:val="18"/>
        </w:rPr>
        <w:t xml:space="preserve">given in </w:t>
      </w:r>
      <w:proofErr w:type="spellStart"/>
      <w:r>
        <w:rPr>
          <w:b/>
          <w:sz w:val="18"/>
        </w:rPr>
        <w:t>NOK</w:t>
      </w:r>
      <w:proofErr w:type="spellEnd"/>
      <w:r>
        <w:rPr>
          <w:b/>
          <w:sz w:val="18"/>
        </w:rPr>
        <w:t xml:space="preserve"> and </w:t>
      </w:r>
      <w:proofErr w:type="spellStart"/>
      <w:r>
        <w:rPr>
          <w:b/>
          <w:sz w:val="18"/>
        </w:rPr>
        <w:t>SEK</w:t>
      </w:r>
      <w:proofErr w:type="spellEnd"/>
      <w:r>
        <w:rPr>
          <w:b/>
          <w:sz w:val="18"/>
        </w:rPr>
        <w:t xml:space="preserve">, respectively (1 </w:t>
      </w:r>
      <w:proofErr w:type="spellStart"/>
      <w:r>
        <w:rPr>
          <w:b/>
          <w:sz w:val="18"/>
        </w:rPr>
        <w:t>NOK</w:t>
      </w:r>
      <w:proofErr w:type="spellEnd"/>
      <w:r>
        <w:rPr>
          <w:b/>
          <w:sz w:val="18"/>
        </w:rPr>
        <w:t xml:space="preserve"> =</w:t>
      </w:r>
      <w:r>
        <w:rPr>
          <w:b/>
          <w:spacing w:val="40"/>
          <w:sz w:val="18"/>
        </w:rPr>
        <w:t xml:space="preserve"> </w:t>
      </w:r>
      <w:r>
        <w:rPr>
          <w:b/>
          <w:sz w:val="18"/>
        </w:rPr>
        <w:t xml:space="preserve">1.14 </w:t>
      </w:r>
      <w:proofErr w:type="spellStart"/>
      <w:r>
        <w:rPr>
          <w:b/>
          <w:sz w:val="18"/>
        </w:rPr>
        <w:t>SEK</w:t>
      </w:r>
      <w:proofErr w:type="spellEnd"/>
      <w:r>
        <w:rPr>
          <w:b/>
          <w:sz w:val="18"/>
        </w:rPr>
        <w:t>).</w:t>
      </w:r>
    </w:p>
    <w:p w:rsidR="000078E9" w:rsidRDefault="00A54C18">
      <w:pPr>
        <w:pStyle w:val="BodyText"/>
        <w:spacing w:before="202" w:line="300" w:lineRule="auto"/>
        <w:ind w:left="678" w:right="132"/>
        <w:jc w:val="both"/>
      </w:pPr>
      <w:r>
        <w:br/>
      </w:r>
      <w:r w:rsidR="00BE2153">
        <w:t xml:space="preserve">The dotted lines show the maximal attainable average </w:t>
      </w:r>
      <w:proofErr w:type="spellStart"/>
      <w:r w:rsidR="00BE2153">
        <w:t>NBIRs</w:t>
      </w:r>
      <w:proofErr w:type="spellEnd"/>
      <w:r w:rsidR="00BE2153">
        <w:t xml:space="preserve"> given the budgets of the governments and administrations. For example, had the Norwegian Government chosen to spend its budget (28 </w:t>
      </w:r>
      <w:proofErr w:type="spellStart"/>
      <w:r w:rsidR="00BE2153">
        <w:t>MNOK</w:t>
      </w:r>
      <w:proofErr w:type="spellEnd"/>
      <w:r w:rsidR="00BE2153">
        <w:t xml:space="preserve">) </w:t>
      </w:r>
      <w:r w:rsidR="00B024DF">
        <w:t>(</w:t>
      </w:r>
      <w:r w:rsidR="00B024DF" w:rsidRPr="00573684">
        <w:rPr>
          <w:highlight w:val="green"/>
        </w:rPr>
        <w:t>Million Norwegian Kroner</w:t>
      </w:r>
      <w:r w:rsidR="00B024DF">
        <w:t xml:space="preserve">) </w:t>
      </w:r>
      <w:r w:rsidR="00BE2153">
        <w:t>on the highest-</w:t>
      </w:r>
      <w:proofErr w:type="spellStart"/>
      <w:r w:rsidR="00BE2153">
        <w:t>NBIR</w:t>
      </w:r>
      <w:proofErr w:type="spellEnd"/>
      <w:r w:rsidR="00BE2153">
        <w:t xml:space="preserve"> projects, it had attained an average </w:t>
      </w:r>
      <w:proofErr w:type="spellStart"/>
      <w:r w:rsidR="00BE2153">
        <w:t>NBIR</w:t>
      </w:r>
      <w:proofErr w:type="spellEnd"/>
      <w:r w:rsidR="00BE2153">
        <w:t xml:space="preserve"> of 1.32. Similarly, had the Swedish Government and Administration spent their combined budget (95 </w:t>
      </w:r>
      <w:proofErr w:type="spellStart"/>
      <w:r w:rsidR="00BE2153">
        <w:t>MSEK</w:t>
      </w:r>
      <w:proofErr w:type="spellEnd"/>
      <w:r w:rsidR="00BE2153">
        <w:t xml:space="preserve">) </w:t>
      </w:r>
      <w:r w:rsidR="00B024DF">
        <w:t>(</w:t>
      </w:r>
      <w:r w:rsidR="00B024DF" w:rsidRPr="00573684">
        <w:rPr>
          <w:highlight w:val="green"/>
        </w:rPr>
        <w:t>Million Swedish Kroner</w:t>
      </w:r>
      <w:bookmarkStart w:id="3" w:name="_GoBack"/>
      <w:bookmarkEnd w:id="3"/>
      <w:r w:rsidR="00B024DF">
        <w:t xml:space="preserve">) </w:t>
      </w:r>
      <w:r w:rsidR="00BE2153">
        <w:t>on the highest-</w:t>
      </w:r>
      <w:proofErr w:type="spellStart"/>
      <w:r w:rsidR="00BE2153">
        <w:t>NBIR</w:t>
      </w:r>
      <w:proofErr w:type="spellEnd"/>
      <w:r w:rsidR="00BE2153">
        <w:t xml:space="preserve"> project, the average </w:t>
      </w:r>
      <w:proofErr w:type="spellStart"/>
      <w:r w:rsidR="00BE2153">
        <w:t>NBIR</w:t>
      </w:r>
      <w:proofErr w:type="spellEnd"/>
      <w:r w:rsidR="00BE2153">
        <w:t xml:space="preserve"> of their plan would have been 0.48.</w:t>
      </w:r>
    </w:p>
    <w:p w:rsidR="000078E9" w:rsidRDefault="00BE2153">
      <w:pPr>
        <w:pStyle w:val="BodyText"/>
        <w:spacing w:before="240" w:line="300" w:lineRule="auto"/>
        <w:ind w:left="678" w:right="132"/>
        <w:jc w:val="both"/>
      </w:pPr>
      <w:r>
        <w:t xml:space="preserve">The figure reveals an important finding: the Norwegian candidate list contains many more inefficient projects than the Swedish list. The top ends of the two lists (the most cost-efficient projects) exhibit a similar </w:t>
      </w:r>
      <w:proofErr w:type="spellStart"/>
      <w:r>
        <w:t>NBIR</w:t>
      </w:r>
      <w:proofErr w:type="spellEnd"/>
      <w:r>
        <w:t xml:space="preserve"> distribution in both countries. This explains the difference in average </w:t>
      </w:r>
      <w:proofErr w:type="spellStart"/>
      <w:r>
        <w:t>NBIR</w:t>
      </w:r>
      <w:proofErr w:type="spellEnd"/>
      <w:r>
        <w:t xml:space="preserve"> in the two countries. Hence, the reason for the difference in average </w:t>
      </w:r>
      <w:proofErr w:type="spellStart"/>
      <w:r>
        <w:t>NBIR</w:t>
      </w:r>
      <w:proofErr w:type="spellEnd"/>
      <w:r>
        <w:t xml:space="preserve"> is not that Norwegian projects generally have lower </w:t>
      </w:r>
      <w:proofErr w:type="spellStart"/>
      <w:r>
        <w:t>NBIRs</w:t>
      </w:r>
      <w:proofErr w:type="spellEnd"/>
      <w:r>
        <w:t>; the difference is that a lot of low-</w:t>
      </w:r>
      <w:proofErr w:type="spellStart"/>
      <w:r>
        <w:t>NBIR</w:t>
      </w:r>
      <w:proofErr w:type="spellEnd"/>
      <w:r>
        <w:t xml:space="preserve"> projects are included in the Norwegian candidate list of candidates. The cost of all</w:t>
      </w:r>
      <w:r>
        <w:rPr>
          <w:spacing w:val="-1"/>
        </w:rPr>
        <w:t xml:space="preserve"> </w:t>
      </w:r>
      <w:r>
        <w:t xml:space="preserve">projects with </w:t>
      </w:r>
      <w:proofErr w:type="spellStart"/>
      <w:r>
        <w:t>NBIR</w:t>
      </w:r>
      <w:proofErr w:type="spellEnd"/>
      <w:r>
        <w:t xml:space="preserve">&gt;0 is similar – 73 billion </w:t>
      </w:r>
      <w:proofErr w:type="spellStart"/>
      <w:r>
        <w:t>SEK</w:t>
      </w:r>
      <w:proofErr w:type="spellEnd"/>
      <w:r>
        <w:t xml:space="preserve"> in Sweden and 72 billion </w:t>
      </w:r>
      <w:proofErr w:type="spellStart"/>
      <w:r>
        <w:t>NOK</w:t>
      </w:r>
      <w:proofErr w:type="spellEnd"/>
      <w:r>
        <w:t xml:space="preserve"> in Norway. But while the Swedish candidate list contains suggested investments with a total cost of 128 billion </w:t>
      </w:r>
      <w:proofErr w:type="spellStart"/>
      <w:r>
        <w:t>SEK</w:t>
      </w:r>
      <w:proofErr w:type="spellEnd"/>
      <w:r>
        <w:t xml:space="preserve">, the Norwegian list contains investments with a total cost of 211 billion </w:t>
      </w:r>
      <w:proofErr w:type="spellStart"/>
      <w:r>
        <w:t>NOK</w:t>
      </w:r>
      <w:proofErr w:type="spellEnd"/>
      <w:r>
        <w:t>; in other words, there are many more inefficient projects on the Norwegian list.</w:t>
      </w:r>
    </w:p>
    <w:p w:rsidR="000078E9" w:rsidRDefault="000078E9">
      <w:pPr>
        <w:spacing w:line="300" w:lineRule="auto"/>
        <w:jc w:val="both"/>
        <w:sectPr w:rsidR="000078E9">
          <w:pgSz w:w="11910" w:h="16840"/>
          <w:pgMar w:top="1340" w:right="1660" w:bottom="1200" w:left="1120" w:header="299" w:footer="1008" w:gutter="0"/>
          <w:cols w:space="720"/>
        </w:sectPr>
      </w:pPr>
    </w:p>
    <w:p w:rsidR="000078E9" w:rsidRDefault="00BE2153">
      <w:pPr>
        <w:pStyle w:val="BodyText"/>
        <w:spacing w:before="82" w:line="300" w:lineRule="auto"/>
        <w:ind w:left="678" w:right="131"/>
        <w:jc w:val="both"/>
      </w:pPr>
      <w:r>
        <w:lastRenderedPageBreak/>
        <w:t xml:space="preserve">To further test and explore how costs and benefits affect project selection, binary </w:t>
      </w:r>
      <w:proofErr w:type="spellStart"/>
      <w:r>
        <w:t>logit</w:t>
      </w:r>
      <w:proofErr w:type="spellEnd"/>
      <w:r>
        <w:t xml:space="preserve"> models were estimated for each of the four decision makers. After extensive testing, the models include four variables: </w:t>
      </w:r>
      <w:proofErr w:type="spellStart"/>
      <w:r>
        <w:t>NBIR</w:t>
      </w:r>
      <w:proofErr w:type="spellEnd"/>
      <w:r>
        <w:rPr>
          <w:vertAlign w:val="superscript"/>
        </w:rPr>
        <w:t>+</w:t>
      </w:r>
      <w:r>
        <w:t xml:space="preserve">; </w:t>
      </w:r>
      <w:proofErr w:type="spellStart"/>
      <w:r>
        <w:t>NBIR</w:t>
      </w:r>
      <w:proofErr w:type="spellEnd"/>
      <w:r>
        <w:t xml:space="preserve">&gt;0; </w:t>
      </w:r>
      <w:proofErr w:type="gramStart"/>
      <w:r>
        <w:t>log(</w:t>
      </w:r>
      <w:proofErr w:type="gramEnd"/>
      <w:r>
        <w:t xml:space="preserve">investment cost); and the ratio of safety benefits to accessibility benefits. Projects are split in two size segments: “large” projects are the 40% most expensive projects (&gt;1300 </w:t>
      </w:r>
      <w:proofErr w:type="spellStart"/>
      <w:r>
        <w:t>MNOK</w:t>
      </w:r>
      <w:proofErr w:type="spellEnd"/>
      <w:r>
        <w:t xml:space="preserve"> and &gt;130 </w:t>
      </w:r>
      <w:proofErr w:type="spellStart"/>
      <w:r>
        <w:t>MSEK</w:t>
      </w:r>
      <w:proofErr w:type="spellEnd"/>
      <w:r>
        <w:t xml:space="preserve">, respectively), while “small” projects are the remaining 60%. </w:t>
      </w:r>
      <w:hyperlink w:anchor="_bookmark3" w:history="1">
        <w:r>
          <w:t>Table 3</w:t>
        </w:r>
      </w:hyperlink>
      <w:r>
        <w:t xml:space="preserve"> shows the estimation results.</w:t>
      </w:r>
    </w:p>
    <w:p w:rsidR="000078E9" w:rsidRDefault="00BE2153">
      <w:pPr>
        <w:spacing w:before="238"/>
        <w:ind w:left="678"/>
        <w:jc w:val="both"/>
        <w:rPr>
          <w:b/>
          <w:sz w:val="18"/>
        </w:rPr>
      </w:pPr>
      <w:bookmarkStart w:id="4" w:name="_bookmark3"/>
      <w:bookmarkEnd w:id="4"/>
      <w:r>
        <w:rPr>
          <w:b/>
          <w:sz w:val="18"/>
        </w:rPr>
        <w:t>Table</w:t>
      </w:r>
      <w:r>
        <w:rPr>
          <w:b/>
          <w:spacing w:val="-5"/>
          <w:sz w:val="18"/>
        </w:rPr>
        <w:t xml:space="preserve"> </w:t>
      </w:r>
      <w:r>
        <w:rPr>
          <w:b/>
          <w:sz w:val="18"/>
        </w:rPr>
        <w:t>3:</w:t>
      </w:r>
      <w:r>
        <w:rPr>
          <w:b/>
          <w:spacing w:val="-4"/>
          <w:sz w:val="18"/>
        </w:rPr>
        <w:t xml:space="preserve"> </w:t>
      </w:r>
      <w:r>
        <w:rPr>
          <w:b/>
          <w:sz w:val="18"/>
        </w:rPr>
        <w:t>Estimation</w:t>
      </w:r>
      <w:r>
        <w:rPr>
          <w:b/>
          <w:spacing w:val="-2"/>
          <w:sz w:val="18"/>
        </w:rPr>
        <w:t xml:space="preserve"> </w:t>
      </w:r>
      <w:r>
        <w:rPr>
          <w:b/>
          <w:sz w:val="18"/>
        </w:rPr>
        <w:t>results:</w:t>
      </w:r>
      <w:r>
        <w:rPr>
          <w:b/>
          <w:spacing w:val="-4"/>
          <w:sz w:val="18"/>
        </w:rPr>
        <w:t xml:space="preserve"> </w:t>
      </w:r>
      <w:r>
        <w:rPr>
          <w:b/>
          <w:sz w:val="18"/>
        </w:rPr>
        <w:t>binary</w:t>
      </w:r>
      <w:r>
        <w:rPr>
          <w:b/>
          <w:spacing w:val="-8"/>
          <w:sz w:val="18"/>
        </w:rPr>
        <w:t xml:space="preserve"> </w:t>
      </w:r>
      <w:proofErr w:type="spellStart"/>
      <w:r>
        <w:rPr>
          <w:b/>
          <w:sz w:val="18"/>
        </w:rPr>
        <w:t>logit</w:t>
      </w:r>
      <w:proofErr w:type="spellEnd"/>
      <w:r>
        <w:rPr>
          <w:b/>
          <w:spacing w:val="-2"/>
          <w:sz w:val="18"/>
        </w:rPr>
        <w:t xml:space="preserve"> </w:t>
      </w:r>
      <w:r>
        <w:rPr>
          <w:b/>
          <w:sz w:val="18"/>
        </w:rPr>
        <w:t>models</w:t>
      </w:r>
      <w:r>
        <w:rPr>
          <w:b/>
          <w:spacing w:val="-3"/>
          <w:sz w:val="18"/>
        </w:rPr>
        <w:t xml:space="preserve"> </w:t>
      </w:r>
      <w:r>
        <w:rPr>
          <w:b/>
          <w:sz w:val="18"/>
        </w:rPr>
        <w:t>of</w:t>
      </w:r>
      <w:r>
        <w:rPr>
          <w:b/>
          <w:spacing w:val="-1"/>
          <w:sz w:val="18"/>
        </w:rPr>
        <w:t xml:space="preserve"> </w:t>
      </w:r>
      <w:r>
        <w:rPr>
          <w:b/>
          <w:sz w:val="18"/>
        </w:rPr>
        <w:t>project</w:t>
      </w:r>
      <w:r>
        <w:rPr>
          <w:b/>
          <w:spacing w:val="-2"/>
          <w:sz w:val="18"/>
        </w:rPr>
        <w:t xml:space="preserve"> </w:t>
      </w:r>
      <w:r>
        <w:rPr>
          <w:b/>
          <w:sz w:val="18"/>
        </w:rPr>
        <w:t>selection</w:t>
      </w:r>
      <w:r>
        <w:rPr>
          <w:b/>
          <w:spacing w:val="-3"/>
          <w:sz w:val="18"/>
        </w:rPr>
        <w:t xml:space="preserve"> </w:t>
      </w:r>
      <w:r>
        <w:rPr>
          <w:b/>
          <w:sz w:val="18"/>
        </w:rPr>
        <w:t>(variable</w:t>
      </w:r>
      <w:r>
        <w:rPr>
          <w:b/>
          <w:spacing w:val="-2"/>
          <w:sz w:val="18"/>
        </w:rPr>
        <w:t xml:space="preserve"> </w:t>
      </w:r>
      <w:r>
        <w:rPr>
          <w:b/>
          <w:sz w:val="18"/>
        </w:rPr>
        <w:t>explanation</w:t>
      </w:r>
      <w:r>
        <w:rPr>
          <w:b/>
          <w:spacing w:val="-1"/>
          <w:sz w:val="18"/>
        </w:rPr>
        <w:t xml:space="preserve"> </w:t>
      </w:r>
      <w:r>
        <w:rPr>
          <w:b/>
          <w:sz w:val="18"/>
        </w:rPr>
        <w:t>in</w:t>
      </w:r>
      <w:r>
        <w:rPr>
          <w:b/>
          <w:spacing w:val="-3"/>
          <w:sz w:val="18"/>
        </w:rPr>
        <w:t xml:space="preserve"> </w:t>
      </w:r>
      <w:r>
        <w:rPr>
          <w:b/>
          <w:spacing w:val="-2"/>
          <w:sz w:val="18"/>
        </w:rPr>
        <w:t>text)</w:t>
      </w:r>
    </w:p>
    <w:p w:rsidR="000078E9" w:rsidRDefault="000078E9">
      <w:pPr>
        <w:pStyle w:val="BodyText"/>
        <w:rPr>
          <w:b/>
          <w:sz w:val="18"/>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121"/>
        <w:gridCol w:w="631"/>
        <w:gridCol w:w="1171"/>
        <w:gridCol w:w="629"/>
        <w:gridCol w:w="1122"/>
        <w:gridCol w:w="628"/>
        <w:gridCol w:w="1132"/>
        <w:gridCol w:w="631"/>
      </w:tblGrid>
      <w:tr w:rsidR="000078E9">
        <w:trPr>
          <w:trHeight w:val="206"/>
        </w:trPr>
        <w:tc>
          <w:tcPr>
            <w:tcW w:w="1368" w:type="dxa"/>
            <w:vMerge w:val="restart"/>
            <w:tcBorders>
              <w:right w:val="triple" w:sz="4" w:space="0" w:color="000000"/>
            </w:tcBorders>
          </w:tcPr>
          <w:p w:rsidR="000078E9" w:rsidRDefault="000078E9">
            <w:pPr>
              <w:pStyle w:val="TableParagraph"/>
              <w:jc w:val="left"/>
              <w:rPr>
                <w:b/>
                <w:sz w:val="18"/>
              </w:rPr>
            </w:pPr>
          </w:p>
          <w:p w:rsidR="000078E9" w:rsidRDefault="000078E9">
            <w:pPr>
              <w:pStyle w:val="TableParagraph"/>
              <w:spacing w:before="15"/>
              <w:jc w:val="left"/>
              <w:rPr>
                <w:b/>
                <w:sz w:val="18"/>
              </w:rPr>
            </w:pPr>
          </w:p>
          <w:p w:rsidR="000078E9" w:rsidRDefault="00BE2153">
            <w:pPr>
              <w:pStyle w:val="TableParagraph"/>
              <w:spacing w:line="192" w:lineRule="exact"/>
              <w:ind w:left="107"/>
              <w:jc w:val="left"/>
              <w:rPr>
                <w:b/>
                <w:sz w:val="18"/>
              </w:rPr>
            </w:pPr>
            <w:r>
              <w:rPr>
                <w:b/>
                <w:spacing w:val="-2"/>
                <w:sz w:val="18"/>
              </w:rPr>
              <w:t>Variable</w:t>
            </w:r>
          </w:p>
        </w:tc>
        <w:tc>
          <w:tcPr>
            <w:tcW w:w="3552" w:type="dxa"/>
            <w:gridSpan w:val="4"/>
            <w:tcBorders>
              <w:left w:val="triple" w:sz="4" w:space="0" w:color="000000"/>
              <w:right w:val="thinThickThinSmallGap" w:sz="24" w:space="0" w:color="000000"/>
            </w:tcBorders>
          </w:tcPr>
          <w:p w:rsidR="000078E9" w:rsidRDefault="00BE2153">
            <w:pPr>
              <w:pStyle w:val="TableParagraph"/>
              <w:spacing w:line="187" w:lineRule="exact"/>
              <w:ind w:left="51"/>
              <w:jc w:val="center"/>
              <w:rPr>
                <w:b/>
                <w:sz w:val="18"/>
              </w:rPr>
            </w:pPr>
            <w:r>
              <w:rPr>
                <w:b/>
                <w:spacing w:val="-2"/>
                <w:sz w:val="18"/>
              </w:rPr>
              <w:t>Norway</w:t>
            </w:r>
          </w:p>
        </w:tc>
        <w:tc>
          <w:tcPr>
            <w:tcW w:w="3513" w:type="dxa"/>
            <w:gridSpan w:val="4"/>
            <w:tcBorders>
              <w:left w:val="thinThickThinSmallGap" w:sz="24" w:space="0" w:color="000000"/>
            </w:tcBorders>
          </w:tcPr>
          <w:p w:rsidR="000078E9" w:rsidRDefault="00BE2153">
            <w:pPr>
              <w:pStyle w:val="TableParagraph"/>
              <w:spacing w:line="187" w:lineRule="exact"/>
              <w:ind w:right="35"/>
              <w:jc w:val="center"/>
              <w:rPr>
                <w:b/>
                <w:sz w:val="18"/>
              </w:rPr>
            </w:pPr>
            <w:r>
              <w:rPr>
                <w:b/>
                <w:spacing w:val="-2"/>
                <w:sz w:val="18"/>
              </w:rPr>
              <w:t>Sweden</w:t>
            </w:r>
          </w:p>
        </w:tc>
      </w:tr>
      <w:tr w:rsidR="000078E9">
        <w:trPr>
          <w:trHeight w:val="208"/>
        </w:trPr>
        <w:tc>
          <w:tcPr>
            <w:tcW w:w="1368" w:type="dxa"/>
            <w:vMerge/>
            <w:tcBorders>
              <w:top w:val="nil"/>
              <w:right w:val="triple" w:sz="4" w:space="0" w:color="000000"/>
            </w:tcBorders>
          </w:tcPr>
          <w:p w:rsidR="000078E9" w:rsidRDefault="000078E9">
            <w:pPr>
              <w:rPr>
                <w:sz w:val="2"/>
                <w:szCs w:val="2"/>
              </w:rPr>
            </w:pPr>
          </w:p>
        </w:tc>
        <w:tc>
          <w:tcPr>
            <w:tcW w:w="1752" w:type="dxa"/>
            <w:gridSpan w:val="2"/>
            <w:tcBorders>
              <w:left w:val="triple" w:sz="4" w:space="0" w:color="000000"/>
              <w:right w:val="double" w:sz="4" w:space="0" w:color="000000"/>
            </w:tcBorders>
          </w:tcPr>
          <w:p w:rsidR="000078E9" w:rsidRDefault="00BE2153">
            <w:pPr>
              <w:pStyle w:val="TableParagraph"/>
              <w:spacing w:line="188" w:lineRule="exact"/>
              <w:jc w:val="center"/>
              <w:rPr>
                <w:b/>
                <w:sz w:val="18"/>
              </w:rPr>
            </w:pPr>
            <w:r>
              <w:rPr>
                <w:b/>
                <w:spacing w:val="-4"/>
                <w:sz w:val="18"/>
              </w:rPr>
              <w:t>Govt.</w:t>
            </w:r>
          </w:p>
        </w:tc>
        <w:tc>
          <w:tcPr>
            <w:tcW w:w="1800" w:type="dxa"/>
            <w:gridSpan w:val="2"/>
            <w:tcBorders>
              <w:left w:val="double" w:sz="4" w:space="0" w:color="000000"/>
              <w:right w:val="thinThickThinSmallGap" w:sz="24" w:space="0" w:color="000000"/>
            </w:tcBorders>
          </w:tcPr>
          <w:p w:rsidR="000078E9" w:rsidRDefault="00BE2153">
            <w:pPr>
              <w:pStyle w:val="TableParagraph"/>
              <w:spacing w:line="188" w:lineRule="exact"/>
              <w:ind w:left="48"/>
              <w:jc w:val="center"/>
              <w:rPr>
                <w:b/>
                <w:sz w:val="18"/>
              </w:rPr>
            </w:pPr>
            <w:r>
              <w:rPr>
                <w:b/>
                <w:spacing w:val="-4"/>
                <w:sz w:val="18"/>
              </w:rPr>
              <w:t>Adm.</w:t>
            </w:r>
          </w:p>
        </w:tc>
        <w:tc>
          <w:tcPr>
            <w:tcW w:w="1750" w:type="dxa"/>
            <w:gridSpan w:val="2"/>
            <w:tcBorders>
              <w:left w:val="thinThickThinSmallGap" w:sz="24" w:space="0" w:color="000000"/>
              <w:right w:val="double" w:sz="4" w:space="0" w:color="000000"/>
            </w:tcBorders>
          </w:tcPr>
          <w:p w:rsidR="000078E9" w:rsidRDefault="00BE2153">
            <w:pPr>
              <w:pStyle w:val="TableParagraph"/>
              <w:spacing w:line="188" w:lineRule="exact"/>
              <w:ind w:right="27"/>
              <w:jc w:val="center"/>
              <w:rPr>
                <w:b/>
                <w:sz w:val="18"/>
              </w:rPr>
            </w:pPr>
            <w:r>
              <w:rPr>
                <w:b/>
                <w:spacing w:val="-4"/>
                <w:sz w:val="18"/>
              </w:rPr>
              <w:t>Govt.</w:t>
            </w:r>
          </w:p>
        </w:tc>
        <w:tc>
          <w:tcPr>
            <w:tcW w:w="1763" w:type="dxa"/>
            <w:gridSpan w:val="2"/>
            <w:tcBorders>
              <w:left w:val="double" w:sz="4" w:space="0" w:color="000000"/>
            </w:tcBorders>
          </w:tcPr>
          <w:p w:rsidR="000078E9" w:rsidRDefault="00BE2153">
            <w:pPr>
              <w:pStyle w:val="TableParagraph"/>
              <w:spacing w:line="188" w:lineRule="exact"/>
              <w:ind w:left="2"/>
              <w:jc w:val="center"/>
              <w:rPr>
                <w:b/>
                <w:sz w:val="18"/>
              </w:rPr>
            </w:pPr>
            <w:r>
              <w:rPr>
                <w:b/>
                <w:spacing w:val="-4"/>
                <w:sz w:val="18"/>
              </w:rPr>
              <w:t>Adm.</w:t>
            </w:r>
          </w:p>
        </w:tc>
      </w:tr>
      <w:tr w:rsidR="000078E9">
        <w:trPr>
          <w:trHeight w:val="205"/>
        </w:trPr>
        <w:tc>
          <w:tcPr>
            <w:tcW w:w="1368" w:type="dxa"/>
            <w:vMerge/>
            <w:tcBorders>
              <w:top w:val="nil"/>
              <w:right w:val="triple" w:sz="4" w:space="0" w:color="000000"/>
            </w:tcBorders>
          </w:tcPr>
          <w:p w:rsidR="000078E9" w:rsidRDefault="000078E9">
            <w:pPr>
              <w:rPr>
                <w:sz w:val="2"/>
                <w:szCs w:val="2"/>
              </w:rPr>
            </w:pPr>
          </w:p>
        </w:tc>
        <w:tc>
          <w:tcPr>
            <w:tcW w:w="1121" w:type="dxa"/>
            <w:tcBorders>
              <w:left w:val="triple" w:sz="4" w:space="0" w:color="000000"/>
            </w:tcBorders>
          </w:tcPr>
          <w:p w:rsidR="000078E9" w:rsidRDefault="00BE2153">
            <w:pPr>
              <w:pStyle w:val="TableParagraph"/>
              <w:spacing w:line="186" w:lineRule="exact"/>
              <w:ind w:right="159"/>
              <w:rPr>
                <w:sz w:val="18"/>
              </w:rPr>
            </w:pPr>
            <w:r>
              <w:rPr>
                <w:spacing w:val="-2"/>
                <w:sz w:val="18"/>
              </w:rPr>
              <w:t>Parameter</w:t>
            </w:r>
          </w:p>
        </w:tc>
        <w:tc>
          <w:tcPr>
            <w:tcW w:w="631" w:type="dxa"/>
            <w:tcBorders>
              <w:right w:val="double" w:sz="4" w:space="0" w:color="000000"/>
            </w:tcBorders>
          </w:tcPr>
          <w:p w:rsidR="000078E9" w:rsidRDefault="00BE2153">
            <w:pPr>
              <w:pStyle w:val="TableParagraph"/>
              <w:spacing w:line="186" w:lineRule="exact"/>
              <w:ind w:right="100"/>
              <w:rPr>
                <w:i/>
                <w:sz w:val="18"/>
              </w:rPr>
            </w:pPr>
            <w:r>
              <w:rPr>
                <w:i/>
                <w:sz w:val="18"/>
              </w:rPr>
              <w:t>t-</w:t>
            </w:r>
            <w:r>
              <w:rPr>
                <w:i/>
                <w:spacing w:val="-4"/>
                <w:sz w:val="18"/>
              </w:rPr>
              <w:t>stat</w:t>
            </w:r>
          </w:p>
        </w:tc>
        <w:tc>
          <w:tcPr>
            <w:tcW w:w="1171" w:type="dxa"/>
            <w:tcBorders>
              <w:left w:val="double" w:sz="4" w:space="0" w:color="000000"/>
            </w:tcBorders>
          </w:tcPr>
          <w:p w:rsidR="000078E9" w:rsidRDefault="00BE2153">
            <w:pPr>
              <w:pStyle w:val="TableParagraph"/>
              <w:spacing w:line="186" w:lineRule="exact"/>
              <w:ind w:left="95"/>
              <w:jc w:val="left"/>
              <w:rPr>
                <w:sz w:val="18"/>
              </w:rPr>
            </w:pPr>
            <w:r>
              <w:rPr>
                <w:spacing w:val="-2"/>
                <w:sz w:val="18"/>
              </w:rPr>
              <w:t>Parameter</w:t>
            </w:r>
          </w:p>
        </w:tc>
        <w:tc>
          <w:tcPr>
            <w:tcW w:w="629" w:type="dxa"/>
            <w:tcBorders>
              <w:right w:val="thinThickThinSmallGap" w:sz="24" w:space="0" w:color="000000"/>
            </w:tcBorders>
          </w:tcPr>
          <w:p w:rsidR="000078E9" w:rsidRDefault="00BE2153">
            <w:pPr>
              <w:pStyle w:val="TableParagraph"/>
              <w:spacing w:line="186" w:lineRule="exact"/>
              <w:ind w:right="50"/>
              <w:rPr>
                <w:i/>
                <w:sz w:val="18"/>
              </w:rPr>
            </w:pPr>
            <w:r>
              <w:rPr>
                <w:i/>
                <w:sz w:val="18"/>
              </w:rPr>
              <w:t>t-</w:t>
            </w:r>
            <w:r>
              <w:rPr>
                <w:i/>
                <w:spacing w:val="-4"/>
                <w:sz w:val="18"/>
              </w:rPr>
              <w:t>stat</w:t>
            </w:r>
          </w:p>
        </w:tc>
        <w:tc>
          <w:tcPr>
            <w:tcW w:w="1122" w:type="dxa"/>
            <w:tcBorders>
              <w:left w:val="thinThickThinSmallGap" w:sz="24" w:space="0" w:color="000000"/>
            </w:tcBorders>
          </w:tcPr>
          <w:p w:rsidR="000078E9" w:rsidRDefault="00BE2153">
            <w:pPr>
              <w:pStyle w:val="TableParagraph"/>
              <w:spacing w:line="186" w:lineRule="exact"/>
              <w:ind w:right="157"/>
              <w:rPr>
                <w:sz w:val="18"/>
              </w:rPr>
            </w:pPr>
            <w:r>
              <w:rPr>
                <w:spacing w:val="-2"/>
                <w:sz w:val="18"/>
              </w:rPr>
              <w:t>Parameter</w:t>
            </w:r>
          </w:p>
        </w:tc>
        <w:tc>
          <w:tcPr>
            <w:tcW w:w="628" w:type="dxa"/>
            <w:tcBorders>
              <w:right w:val="double" w:sz="4" w:space="0" w:color="000000"/>
            </w:tcBorders>
          </w:tcPr>
          <w:p w:rsidR="000078E9" w:rsidRDefault="00BE2153">
            <w:pPr>
              <w:pStyle w:val="TableParagraph"/>
              <w:spacing w:line="186" w:lineRule="exact"/>
              <w:ind w:right="95"/>
              <w:rPr>
                <w:i/>
                <w:sz w:val="18"/>
              </w:rPr>
            </w:pPr>
            <w:r>
              <w:rPr>
                <w:i/>
                <w:sz w:val="18"/>
              </w:rPr>
              <w:t>t-</w:t>
            </w:r>
            <w:r>
              <w:rPr>
                <w:i/>
                <w:spacing w:val="-4"/>
                <w:sz w:val="18"/>
              </w:rPr>
              <w:t>stat</w:t>
            </w:r>
          </w:p>
        </w:tc>
        <w:tc>
          <w:tcPr>
            <w:tcW w:w="1132" w:type="dxa"/>
            <w:tcBorders>
              <w:left w:val="double" w:sz="4" w:space="0" w:color="000000"/>
            </w:tcBorders>
          </w:tcPr>
          <w:p w:rsidR="000078E9" w:rsidRDefault="00BE2153">
            <w:pPr>
              <w:pStyle w:val="TableParagraph"/>
              <w:spacing w:line="186" w:lineRule="exact"/>
              <w:ind w:left="101"/>
              <w:jc w:val="left"/>
              <w:rPr>
                <w:sz w:val="18"/>
              </w:rPr>
            </w:pPr>
            <w:r>
              <w:rPr>
                <w:spacing w:val="-2"/>
                <w:sz w:val="18"/>
              </w:rPr>
              <w:t>Parameter</w:t>
            </w:r>
          </w:p>
        </w:tc>
        <w:tc>
          <w:tcPr>
            <w:tcW w:w="631" w:type="dxa"/>
          </w:tcPr>
          <w:p w:rsidR="000078E9" w:rsidRDefault="00BE2153">
            <w:pPr>
              <w:pStyle w:val="TableParagraph"/>
              <w:spacing w:line="186" w:lineRule="exact"/>
              <w:ind w:right="106"/>
              <w:rPr>
                <w:i/>
                <w:sz w:val="18"/>
              </w:rPr>
            </w:pPr>
            <w:r>
              <w:rPr>
                <w:i/>
                <w:sz w:val="18"/>
              </w:rPr>
              <w:t>t-</w:t>
            </w:r>
            <w:r>
              <w:rPr>
                <w:i/>
                <w:spacing w:val="-4"/>
                <w:sz w:val="18"/>
              </w:rPr>
              <w:t>stat</w:t>
            </w:r>
          </w:p>
        </w:tc>
      </w:tr>
      <w:tr w:rsidR="000078E9">
        <w:trPr>
          <w:trHeight w:val="205"/>
        </w:trPr>
        <w:tc>
          <w:tcPr>
            <w:tcW w:w="1368" w:type="dxa"/>
            <w:tcBorders>
              <w:right w:val="triple" w:sz="4" w:space="0" w:color="000000"/>
            </w:tcBorders>
          </w:tcPr>
          <w:p w:rsidR="000078E9" w:rsidRDefault="00BE2153">
            <w:pPr>
              <w:pStyle w:val="TableParagraph"/>
              <w:spacing w:line="186" w:lineRule="exact"/>
              <w:ind w:left="107"/>
              <w:jc w:val="left"/>
              <w:rPr>
                <w:sz w:val="18"/>
              </w:rPr>
            </w:pPr>
            <w:proofErr w:type="spellStart"/>
            <w:r>
              <w:rPr>
                <w:sz w:val="18"/>
              </w:rPr>
              <w:t>NBIR</w:t>
            </w:r>
            <w:proofErr w:type="spellEnd"/>
            <w:r>
              <w:rPr>
                <w:sz w:val="18"/>
                <w:vertAlign w:val="superscript"/>
              </w:rPr>
              <w:t>+</w:t>
            </w:r>
            <w:r>
              <w:rPr>
                <w:spacing w:val="-8"/>
                <w:sz w:val="18"/>
              </w:rPr>
              <w:t xml:space="preserve"> </w:t>
            </w:r>
            <w:r>
              <w:rPr>
                <w:spacing w:val="-2"/>
                <w:sz w:val="18"/>
              </w:rPr>
              <w:t>small</w:t>
            </w:r>
          </w:p>
        </w:tc>
        <w:tc>
          <w:tcPr>
            <w:tcW w:w="1121" w:type="dxa"/>
            <w:tcBorders>
              <w:left w:val="triple" w:sz="4" w:space="0" w:color="000000"/>
            </w:tcBorders>
          </w:tcPr>
          <w:p w:rsidR="000078E9" w:rsidRDefault="00BE2153">
            <w:pPr>
              <w:pStyle w:val="TableParagraph"/>
              <w:spacing w:line="186" w:lineRule="exact"/>
              <w:ind w:right="93"/>
              <w:rPr>
                <w:i/>
                <w:sz w:val="18"/>
              </w:rPr>
            </w:pPr>
            <w:r>
              <w:rPr>
                <w:i/>
                <w:spacing w:val="-5"/>
                <w:sz w:val="18"/>
              </w:rPr>
              <w:t>ns</w:t>
            </w:r>
          </w:p>
        </w:tc>
        <w:tc>
          <w:tcPr>
            <w:tcW w:w="631" w:type="dxa"/>
            <w:tcBorders>
              <w:right w:val="double" w:sz="4" w:space="0" w:color="000000"/>
            </w:tcBorders>
          </w:tcPr>
          <w:p w:rsidR="000078E9" w:rsidRDefault="00BE2153">
            <w:pPr>
              <w:pStyle w:val="TableParagraph"/>
              <w:spacing w:line="186" w:lineRule="exact"/>
              <w:ind w:right="88"/>
              <w:rPr>
                <w:i/>
                <w:sz w:val="18"/>
              </w:rPr>
            </w:pPr>
            <w:r>
              <w:rPr>
                <w:i/>
                <w:spacing w:val="-10"/>
                <w:sz w:val="18"/>
              </w:rPr>
              <w:t>-</w:t>
            </w:r>
          </w:p>
        </w:tc>
        <w:tc>
          <w:tcPr>
            <w:tcW w:w="1171" w:type="dxa"/>
            <w:tcBorders>
              <w:left w:val="double" w:sz="4" w:space="0" w:color="000000"/>
            </w:tcBorders>
          </w:tcPr>
          <w:p w:rsidR="000078E9" w:rsidRDefault="00BE2153">
            <w:pPr>
              <w:pStyle w:val="TableParagraph"/>
              <w:spacing w:line="186" w:lineRule="exact"/>
              <w:ind w:right="95"/>
              <w:rPr>
                <w:i/>
                <w:sz w:val="18"/>
              </w:rPr>
            </w:pPr>
            <w:r>
              <w:rPr>
                <w:i/>
                <w:spacing w:val="-5"/>
                <w:sz w:val="18"/>
              </w:rPr>
              <w:t>ns</w:t>
            </w:r>
          </w:p>
        </w:tc>
        <w:tc>
          <w:tcPr>
            <w:tcW w:w="629" w:type="dxa"/>
            <w:tcBorders>
              <w:right w:val="thinThickThinSmallGap" w:sz="24" w:space="0" w:color="000000"/>
            </w:tcBorders>
          </w:tcPr>
          <w:p w:rsidR="000078E9" w:rsidRDefault="00BE2153">
            <w:pPr>
              <w:pStyle w:val="TableParagraph"/>
              <w:spacing w:line="186" w:lineRule="exact"/>
              <w:ind w:right="37"/>
              <w:rPr>
                <w:i/>
                <w:sz w:val="18"/>
              </w:rPr>
            </w:pPr>
            <w:r>
              <w:rPr>
                <w:i/>
                <w:spacing w:val="-10"/>
                <w:sz w:val="18"/>
              </w:rPr>
              <w:t>-</w:t>
            </w:r>
          </w:p>
        </w:tc>
        <w:tc>
          <w:tcPr>
            <w:tcW w:w="1122" w:type="dxa"/>
            <w:tcBorders>
              <w:left w:val="thinThickThinSmallGap" w:sz="24" w:space="0" w:color="000000"/>
            </w:tcBorders>
          </w:tcPr>
          <w:p w:rsidR="000078E9" w:rsidRDefault="00BE2153">
            <w:pPr>
              <w:pStyle w:val="TableParagraph"/>
              <w:spacing w:line="186" w:lineRule="exact"/>
              <w:ind w:right="92"/>
              <w:rPr>
                <w:i/>
                <w:sz w:val="18"/>
              </w:rPr>
            </w:pPr>
            <w:r>
              <w:rPr>
                <w:i/>
                <w:spacing w:val="-5"/>
                <w:sz w:val="18"/>
              </w:rPr>
              <w:t>ns</w:t>
            </w:r>
          </w:p>
        </w:tc>
        <w:tc>
          <w:tcPr>
            <w:tcW w:w="628" w:type="dxa"/>
            <w:tcBorders>
              <w:right w:val="double" w:sz="4" w:space="0" w:color="000000"/>
            </w:tcBorders>
          </w:tcPr>
          <w:p w:rsidR="000078E9" w:rsidRDefault="00BE2153">
            <w:pPr>
              <w:pStyle w:val="TableParagraph"/>
              <w:spacing w:line="186" w:lineRule="exact"/>
              <w:ind w:right="82"/>
              <w:rPr>
                <w:i/>
                <w:sz w:val="18"/>
              </w:rPr>
            </w:pPr>
            <w:r>
              <w:rPr>
                <w:i/>
                <w:spacing w:val="-10"/>
                <w:sz w:val="18"/>
              </w:rPr>
              <w:t>-</w:t>
            </w:r>
          </w:p>
        </w:tc>
        <w:tc>
          <w:tcPr>
            <w:tcW w:w="1132" w:type="dxa"/>
            <w:tcBorders>
              <w:left w:val="double" w:sz="4" w:space="0" w:color="000000"/>
            </w:tcBorders>
          </w:tcPr>
          <w:p w:rsidR="000078E9" w:rsidRDefault="00BE2153">
            <w:pPr>
              <w:pStyle w:val="TableParagraph"/>
              <w:spacing w:line="186" w:lineRule="exact"/>
              <w:ind w:right="93"/>
              <w:rPr>
                <w:sz w:val="18"/>
              </w:rPr>
            </w:pPr>
            <w:r>
              <w:rPr>
                <w:spacing w:val="-2"/>
                <w:sz w:val="18"/>
              </w:rPr>
              <w:t>0.728</w:t>
            </w:r>
          </w:p>
        </w:tc>
        <w:tc>
          <w:tcPr>
            <w:tcW w:w="631" w:type="dxa"/>
          </w:tcPr>
          <w:p w:rsidR="000078E9" w:rsidRDefault="00BE2153">
            <w:pPr>
              <w:pStyle w:val="TableParagraph"/>
              <w:spacing w:line="186" w:lineRule="exact"/>
              <w:ind w:right="92"/>
              <w:rPr>
                <w:i/>
                <w:sz w:val="18"/>
              </w:rPr>
            </w:pPr>
            <w:r>
              <w:rPr>
                <w:i/>
                <w:spacing w:val="-5"/>
                <w:sz w:val="18"/>
              </w:rPr>
              <w:t>2.0</w:t>
            </w:r>
          </w:p>
        </w:tc>
      </w:tr>
      <w:tr w:rsidR="000078E9">
        <w:trPr>
          <w:trHeight w:val="208"/>
        </w:trPr>
        <w:tc>
          <w:tcPr>
            <w:tcW w:w="1368" w:type="dxa"/>
            <w:tcBorders>
              <w:right w:val="triple" w:sz="4" w:space="0" w:color="000000"/>
            </w:tcBorders>
          </w:tcPr>
          <w:p w:rsidR="000078E9" w:rsidRDefault="00BE2153">
            <w:pPr>
              <w:pStyle w:val="TableParagraph"/>
              <w:spacing w:before="1" w:line="187" w:lineRule="exact"/>
              <w:ind w:left="107"/>
              <w:jc w:val="left"/>
              <w:rPr>
                <w:sz w:val="18"/>
              </w:rPr>
            </w:pPr>
            <w:proofErr w:type="spellStart"/>
            <w:r>
              <w:rPr>
                <w:sz w:val="18"/>
              </w:rPr>
              <w:t>NBIR</w:t>
            </w:r>
            <w:proofErr w:type="spellEnd"/>
            <w:r>
              <w:rPr>
                <w:sz w:val="18"/>
                <w:vertAlign w:val="superscript"/>
              </w:rPr>
              <w:t>+</w:t>
            </w:r>
            <w:r>
              <w:rPr>
                <w:spacing w:val="-8"/>
                <w:sz w:val="18"/>
              </w:rPr>
              <w:t xml:space="preserve"> </w:t>
            </w:r>
            <w:r>
              <w:rPr>
                <w:spacing w:val="-2"/>
                <w:sz w:val="18"/>
              </w:rPr>
              <w:t>large</w:t>
            </w:r>
          </w:p>
        </w:tc>
        <w:tc>
          <w:tcPr>
            <w:tcW w:w="1121" w:type="dxa"/>
            <w:tcBorders>
              <w:left w:val="triple" w:sz="4" w:space="0" w:color="000000"/>
            </w:tcBorders>
          </w:tcPr>
          <w:p w:rsidR="000078E9" w:rsidRDefault="00BE2153">
            <w:pPr>
              <w:pStyle w:val="TableParagraph"/>
              <w:spacing w:line="188" w:lineRule="exact"/>
              <w:ind w:right="93"/>
              <w:rPr>
                <w:i/>
                <w:sz w:val="18"/>
              </w:rPr>
            </w:pPr>
            <w:r>
              <w:rPr>
                <w:i/>
                <w:spacing w:val="-5"/>
                <w:sz w:val="18"/>
              </w:rPr>
              <w:t>ns</w:t>
            </w:r>
          </w:p>
        </w:tc>
        <w:tc>
          <w:tcPr>
            <w:tcW w:w="631" w:type="dxa"/>
            <w:tcBorders>
              <w:right w:val="double" w:sz="4" w:space="0" w:color="000000"/>
            </w:tcBorders>
          </w:tcPr>
          <w:p w:rsidR="000078E9" w:rsidRDefault="00BE2153">
            <w:pPr>
              <w:pStyle w:val="TableParagraph"/>
              <w:spacing w:line="188" w:lineRule="exact"/>
              <w:ind w:right="88"/>
              <w:rPr>
                <w:i/>
                <w:sz w:val="18"/>
              </w:rPr>
            </w:pPr>
            <w:r>
              <w:rPr>
                <w:i/>
                <w:spacing w:val="-10"/>
                <w:sz w:val="18"/>
              </w:rPr>
              <w:t>-</w:t>
            </w:r>
          </w:p>
        </w:tc>
        <w:tc>
          <w:tcPr>
            <w:tcW w:w="1171" w:type="dxa"/>
            <w:tcBorders>
              <w:left w:val="double" w:sz="4" w:space="0" w:color="000000"/>
            </w:tcBorders>
          </w:tcPr>
          <w:p w:rsidR="000078E9" w:rsidRDefault="00BE2153">
            <w:pPr>
              <w:pStyle w:val="TableParagraph"/>
              <w:spacing w:line="188" w:lineRule="exact"/>
              <w:ind w:right="95"/>
              <w:rPr>
                <w:i/>
                <w:sz w:val="18"/>
              </w:rPr>
            </w:pPr>
            <w:r>
              <w:rPr>
                <w:i/>
                <w:spacing w:val="-5"/>
                <w:sz w:val="18"/>
              </w:rPr>
              <w:t>ns</w:t>
            </w:r>
          </w:p>
        </w:tc>
        <w:tc>
          <w:tcPr>
            <w:tcW w:w="629" w:type="dxa"/>
            <w:tcBorders>
              <w:right w:val="thinThickThinSmallGap" w:sz="24" w:space="0" w:color="000000"/>
            </w:tcBorders>
          </w:tcPr>
          <w:p w:rsidR="000078E9" w:rsidRDefault="00BE2153">
            <w:pPr>
              <w:pStyle w:val="TableParagraph"/>
              <w:spacing w:line="188" w:lineRule="exact"/>
              <w:ind w:right="37"/>
              <w:rPr>
                <w:i/>
                <w:sz w:val="18"/>
              </w:rPr>
            </w:pPr>
            <w:r>
              <w:rPr>
                <w:i/>
                <w:spacing w:val="-10"/>
                <w:sz w:val="18"/>
              </w:rPr>
              <w:t>-</w:t>
            </w:r>
          </w:p>
        </w:tc>
        <w:tc>
          <w:tcPr>
            <w:tcW w:w="1122" w:type="dxa"/>
            <w:tcBorders>
              <w:left w:val="thinThickThinSmallGap" w:sz="24" w:space="0" w:color="000000"/>
            </w:tcBorders>
          </w:tcPr>
          <w:p w:rsidR="000078E9" w:rsidRDefault="00BE2153">
            <w:pPr>
              <w:pStyle w:val="TableParagraph"/>
              <w:spacing w:line="188" w:lineRule="exact"/>
              <w:ind w:right="92"/>
              <w:rPr>
                <w:i/>
                <w:sz w:val="18"/>
              </w:rPr>
            </w:pPr>
            <w:r>
              <w:rPr>
                <w:i/>
                <w:spacing w:val="-5"/>
                <w:sz w:val="18"/>
              </w:rPr>
              <w:t>ns</w:t>
            </w:r>
          </w:p>
        </w:tc>
        <w:tc>
          <w:tcPr>
            <w:tcW w:w="628" w:type="dxa"/>
            <w:tcBorders>
              <w:right w:val="double" w:sz="4" w:space="0" w:color="000000"/>
            </w:tcBorders>
          </w:tcPr>
          <w:p w:rsidR="000078E9" w:rsidRDefault="00BE2153">
            <w:pPr>
              <w:pStyle w:val="TableParagraph"/>
              <w:spacing w:line="188" w:lineRule="exact"/>
              <w:ind w:right="82"/>
              <w:rPr>
                <w:i/>
                <w:sz w:val="18"/>
              </w:rPr>
            </w:pPr>
            <w:r>
              <w:rPr>
                <w:i/>
                <w:spacing w:val="-10"/>
                <w:sz w:val="18"/>
              </w:rPr>
              <w:t>-</w:t>
            </w:r>
          </w:p>
        </w:tc>
        <w:tc>
          <w:tcPr>
            <w:tcW w:w="1132" w:type="dxa"/>
            <w:tcBorders>
              <w:left w:val="double" w:sz="4" w:space="0" w:color="000000"/>
            </w:tcBorders>
          </w:tcPr>
          <w:p w:rsidR="000078E9" w:rsidRDefault="00BE2153">
            <w:pPr>
              <w:pStyle w:val="TableParagraph"/>
              <w:spacing w:before="1" w:line="187" w:lineRule="exact"/>
              <w:ind w:right="93"/>
              <w:rPr>
                <w:sz w:val="18"/>
              </w:rPr>
            </w:pPr>
            <w:r>
              <w:rPr>
                <w:spacing w:val="-2"/>
                <w:sz w:val="18"/>
              </w:rPr>
              <w:t>1.151</w:t>
            </w:r>
          </w:p>
        </w:tc>
        <w:tc>
          <w:tcPr>
            <w:tcW w:w="631" w:type="dxa"/>
          </w:tcPr>
          <w:p w:rsidR="000078E9" w:rsidRDefault="00BE2153">
            <w:pPr>
              <w:pStyle w:val="TableParagraph"/>
              <w:spacing w:line="188" w:lineRule="exact"/>
              <w:ind w:right="92"/>
              <w:rPr>
                <w:i/>
                <w:sz w:val="18"/>
              </w:rPr>
            </w:pPr>
            <w:r>
              <w:rPr>
                <w:i/>
                <w:spacing w:val="-5"/>
                <w:sz w:val="18"/>
              </w:rPr>
              <w:t>2.5</w:t>
            </w:r>
          </w:p>
        </w:tc>
      </w:tr>
      <w:tr w:rsidR="000078E9">
        <w:trPr>
          <w:trHeight w:val="205"/>
        </w:trPr>
        <w:tc>
          <w:tcPr>
            <w:tcW w:w="1368" w:type="dxa"/>
            <w:tcBorders>
              <w:right w:val="triple" w:sz="4" w:space="0" w:color="000000"/>
            </w:tcBorders>
          </w:tcPr>
          <w:p w:rsidR="000078E9" w:rsidRDefault="00BE2153">
            <w:pPr>
              <w:pStyle w:val="TableParagraph"/>
              <w:spacing w:line="186" w:lineRule="exact"/>
              <w:ind w:left="107"/>
              <w:jc w:val="left"/>
              <w:rPr>
                <w:sz w:val="18"/>
              </w:rPr>
            </w:pPr>
            <w:proofErr w:type="spellStart"/>
            <w:r>
              <w:rPr>
                <w:sz w:val="18"/>
              </w:rPr>
              <w:t>NBIR</w:t>
            </w:r>
            <w:proofErr w:type="spellEnd"/>
            <w:r>
              <w:rPr>
                <w:sz w:val="18"/>
              </w:rPr>
              <w:t>&gt;0</w:t>
            </w:r>
            <w:r>
              <w:rPr>
                <w:spacing w:val="-7"/>
                <w:sz w:val="18"/>
              </w:rPr>
              <w:t xml:space="preserve"> </w:t>
            </w:r>
            <w:r>
              <w:rPr>
                <w:spacing w:val="-2"/>
                <w:sz w:val="18"/>
              </w:rPr>
              <w:t>small</w:t>
            </w:r>
          </w:p>
        </w:tc>
        <w:tc>
          <w:tcPr>
            <w:tcW w:w="1121" w:type="dxa"/>
            <w:tcBorders>
              <w:left w:val="triple" w:sz="4" w:space="0" w:color="000000"/>
            </w:tcBorders>
          </w:tcPr>
          <w:p w:rsidR="000078E9" w:rsidRDefault="00BE2153">
            <w:pPr>
              <w:pStyle w:val="TableParagraph"/>
              <w:spacing w:line="186" w:lineRule="exact"/>
              <w:ind w:right="93"/>
              <w:rPr>
                <w:i/>
                <w:sz w:val="18"/>
              </w:rPr>
            </w:pPr>
            <w:r>
              <w:rPr>
                <w:i/>
                <w:spacing w:val="-5"/>
                <w:sz w:val="18"/>
              </w:rPr>
              <w:t>ns</w:t>
            </w:r>
          </w:p>
        </w:tc>
        <w:tc>
          <w:tcPr>
            <w:tcW w:w="631" w:type="dxa"/>
            <w:tcBorders>
              <w:right w:val="double" w:sz="4" w:space="0" w:color="000000"/>
            </w:tcBorders>
          </w:tcPr>
          <w:p w:rsidR="000078E9" w:rsidRDefault="00BE2153">
            <w:pPr>
              <w:pStyle w:val="TableParagraph"/>
              <w:spacing w:line="186" w:lineRule="exact"/>
              <w:ind w:right="88"/>
              <w:rPr>
                <w:i/>
                <w:sz w:val="18"/>
              </w:rPr>
            </w:pPr>
            <w:r>
              <w:rPr>
                <w:i/>
                <w:spacing w:val="-10"/>
                <w:sz w:val="18"/>
              </w:rPr>
              <w:t>-</w:t>
            </w:r>
          </w:p>
        </w:tc>
        <w:tc>
          <w:tcPr>
            <w:tcW w:w="1171" w:type="dxa"/>
            <w:tcBorders>
              <w:left w:val="double" w:sz="4" w:space="0" w:color="000000"/>
            </w:tcBorders>
          </w:tcPr>
          <w:p w:rsidR="000078E9" w:rsidRDefault="00BE2153">
            <w:pPr>
              <w:pStyle w:val="TableParagraph"/>
              <w:spacing w:line="186" w:lineRule="exact"/>
              <w:ind w:right="95"/>
              <w:rPr>
                <w:i/>
                <w:sz w:val="18"/>
              </w:rPr>
            </w:pPr>
            <w:r>
              <w:rPr>
                <w:i/>
                <w:spacing w:val="-5"/>
                <w:sz w:val="18"/>
              </w:rPr>
              <w:t>ns</w:t>
            </w:r>
          </w:p>
        </w:tc>
        <w:tc>
          <w:tcPr>
            <w:tcW w:w="629" w:type="dxa"/>
            <w:tcBorders>
              <w:right w:val="thinThickThinSmallGap" w:sz="24" w:space="0" w:color="000000"/>
            </w:tcBorders>
          </w:tcPr>
          <w:p w:rsidR="000078E9" w:rsidRDefault="00BE2153">
            <w:pPr>
              <w:pStyle w:val="TableParagraph"/>
              <w:spacing w:line="186" w:lineRule="exact"/>
              <w:ind w:right="37"/>
              <w:rPr>
                <w:i/>
                <w:sz w:val="18"/>
              </w:rPr>
            </w:pPr>
            <w:r>
              <w:rPr>
                <w:i/>
                <w:spacing w:val="-10"/>
                <w:sz w:val="18"/>
              </w:rPr>
              <w:t>-</w:t>
            </w:r>
          </w:p>
        </w:tc>
        <w:tc>
          <w:tcPr>
            <w:tcW w:w="1122" w:type="dxa"/>
            <w:tcBorders>
              <w:left w:val="thinThickThinSmallGap" w:sz="24" w:space="0" w:color="000000"/>
            </w:tcBorders>
          </w:tcPr>
          <w:p w:rsidR="000078E9" w:rsidRDefault="00BE2153">
            <w:pPr>
              <w:pStyle w:val="TableParagraph"/>
              <w:spacing w:line="186" w:lineRule="exact"/>
              <w:ind w:right="92"/>
              <w:rPr>
                <w:sz w:val="18"/>
              </w:rPr>
            </w:pPr>
            <w:r>
              <w:rPr>
                <w:spacing w:val="-2"/>
                <w:sz w:val="18"/>
              </w:rPr>
              <w:t>1.458</w:t>
            </w:r>
          </w:p>
        </w:tc>
        <w:tc>
          <w:tcPr>
            <w:tcW w:w="628" w:type="dxa"/>
            <w:tcBorders>
              <w:right w:val="double" w:sz="4" w:space="0" w:color="000000"/>
            </w:tcBorders>
          </w:tcPr>
          <w:p w:rsidR="000078E9" w:rsidRDefault="00BE2153">
            <w:pPr>
              <w:pStyle w:val="TableParagraph"/>
              <w:spacing w:line="186" w:lineRule="exact"/>
              <w:ind w:right="81"/>
              <w:rPr>
                <w:i/>
                <w:sz w:val="18"/>
              </w:rPr>
            </w:pPr>
            <w:r>
              <w:rPr>
                <w:i/>
                <w:spacing w:val="-5"/>
                <w:sz w:val="18"/>
              </w:rPr>
              <w:t>2.7</w:t>
            </w:r>
          </w:p>
        </w:tc>
        <w:tc>
          <w:tcPr>
            <w:tcW w:w="1132" w:type="dxa"/>
            <w:tcBorders>
              <w:left w:val="double" w:sz="4" w:space="0" w:color="000000"/>
            </w:tcBorders>
          </w:tcPr>
          <w:p w:rsidR="000078E9" w:rsidRDefault="00BE2153">
            <w:pPr>
              <w:pStyle w:val="TableParagraph"/>
              <w:spacing w:line="186" w:lineRule="exact"/>
              <w:ind w:right="93"/>
              <w:rPr>
                <w:sz w:val="18"/>
              </w:rPr>
            </w:pPr>
            <w:r>
              <w:rPr>
                <w:spacing w:val="-2"/>
                <w:sz w:val="18"/>
              </w:rPr>
              <w:t>0.369</w:t>
            </w:r>
          </w:p>
        </w:tc>
        <w:tc>
          <w:tcPr>
            <w:tcW w:w="631" w:type="dxa"/>
          </w:tcPr>
          <w:p w:rsidR="000078E9" w:rsidRDefault="00BE2153">
            <w:pPr>
              <w:pStyle w:val="TableParagraph"/>
              <w:spacing w:line="186" w:lineRule="exact"/>
              <w:ind w:right="92"/>
              <w:rPr>
                <w:i/>
                <w:sz w:val="18"/>
              </w:rPr>
            </w:pPr>
            <w:r>
              <w:rPr>
                <w:i/>
                <w:spacing w:val="-5"/>
                <w:sz w:val="18"/>
              </w:rPr>
              <w:t>1.8</w:t>
            </w:r>
          </w:p>
        </w:tc>
      </w:tr>
      <w:tr w:rsidR="000078E9">
        <w:trPr>
          <w:trHeight w:val="208"/>
        </w:trPr>
        <w:tc>
          <w:tcPr>
            <w:tcW w:w="1368" w:type="dxa"/>
            <w:tcBorders>
              <w:right w:val="triple" w:sz="4" w:space="0" w:color="000000"/>
            </w:tcBorders>
          </w:tcPr>
          <w:p w:rsidR="000078E9" w:rsidRDefault="00BE2153">
            <w:pPr>
              <w:pStyle w:val="TableParagraph"/>
              <w:spacing w:line="188" w:lineRule="exact"/>
              <w:ind w:left="107"/>
              <w:jc w:val="left"/>
              <w:rPr>
                <w:sz w:val="18"/>
              </w:rPr>
            </w:pPr>
            <w:proofErr w:type="spellStart"/>
            <w:r>
              <w:rPr>
                <w:sz w:val="18"/>
              </w:rPr>
              <w:t>NBIR</w:t>
            </w:r>
            <w:proofErr w:type="spellEnd"/>
            <w:r>
              <w:rPr>
                <w:sz w:val="18"/>
              </w:rPr>
              <w:t>&gt;0</w:t>
            </w:r>
            <w:r>
              <w:rPr>
                <w:spacing w:val="-7"/>
                <w:sz w:val="18"/>
              </w:rPr>
              <w:t xml:space="preserve"> </w:t>
            </w:r>
            <w:r>
              <w:rPr>
                <w:spacing w:val="-2"/>
                <w:sz w:val="18"/>
              </w:rPr>
              <w:t>large</w:t>
            </w:r>
          </w:p>
        </w:tc>
        <w:tc>
          <w:tcPr>
            <w:tcW w:w="1121" w:type="dxa"/>
            <w:tcBorders>
              <w:left w:val="triple" w:sz="4" w:space="0" w:color="000000"/>
            </w:tcBorders>
          </w:tcPr>
          <w:p w:rsidR="000078E9" w:rsidRDefault="00BE2153">
            <w:pPr>
              <w:pStyle w:val="TableParagraph"/>
              <w:spacing w:line="188" w:lineRule="exact"/>
              <w:ind w:right="93"/>
              <w:rPr>
                <w:i/>
                <w:sz w:val="18"/>
              </w:rPr>
            </w:pPr>
            <w:r>
              <w:rPr>
                <w:i/>
                <w:spacing w:val="-5"/>
                <w:sz w:val="18"/>
              </w:rPr>
              <w:t>ns</w:t>
            </w:r>
          </w:p>
        </w:tc>
        <w:tc>
          <w:tcPr>
            <w:tcW w:w="631" w:type="dxa"/>
            <w:tcBorders>
              <w:right w:val="double" w:sz="4" w:space="0" w:color="000000"/>
            </w:tcBorders>
          </w:tcPr>
          <w:p w:rsidR="000078E9" w:rsidRDefault="00BE2153">
            <w:pPr>
              <w:pStyle w:val="TableParagraph"/>
              <w:spacing w:line="188" w:lineRule="exact"/>
              <w:ind w:right="88"/>
              <w:rPr>
                <w:i/>
                <w:sz w:val="18"/>
              </w:rPr>
            </w:pPr>
            <w:r>
              <w:rPr>
                <w:i/>
                <w:spacing w:val="-10"/>
                <w:sz w:val="18"/>
              </w:rPr>
              <w:t>-</w:t>
            </w:r>
          </w:p>
        </w:tc>
        <w:tc>
          <w:tcPr>
            <w:tcW w:w="1171" w:type="dxa"/>
            <w:tcBorders>
              <w:left w:val="double" w:sz="4" w:space="0" w:color="000000"/>
            </w:tcBorders>
          </w:tcPr>
          <w:p w:rsidR="000078E9" w:rsidRDefault="00BE2153">
            <w:pPr>
              <w:pStyle w:val="TableParagraph"/>
              <w:spacing w:line="188" w:lineRule="exact"/>
              <w:ind w:right="95"/>
              <w:rPr>
                <w:i/>
                <w:sz w:val="18"/>
              </w:rPr>
            </w:pPr>
            <w:r>
              <w:rPr>
                <w:i/>
                <w:spacing w:val="-5"/>
                <w:sz w:val="18"/>
              </w:rPr>
              <w:t>ns</w:t>
            </w:r>
          </w:p>
        </w:tc>
        <w:tc>
          <w:tcPr>
            <w:tcW w:w="629" w:type="dxa"/>
            <w:tcBorders>
              <w:right w:val="thinThickThinSmallGap" w:sz="24" w:space="0" w:color="000000"/>
            </w:tcBorders>
          </w:tcPr>
          <w:p w:rsidR="000078E9" w:rsidRDefault="00BE2153">
            <w:pPr>
              <w:pStyle w:val="TableParagraph"/>
              <w:spacing w:line="188" w:lineRule="exact"/>
              <w:ind w:right="37"/>
              <w:rPr>
                <w:i/>
                <w:sz w:val="18"/>
              </w:rPr>
            </w:pPr>
            <w:r>
              <w:rPr>
                <w:i/>
                <w:spacing w:val="-10"/>
                <w:sz w:val="18"/>
              </w:rPr>
              <w:t>-</w:t>
            </w:r>
          </w:p>
        </w:tc>
        <w:tc>
          <w:tcPr>
            <w:tcW w:w="1122" w:type="dxa"/>
            <w:tcBorders>
              <w:left w:val="thinThickThinSmallGap" w:sz="24" w:space="0" w:color="000000"/>
            </w:tcBorders>
          </w:tcPr>
          <w:p w:rsidR="000078E9" w:rsidRDefault="00BE2153">
            <w:pPr>
              <w:pStyle w:val="TableParagraph"/>
              <w:spacing w:line="188" w:lineRule="exact"/>
              <w:ind w:right="92"/>
              <w:rPr>
                <w:i/>
                <w:sz w:val="18"/>
              </w:rPr>
            </w:pPr>
            <w:r>
              <w:rPr>
                <w:i/>
                <w:spacing w:val="-5"/>
                <w:sz w:val="18"/>
              </w:rPr>
              <w:t>ns</w:t>
            </w:r>
          </w:p>
        </w:tc>
        <w:tc>
          <w:tcPr>
            <w:tcW w:w="628" w:type="dxa"/>
            <w:tcBorders>
              <w:right w:val="double" w:sz="4" w:space="0" w:color="000000"/>
            </w:tcBorders>
          </w:tcPr>
          <w:p w:rsidR="000078E9" w:rsidRDefault="00BE2153">
            <w:pPr>
              <w:pStyle w:val="TableParagraph"/>
              <w:spacing w:line="188" w:lineRule="exact"/>
              <w:ind w:right="82"/>
              <w:rPr>
                <w:i/>
                <w:sz w:val="18"/>
              </w:rPr>
            </w:pPr>
            <w:r>
              <w:rPr>
                <w:i/>
                <w:spacing w:val="-10"/>
                <w:sz w:val="18"/>
              </w:rPr>
              <w:t>-</w:t>
            </w:r>
          </w:p>
        </w:tc>
        <w:tc>
          <w:tcPr>
            <w:tcW w:w="1132" w:type="dxa"/>
            <w:tcBorders>
              <w:left w:val="double" w:sz="4" w:space="0" w:color="000000"/>
            </w:tcBorders>
          </w:tcPr>
          <w:p w:rsidR="000078E9" w:rsidRDefault="00BE2153">
            <w:pPr>
              <w:pStyle w:val="TableParagraph"/>
              <w:spacing w:line="188" w:lineRule="exact"/>
              <w:ind w:right="93"/>
              <w:rPr>
                <w:sz w:val="18"/>
              </w:rPr>
            </w:pPr>
            <w:r>
              <w:rPr>
                <w:spacing w:val="-2"/>
                <w:sz w:val="18"/>
              </w:rPr>
              <w:t>0.882</w:t>
            </w:r>
          </w:p>
        </w:tc>
        <w:tc>
          <w:tcPr>
            <w:tcW w:w="631" w:type="dxa"/>
          </w:tcPr>
          <w:p w:rsidR="000078E9" w:rsidRDefault="00BE2153">
            <w:pPr>
              <w:pStyle w:val="TableParagraph"/>
              <w:spacing w:line="188" w:lineRule="exact"/>
              <w:ind w:right="92"/>
              <w:rPr>
                <w:i/>
                <w:sz w:val="18"/>
              </w:rPr>
            </w:pPr>
            <w:r>
              <w:rPr>
                <w:i/>
                <w:spacing w:val="-5"/>
                <w:sz w:val="18"/>
              </w:rPr>
              <w:t>2.0</w:t>
            </w:r>
          </w:p>
        </w:tc>
      </w:tr>
      <w:tr w:rsidR="000078E9">
        <w:trPr>
          <w:trHeight w:val="205"/>
        </w:trPr>
        <w:tc>
          <w:tcPr>
            <w:tcW w:w="1368" w:type="dxa"/>
            <w:tcBorders>
              <w:right w:val="triple" w:sz="4" w:space="0" w:color="000000"/>
            </w:tcBorders>
          </w:tcPr>
          <w:p w:rsidR="000078E9" w:rsidRDefault="00BE2153">
            <w:pPr>
              <w:pStyle w:val="TableParagraph"/>
              <w:spacing w:line="186" w:lineRule="exact"/>
              <w:ind w:left="107"/>
              <w:jc w:val="left"/>
              <w:rPr>
                <w:sz w:val="18"/>
              </w:rPr>
            </w:pPr>
            <w:r>
              <w:rPr>
                <w:spacing w:val="-2"/>
                <w:sz w:val="18"/>
              </w:rPr>
              <w:t>Log(cost)</w:t>
            </w:r>
          </w:p>
        </w:tc>
        <w:tc>
          <w:tcPr>
            <w:tcW w:w="1121" w:type="dxa"/>
            <w:tcBorders>
              <w:left w:val="triple" w:sz="4" w:space="0" w:color="000000"/>
            </w:tcBorders>
          </w:tcPr>
          <w:p w:rsidR="000078E9" w:rsidRDefault="00BE2153">
            <w:pPr>
              <w:pStyle w:val="TableParagraph"/>
              <w:spacing w:line="186" w:lineRule="exact"/>
              <w:ind w:right="93"/>
              <w:rPr>
                <w:i/>
                <w:sz w:val="18"/>
              </w:rPr>
            </w:pPr>
            <w:r>
              <w:rPr>
                <w:i/>
                <w:spacing w:val="-5"/>
                <w:sz w:val="18"/>
              </w:rPr>
              <w:t>ns</w:t>
            </w:r>
          </w:p>
        </w:tc>
        <w:tc>
          <w:tcPr>
            <w:tcW w:w="631" w:type="dxa"/>
            <w:tcBorders>
              <w:right w:val="double" w:sz="4" w:space="0" w:color="000000"/>
            </w:tcBorders>
          </w:tcPr>
          <w:p w:rsidR="000078E9" w:rsidRDefault="00BE2153">
            <w:pPr>
              <w:pStyle w:val="TableParagraph"/>
              <w:spacing w:line="186" w:lineRule="exact"/>
              <w:ind w:right="88"/>
              <w:rPr>
                <w:i/>
                <w:sz w:val="18"/>
              </w:rPr>
            </w:pPr>
            <w:r>
              <w:rPr>
                <w:i/>
                <w:spacing w:val="-10"/>
                <w:sz w:val="18"/>
              </w:rPr>
              <w:t>-</w:t>
            </w:r>
          </w:p>
        </w:tc>
        <w:tc>
          <w:tcPr>
            <w:tcW w:w="1171" w:type="dxa"/>
            <w:tcBorders>
              <w:left w:val="double" w:sz="4" w:space="0" w:color="000000"/>
            </w:tcBorders>
          </w:tcPr>
          <w:p w:rsidR="000078E9" w:rsidRDefault="00BE2153">
            <w:pPr>
              <w:pStyle w:val="TableParagraph"/>
              <w:spacing w:line="186" w:lineRule="exact"/>
              <w:ind w:right="95"/>
              <w:rPr>
                <w:i/>
                <w:sz w:val="18"/>
              </w:rPr>
            </w:pPr>
            <w:r>
              <w:rPr>
                <w:i/>
                <w:spacing w:val="-5"/>
                <w:sz w:val="18"/>
              </w:rPr>
              <w:t>ns</w:t>
            </w:r>
          </w:p>
        </w:tc>
        <w:tc>
          <w:tcPr>
            <w:tcW w:w="629" w:type="dxa"/>
            <w:tcBorders>
              <w:right w:val="thinThickThinSmallGap" w:sz="24" w:space="0" w:color="000000"/>
            </w:tcBorders>
          </w:tcPr>
          <w:p w:rsidR="000078E9" w:rsidRDefault="00BE2153">
            <w:pPr>
              <w:pStyle w:val="TableParagraph"/>
              <w:spacing w:line="186" w:lineRule="exact"/>
              <w:ind w:right="37"/>
              <w:rPr>
                <w:i/>
                <w:sz w:val="18"/>
              </w:rPr>
            </w:pPr>
            <w:r>
              <w:rPr>
                <w:i/>
                <w:spacing w:val="-10"/>
                <w:sz w:val="18"/>
              </w:rPr>
              <w:t>-</w:t>
            </w:r>
          </w:p>
        </w:tc>
        <w:tc>
          <w:tcPr>
            <w:tcW w:w="1122" w:type="dxa"/>
            <w:tcBorders>
              <w:left w:val="thinThickThinSmallGap" w:sz="24" w:space="0" w:color="000000"/>
            </w:tcBorders>
          </w:tcPr>
          <w:p w:rsidR="000078E9" w:rsidRDefault="00BE2153">
            <w:pPr>
              <w:pStyle w:val="TableParagraph"/>
              <w:spacing w:line="186" w:lineRule="exact"/>
              <w:ind w:right="92"/>
              <w:rPr>
                <w:sz w:val="18"/>
              </w:rPr>
            </w:pPr>
            <w:r>
              <w:rPr>
                <w:spacing w:val="-2"/>
                <w:sz w:val="18"/>
              </w:rPr>
              <w:t>1.163</w:t>
            </w:r>
          </w:p>
        </w:tc>
        <w:tc>
          <w:tcPr>
            <w:tcW w:w="628" w:type="dxa"/>
            <w:tcBorders>
              <w:right w:val="double" w:sz="4" w:space="0" w:color="000000"/>
            </w:tcBorders>
          </w:tcPr>
          <w:p w:rsidR="000078E9" w:rsidRDefault="00BE2153">
            <w:pPr>
              <w:pStyle w:val="TableParagraph"/>
              <w:spacing w:line="186" w:lineRule="exact"/>
              <w:ind w:right="81"/>
              <w:rPr>
                <w:i/>
                <w:sz w:val="18"/>
              </w:rPr>
            </w:pPr>
            <w:r>
              <w:rPr>
                <w:i/>
                <w:spacing w:val="-5"/>
                <w:sz w:val="18"/>
              </w:rPr>
              <w:t>5.0</w:t>
            </w:r>
          </w:p>
        </w:tc>
        <w:tc>
          <w:tcPr>
            <w:tcW w:w="1132" w:type="dxa"/>
            <w:tcBorders>
              <w:left w:val="double" w:sz="4" w:space="0" w:color="000000"/>
            </w:tcBorders>
          </w:tcPr>
          <w:p w:rsidR="000078E9" w:rsidRDefault="00BE2153">
            <w:pPr>
              <w:pStyle w:val="TableParagraph"/>
              <w:spacing w:line="186" w:lineRule="exact"/>
              <w:ind w:right="92"/>
              <w:rPr>
                <w:i/>
                <w:sz w:val="18"/>
              </w:rPr>
            </w:pPr>
            <w:r>
              <w:rPr>
                <w:i/>
                <w:spacing w:val="-5"/>
                <w:sz w:val="18"/>
              </w:rPr>
              <w:t>ns</w:t>
            </w:r>
          </w:p>
        </w:tc>
        <w:tc>
          <w:tcPr>
            <w:tcW w:w="631" w:type="dxa"/>
          </w:tcPr>
          <w:p w:rsidR="000078E9" w:rsidRDefault="00BE2153">
            <w:pPr>
              <w:pStyle w:val="TableParagraph"/>
              <w:spacing w:line="186" w:lineRule="exact"/>
              <w:ind w:right="93"/>
              <w:rPr>
                <w:i/>
                <w:sz w:val="18"/>
              </w:rPr>
            </w:pPr>
            <w:r>
              <w:rPr>
                <w:i/>
                <w:spacing w:val="-10"/>
                <w:sz w:val="18"/>
              </w:rPr>
              <w:t>-</w:t>
            </w:r>
          </w:p>
        </w:tc>
      </w:tr>
      <w:tr w:rsidR="000078E9">
        <w:trPr>
          <w:trHeight w:val="206"/>
        </w:trPr>
        <w:tc>
          <w:tcPr>
            <w:tcW w:w="1368" w:type="dxa"/>
            <w:tcBorders>
              <w:right w:val="triple" w:sz="4" w:space="0" w:color="000000"/>
            </w:tcBorders>
          </w:tcPr>
          <w:p w:rsidR="000078E9" w:rsidRDefault="00BE2153">
            <w:pPr>
              <w:pStyle w:val="TableParagraph"/>
              <w:spacing w:line="186" w:lineRule="exact"/>
              <w:ind w:left="107"/>
              <w:jc w:val="left"/>
              <w:rPr>
                <w:sz w:val="18"/>
              </w:rPr>
            </w:pPr>
            <w:r>
              <w:rPr>
                <w:spacing w:val="-2"/>
                <w:sz w:val="18"/>
              </w:rPr>
              <w:t>Safety/acc.</w:t>
            </w:r>
          </w:p>
        </w:tc>
        <w:tc>
          <w:tcPr>
            <w:tcW w:w="1121" w:type="dxa"/>
            <w:tcBorders>
              <w:left w:val="triple" w:sz="4" w:space="0" w:color="000000"/>
            </w:tcBorders>
          </w:tcPr>
          <w:p w:rsidR="000078E9" w:rsidRDefault="00BE2153">
            <w:pPr>
              <w:pStyle w:val="TableParagraph"/>
              <w:spacing w:line="186" w:lineRule="exact"/>
              <w:ind w:right="93"/>
              <w:rPr>
                <w:i/>
                <w:sz w:val="18"/>
              </w:rPr>
            </w:pPr>
            <w:r>
              <w:rPr>
                <w:i/>
                <w:spacing w:val="-5"/>
                <w:sz w:val="18"/>
              </w:rPr>
              <w:t>ns</w:t>
            </w:r>
          </w:p>
        </w:tc>
        <w:tc>
          <w:tcPr>
            <w:tcW w:w="631" w:type="dxa"/>
            <w:tcBorders>
              <w:right w:val="double" w:sz="4" w:space="0" w:color="000000"/>
            </w:tcBorders>
          </w:tcPr>
          <w:p w:rsidR="000078E9" w:rsidRDefault="00BE2153">
            <w:pPr>
              <w:pStyle w:val="TableParagraph"/>
              <w:spacing w:line="186" w:lineRule="exact"/>
              <w:ind w:right="88"/>
              <w:rPr>
                <w:i/>
                <w:sz w:val="18"/>
              </w:rPr>
            </w:pPr>
            <w:r>
              <w:rPr>
                <w:i/>
                <w:spacing w:val="-10"/>
                <w:sz w:val="18"/>
              </w:rPr>
              <w:t>-</w:t>
            </w:r>
          </w:p>
        </w:tc>
        <w:tc>
          <w:tcPr>
            <w:tcW w:w="1171" w:type="dxa"/>
            <w:tcBorders>
              <w:left w:val="double" w:sz="4" w:space="0" w:color="000000"/>
            </w:tcBorders>
          </w:tcPr>
          <w:p w:rsidR="000078E9" w:rsidRDefault="00BE2153">
            <w:pPr>
              <w:pStyle w:val="TableParagraph"/>
              <w:spacing w:line="186" w:lineRule="exact"/>
              <w:ind w:right="95"/>
              <w:rPr>
                <w:i/>
                <w:sz w:val="18"/>
              </w:rPr>
            </w:pPr>
            <w:r>
              <w:rPr>
                <w:i/>
                <w:spacing w:val="-5"/>
                <w:sz w:val="18"/>
              </w:rPr>
              <w:t>ns</w:t>
            </w:r>
          </w:p>
        </w:tc>
        <w:tc>
          <w:tcPr>
            <w:tcW w:w="629" w:type="dxa"/>
            <w:tcBorders>
              <w:right w:val="thinThickThinSmallGap" w:sz="24" w:space="0" w:color="000000"/>
            </w:tcBorders>
          </w:tcPr>
          <w:p w:rsidR="000078E9" w:rsidRDefault="00BE2153">
            <w:pPr>
              <w:pStyle w:val="TableParagraph"/>
              <w:spacing w:line="186" w:lineRule="exact"/>
              <w:ind w:right="37"/>
              <w:rPr>
                <w:i/>
                <w:sz w:val="18"/>
              </w:rPr>
            </w:pPr>
            <w:r>
              <w:rPr>
                <w:i/>
                <w:spacing w:val="-10"/>
                <w:sz w:val="18"/>
              </w:rPr>
              <w:t>-</w:t>
            </w:r>
          </w:p>
        </w:tc>
        <w:tc>
          <w:tcPr>
            <w:tcW w:w="1122" w:type="dxa"/>
            <w:tcBorders>
              <w:left w:val="thinThickThinSmallGap" w:sz="24" w:space="0" w:color="000000"/>
            </w:tcBorders>
          </w:tcPr>
          <w:p w:rsidR="000078E9" w:rsidRDefault="00BE2153">
            <w:pPr>
              <w:pStyle w:val="TableParagraph"/>
              <w:spacing w:line="186" w:lineRule="exact"/>
              <w:ind w:right="92"/>
              <w:rPr>
                <w:sz w:val="18"/>
              </w:rPr>
            </w:pPr>
            <w:r>
              <w:rPr>
                <w:spacing w:val="-2"/>
                <w:sz w:val="18"/>
              </w:rPr>
              <w:t>-0.086</w:t>
            </w:r>
          </w:p>
        </w:tc>
        <w:tc>
          <w:tcPr>
            <w:tcW w:w="628" w:type="dxa"/>
            <w:tcBorders>
              <w:right w:val="double" w:sz="4" w:space="0" w:color="000000"/>
            </w:tcBorders>
          </w:tcPr>
          <w:p w:rsidR="000078E9" w:rsidRDefault="00BE2153">
            <w:pPr>
              <w:pStyle w:val="TableParagraph"/>
              <w:spacing w:line="186" w:lineRule="exact"/>
              <w:ind w:right="81"/>
              <w:rPr>
                <w:i/>
                <w:sz w:val="18"/>
              </w:rPr>
            </w:pPr>
            <w:r>
              <w:rPr>
                <w:i/>
                <w:sz w:val="18"/>
              </w:rPr>
              <w:t>-</w:t>
            </w:r>
            <w:r>
              <w:rPr>
                <w:i/>
                <w:spacing w:val="-5"/>
                <w:sz w:val="18"/>
              </w:rPr>
              <w:t>2.0</w:t>
            </w:r>
          </w:p>
        </w:tc>
        <w:tc>
          <w:tcPr>
            <w:tcW w:w="1132" w:type="dxa"/>
            <w:tcBorders>
              <w:left w:val="double" w:sz="4" w:space="0" w:color="000000"/>
            </w:tcBorders>
          </w:tcPr>
          <w:p w:rsidR="000078E9" w:rsidRDefault="00BE2153">
            <w:pPr>
              <w:pStyle w:val="TableParagraph"/>
              <w:spacing w:line="186" w:lineRule="exact"/>
              <w:ind w:right="92"/>
              <w:rPr>
                <w:i/>
                <w:sz w:val="18"/>
              </w:rPr>
            </w:pPr>
            <w:r>
              <w:rPr>
                <w:i/>
                <w:spacing w:val="-5"/>
                <w:sz w:val="18"/>
              </w:rPr>
              <w:t>ns</w:t>
            </w:r>
          </w:p>
        </w:tc>
        <w:tc>
          <w:tcPr>
            <w:tcW w:w="631" w:type="dxa"/>
          </w:tcPr>
          <w:p w:rsidR="000078E9" w:rsidRDefault="00BE2153">
            <w:pPr>
              <w:pStyle w:val="TableParagraph"/>
              <w:spacing w:line="186" w:lineRule="exact"/>
              <w:ind w:right="93"/>
              <w:rPr>
                <w:i/>
                <w:sz w:val="18"/>
              </w:rPr>
            </w:pPr>
            <w:r>
              <w:rPr>
                <w:i/>
                <w:spacing w:val="-10"/>
                <w:sz w:val="18"/>
              </w:rPr>
              <w:t>-</w:t>
            </w:r>
          </w:p>
        </w:tc>
      </w:tr>
      <w:tr w:rsidR="000078E9">
        <w:trPr>
          <w:trHeight w:val="208"/>
        </w:trPr>
        <w:tc>
          <w:tcPr>
            <w:tcW w:w="1368" w:type="dxa"/>
            <w:tcBorders>
              <w:right w:val="triple" w:sz="4" w:space="0" w:color="000000"/>
            </w:tcBorders>
          </w:tcPr>
          <w:p w:rsidR="000078E9" w:rsidRDefault="00BE2153">
            <w:pPr>
              <w:pStyle w:val="TableParagraph"/>
              <w:spacing w:before="1" w:line="187" w:lineRule="exact"/>
              <w:ind w:left="107"/>
              <w:jc w:val="left"/>
              <w:rPr>
                <w:sz w:val="18"/>
              </w:rPr>
            </w:pPr>
            <w:proofErr w:type="spellStart"/>
            <w:r>
              <w:rPr>
                <w:sz w:val="18"/>
              </w:rPr>
              <w:t>Const</w:t>
            </w:r>
            <w:proofErr w:type="spellEnd"/>
            <w:r>
              <w:rPr>
                <w:spacing w:val="-9"/>
                <w:sz w:val="18"/>
              </w:rPr>
              <w:t xml:space="preserve"> </w:t>
            </w:r>
            <w:r>
              <w:rPr>
                <w:spacing w:val="-2"/>
                <w:sz w:val="18"/>
              </w:rPr>
              <w:t>small</w:t>
            </w:r>
          </w:p>
        </w:tc>
        <w:tc>
          <w:tcPr>
            <w:tcW w:w="1121" w:type="dxa"/>
            <w:tcBorders>
              <w:left w:val="triple" w:sz="4" w:space="0" w:color="000000"/>
            </w:tcBorders>
          </w:tcPr>
          <w:p w:rsidR="000078E9" w:rsidRDefault="00BE2153">
            <w:pPr>
              <w:pStyle w:val="TableParagraph"/>
              <w:spacing w:before="1" w:line="187" w:lineRule="exact"/>
              <w:ind w:right="94"/>
              <w:rPr>
                <w:sz w:val="18"/>
              </w:rPr>
            </w:pPr>
            <w:r>
              <w:rPr>
                <w:spacing w:val="-2"/>
                <w:sz w:val="18"/>
              </w:rPr>
              <w:t>1.946</w:t>
            </w:r>
          </w:p>
        </w:tc>
        <w:tc>
          <w:tcPr>
            <w:tcW w:w="631" w:type="dxa"/>
            <w:tcBorders>
              <w:right w:val="double" w:sz="4" w:space="0" w:color="000000"/>
            </w:tcBorders>
          </w:tcPr>
          <w:p w:rsidR="000078E9" w:rsidRDefault="00BE2153">
            <w:pPr>
              <w:pStyle w:val="TableParagraph"/>
              <w:spacing w:line="188" w:lineRule="exact"/>
              <w:ind w:right="86"/>
              <w:rPr>
                <w:i/>
                <w:sz w:val="18"/>
              </w:rPr>
            </w:pPr>
            <w:r>
              <w:rPr>
                <w:i/>
                <w:spacing w:val="-5"/>
                <w:sz w:val="18"/>
              </w:rPr>
              <w:t>1.1</w:t>
            </w:r>
          </w:p>
        </w:tc>
        <w:tc>
          <w:tcPr>
            <w:tcW w:w="1171" w:type="dxa"/>
            <w:tcBorders>
              <w:left w:val="double" w:sz="4" w:space="0" w:color="000000"/>
            </w:tcBorders>
          </w:tcPr>
          <w:p w:rsidR="000078E9" w:rsidRDefault="00BE2153">
            <w:pPr>
              <w:pStyle w:val="TableParagraph"/>
              <w:spacing w:before="1" w:line="187" w:lineRule="exact"/>
              <w:ind w:right="96"/>
              <w:rPr>
                <w:sz w:val="18"/>
              </w:rPr>
            </w:pPr>
            <w:r>
              <w:rPr>
                <w:spacing w:val="-2"/>
                <w:sz w:val="18"/>
              </w:rPr>
              <w:t>1.968</w:t>
            </w:r>
          </w:p>
        </w:tc>
        <w:tc>
          <w:tcPr>
            <w:tcW w:w="629" w:type="dxa"/>
            <w:tcBorders>
              <w:right w:val="thinThickThinSmallGap" w:sz="24" w:space="0" w:color="000000"/>
            </w:tcBorders>
          </w:tcPr>
          <w:p w:rsidR="000078E9" w:rsidRDefault="00BE2153">
            <w:pPr>
              <w:pStyle w:val="TableParagraph"/>
              <w:spacing w:line="188" w:lineRule="exact"/>
              <w:ind w:right="36"/>
              <w:rPr>
                <w:i/>
                <w:sz w:val="18"/>
              </w:rPr>
            </w:pPr>
            <w:r>
              <w:rPr>
                <w:i/>
                <w:spacing w:val="-5"/>
                <w:sz w:val="18"/>
              </w:rPr>
              <w:t>5.1</w:t>
            </w:r>
          </w:p>
        </w:tc>
        <w:tc>
          <w:tcPr>
            <w:tcW w:w="1122" w:type="dxa"/>
            <w:tcBorders>
              <w:left w:val="thinThickThinSmallGap" w:sz="24" w:space="0" w:color="000000"/>
            </w:tcBorders>
          </w:tcPr>
          <w:p w:rsidR="000078E9" w:rsidRDefault="00BE2153">
            <w:pPr>
              <w:pStyle w:val="TableParagraph"/>
              <w:spacing w:before="1" w:line="187" w:lineRule="exact"/>
              <w:ind w:right="92"/>
              <w:rPr>
                <w:sz w:val="18"/>
              </w:rPr>
            </w:pPr>
            <w:r>
              <w:rPr>
                <w:spacing w:val="-2"/>
                <w:sz w:val="18"/>
              </w:rPr>
              <w:t>8.060</w:t>
            </w:r>
          </w:p>
        </w:tc>
        <w:tc>
          <w:tcPr>
            <w:tcW w:w="628" w:type="dxa"/>
            <w:tcBorders>
              <w:right w:val="double" w:sz="4" w:space="0" w:color="000000"/>
            </w:tcBorders>
          </w:tcPr>
          <w:p w:rsidR="000078E9" w:rsidRDefault="00BE2153">
            <w:pPr>
              <w:pStyle w:val="TableParagraph"/>
              <w:spacing w:line="188" w:lineRule="exact"/>
              <w:ind w:right="81"/>
              <w:rPr>
                <w:i/>
                <w:sz w:val="18"/>
              </w:rPr>
            </w:pPr>
            <w:r>
              <w:rPr>
                <w:i/>
                <w:spacing w:val="-5"/>
                <w:sz w:val="18"/>
              </w:rPr>
              <w:t>5.7</w:t>
            </w:r>
          </w:p>
        </w:tc>
        <w:tc>
          <w:tcPr>
            <w:tcW w:w="1132" w:type="dxa"/>
            <w:tcBorders>
              <w:left w:val="double" w:sz="4" w:space="0" w:color="000000"/>
            </w:tcBorders>
          </w:tcPr>
          <w:p w:rsidR="000078E9" w:rsidRDefault="00BE2153">
            <w:pPr>
              <w:pStyle w:val="TableParagraph"/>
              <w:spacing w:before="1" w:line="187" w:lineRule="exact"/>
              <w:ind w:right="93"/>
              <w:rPr>
                <w:sz w:val="18"/>
              </w:rPr>
            </w:pPr>
            <w:r>
              <w:rPr>
                <w:spacing w:val="-2"/>
                <w:sz w:val="18"/>
              </w:rPr>
              <w:t>1.206</w:t>
            </w:r>
          </w:p>
        </w:tc>
        <w:tc>
          <w:tcPr>
            <w:tcW w:w="631" w:type="dxa"/>
          </w:tcPr>
          <w:p w:rsidR="000078E9" w:rsidRDefault="00BE2153">
            <w:pPr>
              <w:pStyle w:val="TableParagraph"/>
              <w:spacing w:line="188" w:lineRule="exact"/>
              <w:ind w:right="92"/>
              <w:rPr>
                <w:i/>
                <w:sz w:val="18"/>
              </w:rPr>
            </w:pPr>
            <w:r>
              <w:rPr>
                <w:i/>
                <w:spacing w:val="-5"/>
                <w:sz w:val="18"/>
              </w:rPr>
              <w:t>4.0</w:t>
            </w:r>
          </w:p>
        </w:tc>
      </w:tr>
      <w:tr w:rsidR="000078E9">
        <w:trPr>
          <w:trHeight w:val="206"/>
        </w:trPr>
        <w:tc>
          <w:tcPr>
            <w:tcW w:w="1368" w:type="dxa"/>
            <w:tcBorders>
              <w:right w:val="triple" w:sz="4" w:space="0" w:color="000000"/>
            </w:tcBorders>
          </w:tcPr>
          <w:p w:rsidR="000078E9" w:rsidRDefault="00BE2153">
            <w:pPr>
              <w:pStyle w:val="TableParagraph"/>
              <w:spacing w:line="186" w:lineRule="exact"/>
              <w:ind w:left="107"/>
              <w:jc w:val="left"/>
              <w:rPr>
                <w:sz w:val="18"/>
              </w:rPr>
            </w:pPr>
            <w:proofErr w:type="spellStart"/>
            <w:r>
              <w:rPr>
                <w:sz w:val="18"/>
              </w:rPr>
              <w:t>Const</w:t>
            </w:r>
            <w:proofErr w:type="spellEnd"/>
            <w:r>
              <w:rPr>
                <w:spacing w:val="-9"/>
                <w:sz w:val="18"/>
              </w:rPr>
              <w:t xml:space="preserve"> </w:t>
            </w:r>
            <w:r>
              <w:rPr>
                <w:spacing w:val="-2"/>
                <w:sz w:val="18"/>
              </w:rPr>
              <w:t>large</w:t>
            </w:r>
          </w:p>
        </w:tc>
        <w:tc>
          <w:tcPr>
            <w:tcW w:w="1121" w:type="dxa"/>
            <w:tcBorders>
              <w:left w:val="triple" w:sz="4" w:space="0" w:color="000000"/>
            </w:tcBorders>
          </w:tcPr>
          <w:p w:rsidR="000078E9" w:rsidRDefault="00BE2153">
            <w:pPr>
              <w:pStyle w:val="TableParagraph"/>
              <w:spacing w:line="186" w:lineRule="exact"/>
              <w:ind w:right="94"/>
              <w:rPr>
                <w:sz w:val="18"/>
              </w:rPr>
            </w:pPr>
            <w:r>
              <w:rPr>
                <w:spacing w:val="-2"/>
                <w:sz w:val="18"/>
              </w:rPr>
              <w:t>1.341</w:t>
            </w:r>
          </w:p>
        </w:tc>
        <w:tc>
          <w:tcPr>
            <w:tcW w:w="631" w:type="dxa"/>
            <w:tcBorders>
              <w:right w:val="double" w:sz="4" w:space="0" w:color="000000"/>
            </w:tcBorders>
          </w:tcPr>
          <w:p w:rsidR="000078E9" w:rsidRDefault="00BE2153">
            <w:pPr>
              <w:pStyle w:val="TableParagraph"/>
              <w:spacing w:line="186" w:lineRule="exact"/>
              <w:ind w:right="86"/>
              <w:rPr>
                <w:i/>
                <w:sz w:val="18"/>
              </w:rPr>
            </w:pPr>
            <w:r>
              <w:rPr>
                <w:i/>
                <w:spacing w:val="-5"/>
                <w:sz w:val="18"/>
              </w:rPr>
              <w:t>1.0</w:t>
            </w:r>
          </w:p>
        </w:tc>
        <w:tc>
          <w:tcPr>
            <w:tcW w:w="1171" w:type="dxa"/>
            <w:tcBorders>
              <w:left w:val="double" w:sz="4" w:space="0" w:color="000000"/>
            </w:tcBorders>
          </w:tcPr>
          <w:p w:rsidR="000078E9" w:rsidRDefault="00BE2153">
            <w:pPr>
              <w:pStyle w:val="TableParagraph"/>
              <w:spacing w:line="186" w:lineRule="exact"/>
              <w:ind w:right="96"/>
              <w:rPr>
                <w:sz w:val="18"/>
              </w:rPr>
            </w:pPr>
            <w:r>
              <w:rPr>
                <w:spacing w:val="-2"/>
                <w:sz w:val="18"/>
              </w:rPr>
              <w:t>1.687</w:t>
            </w:r>
          </w:p>
        </w:tc>
        <w:tc>
          <w:tcPr>
            <w:tcW w:w="629" w:type="dxa"/>
            <w:tcBorders>
              <w:right w:val="thinThickThinSmallGap" w:sz="24" w:space="0" w:color="000000"/>
            </w:tcBorders>
          </w:tcPr>
          <w:p w:rsidR="000078E9" w:rsidRDefault="00BE2153">
            <w:pPr>
              <w:pStyle w:val="TableParagraph"/>
              <w:spacing w:line="186" w:lineRule="exact"/>
              <w:ind w:right="36"/>
              <w:rPr>
                <w:i/>
                <w:sz w:val="18"/>
              </w:rPr>
            </w:pPr>
            <w:r>
              <w:rPr>
                <w:i/>
                <w:spacing w:val="-5"/>
                <w:sz w:val="18"/>
              </w:rPr>
              <w:t>2.5</w:t>
            </w:r>
          </w:p>
        </w:tc>
        <w:tc>
          <w:tcPr>
            <w:tcW w:w="1122" w:type="dxa"/>
            <w:tcBorders>
              <w:left w:val="thinThickThinSmallGap" w:sz="24" w:space="0" w:color="000000"/>
            </w:tcBorders>
          </w:tcPr>
          <w:p w:rsidR="000078E9" w:rsidRDefault="00BE2153">
            <w:pPr>
              <w:pStyle w:val="TableParagraph"/>
              <w:spacing w:line="186" w:lineRule="exact"/>
              <w:ind w:right="92"/>
              <w:rPr>
                <w:sz w:val="18"/>
              </w:rPr>
            </w:pPr>
            <w:r>
              <w:rPr>
                <w:spacing w:val="-2"/>
                <w:sz w:val="18"/>
              </w:rPr>
              <w:t>7.921</w:t>
            </w:r>
          </w:p>
        </w:tc>
        <w:tc>
          <w:tcPr>
            <w:tcW w:w="628" w:type="dxa"/>
            <w:tcBorders>
              <w:right w:val="double" w:sz="4" w:space="0" w:color="000000"/>
            </w:tcBorders>
          </w:tcPr>
          <w:p w:rsidR="000078E9" w:rsidRDefault="00BE2153">
            <w:pPr>
              <w:pStyle w:val="TableParagraph"/>
              <w:spacing w:line="186" w:lineRule="exact"/>
              <w:ind w:right="81"/>
              <w:rPr>
                <w:i/>
                <w:sz w:val="18"/>
              </w:rPr>
            </w:pPr>
            <w:r>
              <w:rPr>
                <w:i/>
                <w:spacing w:val="-5"/>
                <w:sz w:val="18"/>
              </w:rPr>
              <w:t>7.1</w:t>
            </w:r>
          </w:p>
        </w:tc>
        <w:tc>
          <w:tcPr>
            <w:tcW w:w="1132" w:type="dxa"/>
            <w:tcBorders>
              <w:left w:val="double" w:sz="4" w:space="0" w:color="000000"/>
            </w:tcBorders>
          </w:tcPr>
          <w:p w:rsidR="000078E9" w:rsidRDefault="00BE2153">
            <w:pPr>
              <w:pStyle w:val="TableParagraph"/>
              <w:spacing w:line="186" w:lineRule="exact"/>
              <w:ind w:right="93"/>
              <w:rPr>
                <w:sz w:val="18"/>
              </w:rPr>
            </w:pPr>
            <w:r>
              <w:rPr>
                <w:spacing w:val="-2"/>
                <w:sz w:val="18"/>
              </w:rPr>
              <w:t>1.292</w:t>
            </w:r>
          </w:p>
        </w:tc>
        <w:tc>
          <w:tcPr>
            <w:tcW w:w="631" w:type="dxa"/>
          </w:tcPr>
          <w:p w:rsidR="000078E9" w:rsidRDefault="00BE2153">
            <w:pPr>
              <w:pStyle w:val="TableParagraph"/>
              <w:spacing w:line="186" w:lineRule="exact"/>
              <w:ind w:right="92"/>
              <w:rPr>
                <w:i/>
                <w:sz w:val="18"/>
              </w:rPr>
            </w:pPr>
            <w:r>
              <w:rPr>
                <w:i/>
                <w:spacing w:val="-5"/>
                <w:sz w:val="18"/>
              </w:rPr>
              <w:t>5.5</w:t>
            </w:r>
          </w:p>
        </w:tc>
      </w:tr>
    </w:tbl>
    <w:p w:rsidR="000078E9" w:rsidRDefault="000078E9">
      <w:pPr>
        <w:pStyle w:val="BodyText"/>
        <w:spacing w:before="24"/>
        <w:rPr>
          <w:b/>
          <w:sz w:val="18"/>
        </w:rPr>
      </w:pPr>
    </w:p>
    <w:p w:rsidR="000078E9" w:rsidRDefault="00BE2153">
      <w:pPr>
        <w:pStyle w:val="BodyText"/>
        <w:spacing w:before="1" w:line="300" w:lineRule="auto"/>
        <w:ind w:left="678" w:right="131"/>
        <w:jc w:val="both"/>
      </w:pPr>
      <w:r>
        <w:t xml:space="preserve">For the Norwegian project selection, we were unable to find any specification that revealed any influence of </w:t>
      </w:r>
      <w:proofErr w:type="spellStart"/>
      <w:r>
        <w:t>NBIR</w:t>
      </w:r>
      <w:proofErr w:type="spellEnd"/>
      <w:r>
        <w:t xml:space="preserve"> on project selection. In fact, we were unable to find any project characteristic at all with a significant impact on project selection, neither the government’s selection, nor the administration’s. We</w:t>
      </w:r>
      <w:r>
        <w:rPr>
          <w:spacing w:val="-2"/>
        </w:rPr>
        <w:t xml:space="preserve"> </w:t>
      </w:r>
      <w:r>
        <w:t xml:space="preserve">tried different specifications involving accessibility benefits for person trips and freight respectively, safety benefits, maintenance costs, investment costs and traffic levels, but none of them, nor any combination of them was significant. For example, neither the ratio of investment cost to traffic (i.e. spending per </w:t>
      </w:r>
      <w:proofErr w:type="spellStart"/>
      <w:r>
        <w:t>traveller</w:t>
      </w:r>
      <w:proofErr w:type="spellEnd"/>
      <w:r>
        <w:t xml:space="preserve">), nor the ratio of benefits to traffic volume (the absolute improvement per </w:t>
      </w:r>
      <w:proofErr w:type="spellStart"/>
      <w:r>
        <w:t>traveller</w:t>
      </w:r>
      <w:proofErr w:type="spellEnd"/>
      <w:r>
        <w:t>) were significantly correlated with project selection. Neither were any of the different kinds of benefits, nor the ratio of different benefit types to each other, nor project cost alone, nor total benefits, nor total net benefits. Hence, we can only conclude that project selection in Norway is apparently decided by processes and considerations unrelated to any documented investment characteristics we have access to.</w:t>
      </w:r>
    </w:p>
    <w:p w:rsidR="000078E9" w:rsidRDefault="00BE2153">
      <w:pPr>
        <w:pStyle w:val="BodyText"/>
        <w:spacing w:before="240" w:line="300" w:lineRule="auto"/>
        <w:ind w:left="678" w:right="130"/>
        <w:jc w:val="both"/>
      </w:pPr>
      <w:r w:rsidRPr="00B024DF">
        <w:rPr>
          <w:highlight w:val="yellow"/>
        </w:rPr>
        <w:t xml:space="preserve">The analysis of the Swedish government’s project selection reveals that the government primarily selects large projects. This makes intuitive sense: the larger the project is, the greater is usually the political interest. Surprisingly, there is no such tendency in Norway: the Norwegian government is just as likely to select small projects as big ones. The </w:t>
      </w:r>
      <w:proofErr w:type="spellStart"/>
      <w:r w:rsidRPr="00B024DF">
        <w:rPr>
          <w:highlight w:val="yellow"/>
        </w:rPr>
        <w:t>NBIR</w:t>
      </w:r>
      <w:proofErr w:type="spellEnd"/>
      <w:r w:rsidRPr="00B024DF">
        <w:rPr>
          <w:highlight w:val="yellow"/>
        </w:rPr>
        <w:t xml:space="preserve"> does not seem to influence the Swedish government’s selection for large projects. For small projects, however, the government selection probability increases if the </w:t>
      </w:r>
      <w:proofErr w:type="spellStart"/>
      <w:r w:rsidRPr="00B024DF">
        <w:rPr>
          <w:highlight w:val="yellow"/>
        </w:rPr>
        <w:t>NBIR</w:t>
      </w:r>
      <w:proofErr w:type="spellEnd"/>
      <w:r w:rsidRPr="00B024DF">
        <w:rPr>
          <w:highlight w:val="yellow"/>
        </w:rPr>
        <w:t xml:space="preserve"> is</w:t>
      </w:r>
      <w:r w:rsidRPr="00B024DF">
        <w:rPr>
          <w:spacing w:val="18"/>
          <w:highlight w:val="yellow"/>
        </w:rPr>
        <w:t xml:space="preserve"> </w:t>
      </w:r>
      <w:r w:rsidRPr="00B024DF">
        <w:rPr>
          <w:highlight w:val="yellow"/>
        </w:rPr>
        <w:t>positive.</w:t>
      </w:r>
      <w:r w:rsidRPr="00B024DF">
        <w:rPr>
          <w:spacing w:val="20"/>
          <w:highlight w:val="yellow"/>
        </w:rPr>
        <w:t xml:space="preserve"> </w:t>
      </w:r>
      <w:r w:rsidRPr="00B024DF">
        <w:rPr>
          <w:highlight w:val="yellow"/>
        </w:rPr>
        <w:t>Finally,</w:t>
      </w:r>
      <w:r w:rsidRPr="00B024DF">
        <w:rPr>
          <w:spacing w:val="19"/>
          <w:highlight w:val="yellow"/>
        </w:rPr>
        <w:t xml:space="preserve"> </w:t>
      </w:r>
      <w:r w:rsidRPr="00B024DF">
        <w:rPr>
          <w:highlight w:val="yellow"/>
        </w:rPr>
        <w:t>the</w:t>
      </w:r>
      <w:r w:rsidRPr="00B024DF">
        <w:rPr>
          <w:spacing w:val="20"/>
          <w:highlight w:val="yellow"/>
        </w:rPr>
        <w:t xml:space="preserve"> </w:t>
      </w:r>
      <w:r w:rsidRPr="00B024DF">
        <w:rPr>
          <w:highlight w:val="yellow"/>
        </w:rPr>
        <w:t>government</w:t>
      </w:r>
      <w:r w:rsidRPr="00B024DF">
        <w:rPr>
          <w:spacing w:val="19"/>
          <w:highlight w:val="yellow"/>
        </w:rPr>
        <w:t xml:space="preserve"> </w:t>
      </w:r>
      <w:r w:rsidRPr="00B024DF">
        <w:rPr>
          <w:highlight w:val="yellow"/>
        </w:rPr>
        <w:t>shows</w:t>
      </w:r>
      <w:r w:rsidRPr="00B024DF">
        <w:rPr>
          <w:spacing w:val="18"/>
          <w:highlight w:val="yellow"/>
        </w:rPr>
        <w:t xml:space="preserve"> </w:t>
      </w:r>
      <w:r w:rsidRPr="00B024DF">
        <w:rPr>
          <w:highlight w:val="yellow"/>
        </w:rPr>
        <w:t>a</w:t>
      </w:r>
      <w:r w:rsidRPr="00B024DF">
        <w:rPr>
          <w:spacing w:val="19"/>
          <w:highlight w:val="yellow"/>
        </w:rPr>
        <w:t xml:space="preserve"> </w:t>
      </w:r>
      <w:r w:rsidRPr="00B024DF">
        <w:rPr>
          <w:highlight w:val="yellow"/>
        </w:rPr>
        <w:t>tendency</w:t>
      </w:r>
      <w:r w:rsidRPr="00B024DF">
        <w:rPr>
          <w:spacing w:val="16"/>
          <w:highlight w:val="yellow"/>
        </w:rPr>
        <w:t xml:space="preserve"> </w:t>
      </w:r>
      <w:r w:rsidRPr="00B024DF">
        <w:rPr>
          <w:highlight w:val="yellow"/>
        </w:rPr>
        <w:t>to</w:t>
      </w:r>
      <w:r w:rsidRPr="00B024DF">
        <w:rPr>
          <w:spacing w:val="25"/>
          <w:highlight w:val="yellow"/>
        </w:rPr>
        <w:t xml:space="preserve"> </w:t>
      </w:r>
      <w:r w:rsidRPr="00B024DF">
        <w:rPr>
          <w:highlight w:val="yellow"/>
        </w:rPr>
        <w:t>put</w:t>
      </w:r>
      <w:r w:rsidRPr="00B024DF">
        <w:rPr>
          <w:spacing w:val="19"/>
          <w:highlight w:val="yellow"/>
        </w:rPr>
        <w:t xml:space="preserve"> </w:t>
      </w:r>
      <w:r w:rsidRPr="00B024DF">
        <w:rPr>
          <w:highlight w:val="yellow"/>
        </w:rPr>
        <w:t>more</w:t>
      </w:r>
      <w:r w:rsidRPr="00B024DF">
        <w:rPr>
          <w:spacing w:val="19"/>
          <w:highlight w:val="yellow"/>
        </w:rPr>
        <w:t xml:space="preserve"> </w:t>
      </w:r>
      <w:r w:rsidRPr="00B024DF">
        <w:rPr>
          <w:highlight w:val="yellow"/>
        </w:rPr>
        <w:t>weight</w:t>
      </w:r>
      <w:r w:rsidRPr="00B024DF">
        <w:rPr>
          <w:spacing w:val="19"/>
          <w:highlight w:val="yellow"/>
        </w:rPr>
        <w:t xml:space="preserve"> </w:t>
      </w:r>
      <w:r w:rsidRPr="00B024DF">
        <w:rPr>
          <w:highlight w:val="yellow"/>
        </w:rPr>
        <w:t>on</w:t>
      </w:r>
    </w:p>
    <w:p w:rsidR="000078E9" w:rsidRDefault="000078E9">
      <w:pPr>
        <w:spacing w:line="300" w:lineRule="auto"/>
        <w:jc w:val="both"/>
        <w:sectPr w:rsidR="000078E9">
          <w:pgSz w:w="11910" w:h="16840"/>
          <w:pgMar w:top="1340" w:right="1660" w:bottom="1200" w:left="1120" w:header="299" w:footer="1008" w:gutter="0"/>
          <w:cols w:space="720"/>
        </w:sectPr>
      </w:pPr>
    </w:p>
    <w:p w:rsidR="000078E9" w:rsidRDefault="00BE2153">
      <w:pPr>
        <w:pStyle w:val="BodyText"/>
        <w:spacing w:before="82" w:line="300" w:lineRule="auto"/>
        <w:ind w:left="678" w:right="138"/>
        <w:jc w:val="both"/>
      </w:pPr>
      <w:proofErr w:type="gramStart"/>
      <w:r w:rsidRPr="00B024DF">
        <w:rPr>
          <w:highlight w:val="yellow"/>
        </w:rPr>
        <w:lastRenderedPageBreak/>
        <w:t>accessibility</w:t>
      </w:r>
      <w:proofErr w:type="gramEnd"/>
      <w:r w:rsidRPr="00B024DF">
        <w:rPr>
          <w:highlight w:val="yellow"/>
        </w:rPr>
        <w:t xml:space="preserve"> benefits compared to safety benefits than the default relative weights in the CBA. Contrary to our expectations, we did not find any preference for person vs. freight benefits</w:t>
      </w:r>
      <w:r>
        <w:t>.</w:t>
      </w:r>
    </w:p>
    <w:p w:rsidR="000078E9" w:rsidRDefault="00BE2153">
      <w:pPr>
        <w:pStyle w:val="BodyText"/>
        <w:spacing w:before="239" w:line="300" w:lineRule="auto"/>
        <w:ind w:left="678" w:right="131"/>
        <w:jc w:val="both"/>
      </w:pPr>
      <w:r>
        <w:t xml:space="preserve">The Swedish Transport Administration’s selection is clearly affected by the </w:t>
      </w:r>
      <w:proofErr w:type="spellStart"/>
      <w:r>
        <w:t>NBIR</w:t>
      </w:r>
      <w:proofErr w:type="spellEnd"/>
      <w:r>
        <w:t xml:space="preserve">: selection probability increases significantly with the </w:t>
      </w:r>
      <w:proofErr w:type="spellStart"/>
      <w:r>
        <w:t>NBIR</w:t>
      </w:r>
      <w:proofErr w:type="spellEnd"/>
      <w:r>
        <w:t>. This effect gets stronger the more expensive projects are. In this final model</w:t>
      </w:r>
      <w:r>
        <w:rPr>
          <w:spacing w:val="40"/>
        </w:rPr>
        <w:t xml:space="preserve"> </w:t>
      </w:r>
      <w:r>
        <w:t xml:space="preserve">specification, projects are only split in two size segments with respect to project cost, but this effect is evident even when increasing the number of segments. There is a threshold effect at </w:t>
      </w:r>
      <w:proofErr w:type="spellStart"/>
      <w:r>
        <w:t>NBIR</w:t>
      </w:r>
      <w:proofErr w:type="spellEnd"/>
      <w:r>
        <w:t xml:space="preserve">=0: for negative </w:t>
      </w:r>
      <w:proofErr w:type="spellStart"/>
      <w:r>
        <w:t>NBIR</w:t>
      </w:r>
      <w:proofErr w:type="spellEnd"/>
      <w:r>
        <w:t xml:space="preserve"> values, the </w:t>
      </w:r>
      <w:proofErr w:type="spellStart"/>
      <w:r>
        <w:t>NBIR</w:t>
      </w:r>
      <w:proofErr w:type="spellEnd"/>
      <w:r>
        <w:t xml:space="preserve"> does not affect project selection significantly. Once </w:t>
      </w:r>
      <w:proofErr w:type="spellStart"/>
      <w:r>
        <w:t>NBIR</w:t>
      </w:r>
      <w:proofErr w:type="spellEnd"/>
      <w:r>
        <w:t xml:space="preserve">&gt;0, the selection probability jumps, and then continues to increase with the </w:t>
      </w:r>
      <w:proofErr w:type="spellStart"/>
      <w:r>
        <w:t>NBIR</w:t>
      </w:r>
      <w:proofErr w:type="spellEnd"/>
      <w:r>
        <w:t>.</w:t>
      </w:r>
    </w:p>
    <w:p w:rsidR="000078E9" w:rsidRDefault="00BE2153">
      <w:pPr>
        <w:pStyle w:val="BodyText"/>
        <w:spacing w:before="241" w:line="300" w:lineRule="auto"/>
        <w:ind w:left="678" w:right="131"/>
        <w:jc w:val="both"/>
      </w:pPr>
      <w:r>
        <w:t>Interestingly, no particular</w:t>
      </w:r>
      <w:r>
        <w:rPr>
          <w:spacing w:val="-1"/>
        </w:rPr>
        <w:t xml:space="preserve"> </w:t>
      </w:r>
      <w:r>
        <w:t>preference</w:t>
      </w:r>
      <w:r>
        <w:rPr>
          <w:spacing w:val="-3"/>
        </w:rPr>
        <w:t xml:space="preserve"> </w:t>
      </w:r>
      <w:r>
        <w:t>for</w:t>
      </w:r>
      <w:r>
        <w:rPr>
          <w:spacing w:val="-2"/>
        </w:rPr>
        <w:t xml:space="preserve"> </w:t>
      </w:r>
      <w:r>
        <w:t>safety versus</w:t>
      </w:r>
      <w:r>
        <w:rPr>
          <w:spacing w:val="-1"/>
        </w:rPr>
        <w:t xml:space="preserve"> </w:t>
      </w:r>
      <w:r>
        <w:t>accessibility benefits is revealed. Further tests show an even stronger result: based on the Administration’s project selection, implicit relative weights of five different benefit types can be estimated – person accessibility, freight accessibility, safety, emissions and maintenance. These weights turn out to be so close to each other that the hypothesis that they</w:t>
      </w:r>
      <w:r>
        <w:rPr>
          <w:spacing w:val="-2"/>
        </w:rPr>
        <w:t xml:space="preserve"> </w:t>
      </w:r>
      <w:r>
        <w:t>are equal cannot be rejected. In other words: in their project selection, the Administration actually uses implicit weights on the different types of benefits that are consistent with the valuations in the CBA guidelines.</w:t>
      </w:r>
    </w:p>
    <w:p w:rsidR="000078E9" w:rsidRDefault="00BE2153">
      <w:pPr>
        <w:pStyle w:val="Heading1"/>
        <w:numPr>
          <w:ilvl w:val="0"/>
          <w:numId w:val="1"/>
        </w:numPr>
        <w:tabs>
          <w:tab w:val="left" w:pos="677"/>
        </w:tabs>
        <w:ind w:left="677" w:hanging="566"/>
      </w:pPr>
      <w:r>
        <w:rPr>
          <w:spacing w:val="-2"/>
        </w:rPr>
        <w:t>CONCLUSIONS</w:t>
      </w:r>
    </w:p>
    <w:p w:rsidR="000078E9" w:rsidRPr="008604F8" w:rsidRDefault="00BE2153">
      <w:pPr>
        <w:pStyle w:val="BodyText"/>
        <w:spacing w:before="240" w:line="300" w:lineRule="auto"/>
        <w:ind w:left="678" w:right="130"/>
        <w:jc w:val="both"/>
        <w:rPr>
          <w:highlight w:val="yellow"/>
        </w:rPr>
      </w:pPr>
      <w:r w:rsidRPr="008604F8">
        <w:rPr>
          <w:highlight w:val="yellow"/>
        </w:rPr>
        <w:t>In this paper we have compared the planning frameworks of Norway and Sweden and investigated the role of cost-benefit analyses in the decision- making process.</w:t>
      </w:r>
    </w:p>
    <w:p w:rsidR="000078E9" w:rsidRPr="008604F8" w:rsidRDefault="00BE2153">
      <w:pPr>
        <w:pStyle w:val="BodyText"/>
        <w:spacing w:before="241" w:line="300" w:lineRule="auto"/>
        <w:ind w:left="678" w:right="135"/>
        <w:jc w:val="both"/>
        <w:rPr>
          <w:highlight w:val="yellow"/>
        </w:rPr>
      </w:pPr>
      <w:r w:rsidRPr="008604F8">
        <w:rPr>
          <w:highlight w:val="yellow"/>
        </w:rPr>
        <w:t>Transport planning in Norway and Sweden has many common features. Both countries use long-term strategic planning where</w:t>
      </w:r>
      <w:r w:rsidRPr="008604F8">
        <w:rPr>
          <w:spacing w:val="-1"/>
          <w:highlight w:val="yellow"/>
        </w:rPr>
        <w:t xml:space="preserve"> </w:t>
      </w:r>
      <w:r w:rsidRPr="008604F8">
        <w:rPr>
          <w:highlight w:val="yellow"/>
        </w:rPr>
        <w:t>economic</w:t>
      </w:r>
      <w:r w:rsidRPr="008604F8">
        <w:rPr>
          <w:spacing w:val="-1"/>
          <w:highlight w:val="yellow"/>
        </w:rPr>
        <w:t xml:space="preserve"> </w:t>
      </w:r>
      <w:r w:rsidRPr="008604F8">
        <w:rPr>
          <w:highlight w:val="yellow"/>
        </w:rPr>
        <w:t>appraisals play an important role. The methodologies for cost-benefit analyses are almost analogous and resent revisions have increased the similarities.</w:t>
      </w:r>
    </w:p>
    <w:p w:rsidR="000078E9" w:rsidRPr="00B024DF" w:rsidRDefault="00BE2153">
      <w:pPr>
        <w:pStyle w:val="BodyText"/>
        <w:spacing w:before="240" w:line="300" w:lineRule="auto"/>
        <w:ind w:left="678" w:right="131"/>
        <w:jc w:val="both"/>
        <w:rPr>
          <w:highlight w:val="cyan"/>
        </w:rPr>
      </w:pPr>
      <w:r w:rsidRPr="00B024DF">
        <w:rPr>
          <w:highlight w:val="cyan"/>
        </w:rPr>
        <w:t>There is, however, a major difference related to the use of CBA in the ranking and selection of projects to be included in the transport plans recommended by the administrations. In Sweden, economic viability is found to be a determining factor in the selection of projects. In Norway, economic viability seems to have no significant impact.</w:t>
      </w:r>
    </w:p>
    <w:p w:rsidR="000078E9" w:rsidRPr="008604F8" w:rsidRDefault="00BE2153">
      <w:pPr>
        <w:pStyle w:val="BodyText"/>
        <w:spacing w:before="241" w:line="297" w:lineRule="auto"/>
        <w:ind w:left="678" w:right="134"/>
        <w:jc w:val="both"/>
        <w:rPr>
          <w:highlight w:val="yellow"/>
        </w:rPr>
      </w:pPr>
      <w:r w:rsidRPr="008604F8">
        <w:rPr>
          <w:highlight w:val="yellow"/>
        </w:rPr>
        <w:t>Even if there is a higher ratio of economic viable projects in Sweden than in Norway,</w:t>
      </w:r>
      <w:r w:rsidRPr="008604F8">
        <w:rPr>
          <w:spacing w:val="40"/>
          <w:highlight w:val="yellow"/>
        </w:rPr>
        <w:t xml:space="preserve"> </w:t>
      </w:r>
      <w:r w:rsidRPr="008604F8">
        <w:rPr>
          <w:highlight w:val="yellow"/>
        </w:rPr>
        <w:t>the</w:t>
      </w:r>
      <w:r w:rsidRPr="008604F8">
        <w:rPr>
          <w:spacing w:val="40"/>
          <w:highlight w:val="yellow"/>
        </w:rPr>
        <w:t xml:space="preserve"> </w:t>
      </w:r>
      <w:r w:rsidRPr="008604F8">
        <w:rPr>
          <w:highlight w:val="yellow"/>
        </w:rPr>
        <w:t>potential</w:t>
      </w:r>
      <w:r w:rsidRPr="008604F8">
        <w:rPr>
          <w:spacing w:val="40"/>
          <w:highlight w:val="yellow"/>
        </w:rPr>
        <w:t xml:space="preserve"> </w:t>
      </w:r>
      <w:r w:rsidRPr="008604F8">
        <w:rPr>
          <w:highlight w:val="yellow"/>
        </w:rPr>
        <w:t>economic</w:t>
      </w:r>
      <w:r w:rsidRPr="008604F8">
        <w:rPr>
          <w:spacing w:val="40"/>
          <w:highlight w:val="yellow"/>
        </w:rPr>
        <w:t xml:space="preserve"> </w:t>
      </w:r>
      <w:r w:rsidRPr="008604F8">
        <w:rPr>
          <w:highlight w:val="yellow"/>
        </w:rPr>
        <w:t>benefits</w:t>
      </w:r>
      <w:r w:rsidRPr="008604F8">
        <w:rPr>
          <w:spacing w:val="40"/>
          <w:highlight w:val="yellow"/>
        </w:rPr>
        <w:t xml:space="preserve"> </w:t>
      </w:r>
      <w:r w:rsidRPr="008604F8">
        <w:rPr>
          <w:highlight w:val="yellow"/>
        </w:rPr>
        <w:t>from</w:t>
      </w:r>
      <w:r w:rsidRPr="008604F8">
        <w:rPr>
          <w:spacing w:val="40"/>
          <w:highlight w:val="yellow"/>
        </w:rPr>
        <w:t xml:space="preserve"> </w:t>
      </w:r>
      <w:r w:rsidRPr="008604F8">
        <w:rPr>
          <w:highlight w:val="yellow"/>
        </w:rPr>
        <w:t>road</w:t>
      </w:r>
      <w:r w:rsidRPr="008604F8">
        <w:rPr>
          <w:spacing w:val="40"/>
          <w:highlight w:val="yellow"/>
        </w:rPr>
        <w:t xml:space="preserve"> </w:t>
      </w:r>
      <w:r w:rsidRPr="008604F8">
        <w:rPr>
          <w:highlight w:val="yellow"/>
        </w:rPr>
        <w:t>investments</w:t>
      </w:r>
      <w:r w:rsidRPr="008604F8">
        <w:rPr>
          <w:spacing w:val="40"/>
          <w:highlight w:val="yellow"/>
        </w:rPr>
        <w:t xml:space="preserve"> </w:t>
      </w:r>
      <w:r w:rsidRPr="008604F8">
        <w:rPr>
          <w:highlight w:val="yellow"/>
        </w:rPr>
        <w:t>in</w:t>
      </w:r>
      <w:r w:rsidRPr="008604F8">
        <w:rPr>
          <w:spacing w:val="40"/>
          <w:highlight w:val="yellow"/>
        </w:rPr>
        <w:t xml:space="preserve"> </w:t>
      </w:r>
      <w:r w:rsidRPr="008604F8">
        <w:rPr>
          <w:highlight w:val="yellow"/>
        </w:rPr>
        <w:t>the</w:t>
      </w:r>
      <w:r w:rsidRPr="008604F8">
        <w:rPr>
          <w:spacing w:val="40"/>
          <w:highlight w:val="yellow"/>
        </w:rPr>
        <w:t xml:space="preserve"> </w:t>
      </w:r>
      <w:r w:rsidRPr="008604F8">
        <w:rPr>
          <w:highlight w:val="yellow"/>
        </w:rPr>
        <w:t>two</w:t>
      </w:r>
    </w:p>
    <w:p w:rsidR="000078E9" w:rsidRPr="008604F8" w:rsidRDefault="000078E9">
      <w:pPr>
        <w:spacing w:line="297" w:lineRule="auto"/>
        <w:jc w:val="both"/>
        <w:rPr>
          <w:highlight w:val="yellow"/>
        </w:rPr>
        <w:sectPr w:rsidR="000078E9" w:rsidRPr="008604F8">
          <w:pgSz w:w="11910" w:h="16840"/>
          <w:pgMar w:top="1340" w:right="1660" w:bottom="1200" w:left="1120" w:header="299" w:footer="1008" w:gutter="0"/>
          <w:cols w:space="720"/>
        </w:sectPr>
      </w:pPr>
    </w:p>
    <w:p w:rsidR="000078E9" w:rsidRPr="008604F8" w:rsidRDefault="00BE2153">
      <w:pPr>
        <w:pStyle w:val="BodyText"/>
        <w:spacing w:before="82" w:line="300" w:lineRule="auto"/>
        <w:ind w:left="678" w:right="132"/>
        <w:jc w:val="both"/>
        <w:rPr>
          <w:highlight w:val="yellow"/>
        </w:rPr>
      </w:pPr>
      <w:proofErr w:type="gramStart"/>
      <w:r w:rsidRPr="008604F8">
        <w:rPr>
          <w:highlight w:val="yellow"/>
        </w:rPr>
        <w:lastRenderedPageBreak/>
        <w:t>countries</w:t>
      </w:r>
      <w:proofErr w:type="gramEnd"/>
      <w:r w:rsidRPr="008604F8">
        <w:rPr>
          <w:highlight w:val="yellow"/>
        </w:rPr>
        <w:t xml:space="preserve"> are similar. If Norway was to prioritize according to the net present value per budget kroner, then the gains for Norway from investments would</w:t>
      </w:r>
      <w:r w:rsidRPr="008604F8">
        <w:rPr>
          <w:spacing w:val="40"/>
          <w:highlight w:val="yellow"/>
        </w:rPr>
        <w:t xml:space="preserve"> </w:t>
      </w:r>
      <w:r w:rsidRPr="008604F8">
        <w:rPr>
          <w:highlight w:val="yellow"/>
        </w:rPr>
        <w:t>be as high as the Swedish gains given the same total budget.</w:t>
      </w:r>
    </w:p>
    <w:p w:rsidR="000078E9" w:rsidRPr="008604F8" w:rsidRDefault="00BE2153">
      <w:pPr>
        <w:pStyle w:val="BodyText"/>
        <w:spacing w:before="239" w:line="300" w:lineRule="auto"/>
        <w:ind w:left="678" w:right="132"/>
        <w:jc w:val="both"/>
        <w:rPr>
          <w:highlight w:val="yellow"/>
        </w:rPr>
      </w:pPr>
      <w:r w:rsidRPr="008604F8">
        <w:rPr>
          <w:highlight w:val="yellow"/>
        </w:rPr>
        <w:t>Based on these observations we concluded that Sweden has a more systematic use of CBA when prioritizing road projects as compared to</w:t>
      </w:r>
      <w:r w:rsidRPr="008604F8">
        <w:rPr>
          <w:spacing w:val="40"/>
          <w:highlight w:val="yellow"/>
        </w:rPr>
        <w:t xml:space="preserve"> </w:t>
      </w:r>
      <w:r w:rsidRPr="008604F8">
        <w:rPr>
          <w:highlight w:val="yellow"/>
        </w:rPr>
        <w:t>Norway. Unprofitable projects are eliminated at an earlier stage in Sweden. In other words, economic profitability matters more in Sweden. In the case of Norway there is no statistical evidence to support that this is the case when projects are prioritized in the national transport plan. It is therefore clear that there are other factors than economic profitability that may explain how projects are prioritized in Norway. To uncover what factors this might be is beyond the scope of this study, but if these other factors are important, they should be documented as much as the results of CBA. The use of public resources should be transparent.</w:t>
      </w:r>
    </w:p>
    <w:p w:rsidR="000078E9" w:rsidRPr="00B024DF" w:rsidRDefault="00BE2153">
      <w:pPr>
        <w:pStyle w:val="BodyText"/>
        <w:spacing w:before="241" w:line="300" w:lineRule="auto"/>
        <w:ind w:left="678" w:right="132"/>
        <w:jc w:val="both"/>
      </w:pPr>
      <w:r w:rsidRPr="00B024DF">
        <w:rPr>
          <w:highlight w:val="green"/>
        </w:rPr>
        <w:t>Our overall conclusion in this paper is that Norway has a lot to learn from Sweden in terms</w:t>
      </w:r>
      <w:r w:rsidRPr="00B024DF">
        <w:rPr>
          <w:spacing w:val="-3"/>
          <w:highlight w:val="green"/>
        </w:rPr>
        <w:t xml:space="preserve"> </w:t>
      </w:r>
      <w:r w:rsidRPr="00B024DF">
        <w:rPr>
          <w:highlight w:val="green"/>
        </w:rPr>
        <w:t>of systematizing</w:t>
      </w:r>
      <w:r w:rsidRPr="00B024DF">
        <w:rPr>
          <w:spacing w:val="-2"/>
          <w:highlight w:val="green"/>
        </w:rPr>
        <w:t xml:space="preserve"> </w:t>
      </w:r>
      <w:r w:rsidRPr="00B024DF">
        <w:rPr>
          <w:highlight w:val="green"/>
        </w:rPr>
        <w:t>the planning</w:t>
      </w:r>
      <w:r w:rsidRPr="00B024DF">
        <w:rPr>
          <w:spacing w:val="-2"/>
          <w:highlight w:val="green"/>
        </w:rPr>
        <w:t xml:space="preserve"> </w:t>
      </w:r>
      <w:r w:rsidRPr="00B024DF">
        <w:rPr>
          <w:highlight w:val="green"/>
        </w:rPr>
        <w:t>process</w:t>
      </w:r>
      <w:r w:rsidRPr="00B024DF">
        <w:rPr>
          <w:spacing w:val="-1"/>
          <w:highlight w:val="green"/>
        </w:rPr>
        <w:t xml:space="preserve"> </w:t>
      </w:r>
      <w:r w:rsidRPr="00B024DF">
        <w:rPr>
          <w:highlight w:val="green"/>
        </w:rPr>
        <w:t>and</w:t>
      </w:r>
      <w:r w:rsidRPr="00B024DF">
        <w:rPr>
          <w:spacing w:val="-2"/>
          <w:highlight w:val="green"/>
        </w:rPr>
        <w:t xml:space="preserve"> </w:t>
      </w:r>
      <w:r w:rsidRPr="00B024DF">
        <w:rPr>
          <w:highlight w:val="green"/>
        </w:rPr>
        <w:t>the</w:t>
      </w:r>
      <w:r w:rsidRPr="00B024DF">
        <w:rPr>
          <w:spacing w:val="-2"/>
          <w:highlight w:val="green"/>
        </w:rPr>
        <w:t xml:space="preserve"> </w:t>
      </w:r>
      <w:r w:rsidRPr="00B024DF">
        <w:rPr>
          <w:highlight w:val="green"/>
        </w:rPr>
        <w:t>use of welfare maximizing principles when prioritizing projects. For an overview and ranking of a large number of projects, CBA is a useful tool.</w:t>
      </w:r>
    </w:p>
    <w:p w:rsidR="000078E9" w:rsidRPr="00B024DF" w:rsidRDefault="000078E9">
      <w:pPr>
        <w:spacing w:line="300" w:lineRule="auto"/>
        <w:jc w:val="both"/>
        <w:rPr>
          <w:color w:val="FF0000"/>
        </w:rPr>
        <w:sectPr w:rsidR="000078E9" w:rsidRPr="00B024DF">
          <w:pgSz w:w="11910" w:h="16840"/>
          <w:pgMar w:top="1340" w:right="1660" w:bottom="1200" w:left="1120" w:header="299" w:footer="1008" w:gutter="0"/>
          <w:cols w:space="720"/>
        </w:sectPr>
      </w:pPr>
    </w:p>
    <w:p w:rsidR="000078E9" w:rsidRDefault="00BE2153">
      <w:pPr>
        <w:pStyle w:val="Heading1"/>
        <w:spacing w:before="82"/>
        <w:ind w:left="678" w:firstLine="0"/>
      </w:pPr>
      <w:r>
        <w:rPr>
          <w:spacing w:val="-2"/>
        </w:rPr>
        <w:lastRenderedPageBreak/>
        <w:t>BIBLIOGRAPHY</w:t>
      </w:r>
    </w:p>
    <w:p w:rsidR="000078E9" w:rsidRDefault="00BE2153">
      <w:pPr>
        <w:pStyle w:val="BodyText"/>
        <w:spacing w:before="240" w:line="297" w:lineRule="auto"/>
        <w:ind w:left="678" w:right="134"/>
        <w:jc w:val="both"/>
      </w:pPr>
      <w:proofErr w:type="spellStart"/>
      <w:r>
        <w:t>Eliasson</w:t>
      </w:r>
      <w:proofErr w:type="spellEnd"/>
      <w:r>
        <w:t xml:space="preserve">, J., </w:t>
      </w:r>
      <w:proofErr w:type="spellStart"/>
      <w:r>
        <w:t>Börjesson</w:t>
      </w:r>
      <w:proofErr w:type="spellEnd"/>
      <w:r>
        <w:t xml:space="preserve">, M., </w:t>
      </w:r>
      <w:proofErr w:type="spellStart"/>
      <w:r>
        <w:t>Odeck</w:t>
      </w:r>
      <w:proofErr w:type="spellEnd"/>
      <w:r>
        <w:t xml:space="preserve">, J. and </w:t>
      </w:r>
      <w:proofErr w:type="spellStart"/>
      <w:r>
        <w:t>Welde</w:t>
      </w:r>
      <w:proofErr w:type="spellEnd"/>
      <w:r>
        <w:t xml:space="preserve">, M. (2013) The impact of cost-benefit analyses on transport investment decisions, paper submitted to the </w:t>
      </w:r>
      <w:r>
        <w:rPr>
          <w:i/>
        </w:rPr>
        <w:t>Journal of Public Economics</w:t>
      </w:r>
      <w:r>
        <w:t>, September 2013.</w:t>
      </w:r>
    </w:p>
    <w:p w:rsidR="000078E9" w:rsidRDefault="00BE2153">
      <w:pPr>
        <w:pStyle w:val="BodyText"/>
        <w:spacing w:before="248" w:line="300" w:lineRule="auto"/>
        <w:ind w:left="678" w:right="132"/>
        <w:jc w:val="both"/>
      </w:pPr>
      <w:proofErr w:type="spellStart"/>
      <w:r>
        <w:t>Eliasson</w:t>
      </w:r>
      <w:proofErr w:type="spellEnd"/>
      <w:r>
        <w:t xml:space="preserve">, J. and Lundberg, M. (2011) Do Cost-Benefit Analyses Influence Transport Investment Decisions? Experiences from the Swedish Transport Investment Plan 2010–21, </w:t>
      </w:r>
      <w:r>
        <w:rPr>
          <w:i/>
        </w:rPr>
        <w:t>Transport Reviews</w:t>
      </w:r>
      <w:r>
        <w:t>, 31 (1) 1-20.</w:t>
      </w:r>
    </w:p>
    <w:p w:rsidR="000078E9" w:rsidRDefault="00BE2153">
      <w:pPr>
        <w:pStyle w:val="BodyText"/>
        <w:spacing w:before="240" w:line="297" w:lineRule="auto"/>
        <w:ind w:left="678" w:right="132"/>
        <w:jc w:val="both"/>
      </w:pPr>
      <w:proofErr w:type="spellStart"/>
      <w:r>
        <w:t>Fridstrøm</w:t>
      </w:r>
      <w:proofErr w:type="spellEnd"/>
      <w:r>
        <w:t xml:space="preserve">, L. and </w:t>
      </w:r>
      <w:proofErr w:type="spellStart"/>
      <w:r>
        <w:t>Elvik</w:t>
      </w:r>
      <w:proofErr w:type="spellEnd"/>
      <w:r>
        <w:t>, R. (1996)</w:t>
      </w:r>
      <w:r>
        <w:rPr>
          <w:spacing w:val="-1"/>
        </w:rPr>
        <w:t xml:space="preserve"> </w:t>
      </w:r>
      <w:proofErr w:type="gramStart"/>
      <w:r>
        <w:t>The</w:t>
      </w:r>
      <w:proofErr w:type="gramEnd"/>
      <w:r>
        <w:t xml:space="preserve"> barely</w:t>
      </w:r>
      <w:r>
        <w:rPr>
          <w:spacing w:val="-2"/>
        </w:rPr>
        <w:t xml:space="preserve"> </w:t>
      </w:r>
      <w:r>
        <w:t xml:space="preserve">revealed preference behind road investment priorities, </w:t>
      </w:r>
      <w:r>
        <w:rPr>
          <w:i/>
        </w:rPr>
        <w:t>Public Choice</w:t>
      </w:r>
      <w:r>
        <w:t>, 92 (1-2) 145-168.</w:t>
      </w:r>
    </w:p>
    <w:p w:rsidR="000078E9" w:rsidRDefault="00BE2153">
      <w:pPr>
        <w:pStyle w:val="BodyText"/>
        <w:spacing w:before="247" w:line="300" w:lineRule="auto"/>
        <w:ind w:left="678" w:right="130"/>
        <w:jc w:val="both"/>
      </w:pPr>
      <w:r>
        <w:t>Gómez-Lobo, A. (2012) Institutional Safeguards for Cost Benefit Analysis: Lessons from the Chilean National Investment System, Journal of Cost- Benefit Analysis, 3 (1) 1-30.</w:t>
      </w:r>
    </w:p>
    <w:p w:rsidR="000078E9" w:rsidRDefault="00BE2153">
      <w:pPr>
        <w:spacing w:before="239" w:line="297" w:lineRule="auto"/>
        <w:ind w:left="678" w:right="141"/>
        <w:jc w:val="both"/>
        <w:rPr>
          <w:sz w:val="24"/>
        </w:rPr>
      </w:pPr>
      <w:r>
        <w:rPr>
          <w:sz w:val="24"/>
        </w:rPr>
        <w:t xml:space="preserve">McFadden, D. (1976) </w:t>
      </w:r>
      <w:proofErr w:type="gramStart"/>
      <w:r>
        <w:rPr>
          <w:sz w:val="24"/>
        </w:rPr>
        <w:t>The</w:t>
      </w:r>
      <w:proofErr w:type="gramEnd"/>
      <w:r>
        <w:rPr>
          <w:sz w:val="24"/>
        </w:rPr>
        <w:t xml:space="preserve"> revealed preference of a government bureaucracy: empirical evidence, </w:t>
      </w:r>
      <w:r>
        <w:rPr>
          <w:i/>
          <w:sz w:val="24"/>
        </w:rPr>
        <w:t>The Bell Journal of Economics</w:t>
      </w:r>
      <w:r>
        <w:rPr>
          <w:sz w:val="24"/>
        </w:rPr>
        <w:t>, 7 (1) 55-72.</w:t>
      </w:r>
    </w:p>
    <w:p w:rsidR="000078E9" w:rsidRDefault="00BE2153">
      <w:pPr>
        <w:pStyle w:val="BodyText"/>
        <w:spacing w:before="247" w:line="297" w:lineRule="auto"/>
        <w:ind w:left="678" w:right="134"/>
        <w:jc w:val="both"/>
      </w:pPr>
      <w:r>
        <w:t>Nilsson,</w:t>
      </w:r>
      <w:r>
        <w:rPr>
          <w:spacing w:val="-3"/>
        </w:rPr>
        <w:t xml:space="preserve"> </w:t>
      </w:r>
      <w:r>
        <w:t>J.-E.</w:t>
      </w:r>
      <w:r>
        <w:rPr>
          <w:spacing w:val="-2"/>
        </w:rPr>
        <w:t xml:space="preserve"> </w:t>
      </w:r>
      <w:r>
        <w:t>(1991)</w:t>
      </w:r>
      <w:r>
        <w:rPr>
          <w:spacing w:val="-2"/>
        </w:rPr>
        <w:t xml:space="preserve"> </w:t>
      </w:r>
      <w:r>
        <w:t>Investment</w:t>
      </w:r>
      <w:r>
        <w:rPr>
          <w:spacing w:val="-3"/>
        </w:rPr>
        <w:t xml:space="preserve"> </w:t>
      </w:r>
      <w:r>
        <w:t>Decisions</w:t>
      </w:r>
      <w:r>
        <w:rPr>
          <w:spacing w:val="-3"/>
        </w:rPr>
        <w:t xml:space="preserve"> </w:t>
      </w:r>
      <w:r>
        <w:t>in</w:t>
      </w:r>
      <w:r>
        <w:rPr>
          <w:spacing w:val="-5"/>
        </w:rPr>
        <w:t xml:space="preserve"> </w:t>
      </w:r>
      <w:r>
        <w:t>a</w:t>
      </w:r>
      <w:r>
        <w:rPr>
          <w:spacing w:val="-3"/>
        </w:rPr>
        <w:t xml:space="preserve"> </w:t>
      </w:r>
      <w:r>
        <w:t>Public</w:t>
      </w:r>
      <w:r>
        <w:rPr>
          <w:spacing w:val="-3"/>
        </w:rPr>
        <w:t xml:space="preserve"> </w:t>
      </w:r>
      <w:r>
        <w:t>Bureaucracy, Journal</w:t>
      </w:r>
      <w:r>
        <w:rPr>
          <w:spacing w:val="-3"/>
        </w:rPr>
        <w:t xml:space="preserve"> </w:t>
      </w:r>
      <w:r>
        <w:t>of Transport Economics and Policy, 25 (2) 163-175.</w:t>
      </w:r>
    </w:p>
    <w:p w:rsidR="000078E9" w:rsidRDefault="00BE2153">
      <w:pPr>
        <w:pStyle w:val="BodyText"/>
        <w:spacing w:before="245"/>
        <w:ind w:left="678"/>
        <w:jc w:val="both"/>
      </w:pPr>
      <w:proofErr w:type="spellStart"/>
      <w:r>
        <w:t>Nyborg</w:t>
      </w:r>
      <w:proofErr w:type="spellEnd"/>
      <w:r>
        <w:t>,</w:t>
      </w:r>
      <w:r>
        <w:rPr>
          <w:spacing w:val="23"/>
        </w:rPr>
        <w:t xml:space="preserve"> </w:t>
      </w:r>
      <w:r>
        <w:t>K.</w:t>
      </w:r>
      <w:r>
        <w:rPr>
          <w:spacing w:val="23"/>
        </w:rPr>
        <w:t xml:space="preserve"> </w:t>
      </w:r>
      <w:r>
        <w:t>(1998)</w:t>
      </w:r>
      <w:r>
        <w:rPr>
          <w:spacing w:val="22"/>
        </w:rPr>
        <w:t xml:space="preserve"> </w:t>
      </w:r>
      <w:r>
        <w:t>Some</w:t>
      </w:r>
      <w:r>
        <w:rPr>
          <w:spacing w:val="23"/>
        </w:rPr>
        <w:t xml:space="preserve"> </w:t>
      </w:r>
      <w:r>
        <w:t>Norwegian</w:t>
      </w:r>
      <w:r>
        <w:rPr>
          <w:spacing w:val="24"/>
        </w:rPr>
        <w:t xml:space="preserve"> </w:t>
      </w:r>
      <w:r>
        <w:t>politicians’</w:t>
      </w:r>
      <w:r>
        <w:rPr>
          <w:spacing w:val="22"/>
        </w:rPr>
        <w:t xml:space="preserve"> </w:t>
      </w:r>
      <w:r>
        <w:t>use</w:t>
      </w:r>
      <w:r>
        <w:rPr>
          <w:spacing w:val="21"/>
        </w:rPr>
        <w:t xml:space="preserve"> </w:t>
      </w:r>
      <w:r>
        <w:t>of</w:t>
      </w:r>
      <w:r>
        <w:rPr>
          <w:spacing w:val="25"/>
        </w:rPr>
        <w:t xml:space="preserve"> </w:t>
      </w:r>
      <w:r>
        <w:t>cost-benefit</w:t>
      </w:r>
      <w:r>
        <w:rPr>
          <w:spacing w:val="23"/>
        </w:rPr>
        <w:t xml:space="preserve"> </w:t>
      </w:r>
      <w:r>
        <w:rPr>
          <w:spacing w:val="-2"/>
        </w:rPr>
        <w:t>analysis,</w:t>
      </w:r>
    </w:p>
    <w:p w:rsidR="000078E9" w:rsidRDefault="00BE2153">
      <w:pPr>
        <w:spacing w:before="67"/>
        <w:ind w:left="678"/>
        <w:jc w:val="both"/>
        <w:rPr>
          <w:sz w:val="24"/>
        </w:rPr>
      </w:pPr>
      <w:r>
        <w:rPr>
          <w:i/>
          <w:sz w:val="24"/>
        </w:rPr>
        <w:t>Public</w:t>
      </w:r>
      <w:r>
        <w:rPr>
          <w:i/>
          <w:spacing w:val="-4"/>
          <w:sz w:val="24"/>
        </w:rPr>
        <w:t xml:space="preserve"> </w:t>
      </w:r>
      <w:r>
        <w:rPr>
          <w:i/>
          <w:sz w:val="24"/>
        </w:rPr>
        <w:t>Choice</w:t>
      </w:r>
      <w:r>
        <w:rPr>
          <w:sz w:val="24"/>
        </w:rPr>
        <w:t>,</w:t>
      </w:r>
      <w:r>
        <w:rPr>
          <w:spacing w:val="-4"/>
          <w:sz w:val="24"/>
        </w:rPr>
        <w:t xml:space="preserve"> </w:t>
      </w:r>
      <w:r>
        <w:rPr>
          <w:sz w:val="24"/>
        </w:rPr>
        <w:t>95</w:t>
      </w:r>
      <w:r>
        <w:rPr>
          <w:spacing w:val="-2"/>
          <w:sz w:val="24"/>
        </w:rPr>
        <w:t xml:space="preserve"> </w:t>
      </w:r>
      <w:r>
        <w:rPr>
          <w:sz w:val="24"/>
        </w:rPr>
        <w:t>(3-4)</w:t>
      </w:r>
      <w:r>
        <w:rPr>
          <w:spacing w:val="-6"/>
          <w:sz w:val="24"/>
        </w:rPr>
        <w:t xml:space="preserve"> </w:t>
      </w:r>
      <w:r>
        <w:rPr>
          <w:spacing w:val="-2"/>
          <w:sz w:val="24"/>
        </w:rPr>
        <w:t>381–401.</w:t>
      </w:r>
    </w:p>
    <w:p w:rsidR="000078E9" w:rsidRDefault="000078E9">
      <w:pPr>
        <w:pStyle w:val="BodyText"/>
        <w:spacing w:before="36"/>
      </w:pPr>
    </w:p>
    <w:p w:rsidR="000078E9" w:rsidRDefault="00BE2153">
      <w:pPr>
        <w:pStyle w:val="BodyText"/>
        <w:spacing w:line="295" w:lineRule="auto"/>
        <w:ind w:left="678" w:right="132"/>
        <w:jc w:val="both"/>
      </w:pPr>
      <w:proofErr w:type="spellStart"/>
      <w:r>
        <w:t>Odeck</w:t>
      </w:r>
      <w:proofErr w:type="spellEnd"/>
      <w:r>
        <w:t xml:space="preserve">, J. (1991) Om </w:t>
      </w:r>
      <w:proofErr w:type="spellStart"/>
      <w:r>
        <w:t>nytte-kostnadsanalysens</w:t>
      </w:r>
      <w:proofErr w:type="spellEnd"/>
      <w:r>
        <w:t xml:space="preserve"> </w:t>
      </w:r>
      <w:proofErr w:type="spellStart"/>
      <w:r>
        <w:t>plass</w:t>
      </w:r>
      <w:proofErr w:type="spellEnd"/>
      <w:r>
        <w:t xml:space="preserve"> </w:t>
      </w:r>
      <w:proofErr w:type="spellStart"/>
      <w:r>
        <w:t>i</w:t>
      </w:r>
      <w:proofErr w:type="spellEnd"/>
      <w:r>
        <w:t xml:space="preserve"> </w:t>
      </w:r>
      <w:proofErr w:type="spellStart"/>
      <w:r>
        <w:t>beslutningsprosessen</w:t>
      </w:r>
      <w:proofErr w:type="spellEnd"/>
      <w:r>
        <w:t xml:space="preserve"> </w:t>
      </w:r>
      <w:proofErr w:type="spellStart"/>
      <w:r>
        <w:t>i</w:t>
      </w:r>
      <w:proofErr w:type="spellEnd"/>
      <w:r>
        <w:t xml:space="preserve"> </w:t>
      </w:r>
      <w:proofErr w:type="spellStart"/>
      <w:r>
        <w:t>vegsektoren</w:t>
      </w:r>
      <w:proofErr w:type="spellEnd"/>
      <w:r>
        <w:t xml:space="preserve">, </w:t>
      </w:r>
      <w:proofErr w:type="spellStart"/>
      <w:r>
        <w:rPr>
          <w:i/>
        </w:rPr>
        <w:t>Sosialøkonomen</w:t>
      </w:r>
      <w:proofErr w:type="spellEnd"/>
      <w:r>
        <w:t>, 3, 10–15.</w:t>
      </w:r>
    </w:p>
    <w:p w:rsidR="000078E9" w:rsidRDefault="00BE2153">
      <w:pPr>
        <w:pStyle w:val="BodyText"/>
        <w:spacing w:before="250" w:line="300" w:lineRule="auto"/>
        <w:ind w:left="678" w:right="127"/>
        <w:jc w:val="both"/>
      </w:pPr>
      <w:proofErr w:type="spellStart"/>
      <w:r>
        <w:t>Odeck</w:t>
      </w:r>
      <w:proofErr w:type="spellEnd"/>
      <w:r>
        <w:t xml:space="preserve">, J. (1996) Ranking of regional road investment in Norway: does socio- economic analysis matter? </w:t>
      </w:r>
      <w:r>
        <w:rPr>
          <w:i/>
        </w:rPr>
        <w:t>Transportation</w:t>
      </w:r>
      <w:r>
        <w:t>, 23 (2) 123–140.</w:t>
      </w:r>
    </w:p>
    <w:p w:rsidR="000078E9" w:rsidRDefault="00BE2153">
      <w:pPr>
        <w:pStyle w:val="BodyText"/>
        <w:spacing w:before="239" w:line="300" w:lineRule="auto"/>
        <w:ind w:left="678" w:right="134"/>
        <w:jc w:val="both"/>
      </w:pPr>
      <w:r>
        <w:t xml:space="preserve">Olsson, </w:t>
      </w:r>
      <w:proofErr w:type="spellStart"/>
      <w:r>
        <w:t>N.O.E</w:t>
      </w:r>
      <w:proofErr w:type="spellEnd"/>
      <w:r>
        <w:t xml:space="preserve">., </w:t>
      </w:r>
      <w:proofErr w:type="spellStart"/>
      <w:r>
        <w:t>Økland</w:t>
      </w:r>
      <w:proofErr w:type="spellEnd"/>
      <w:r>
        <w:t xml:space="preserve">, A. and </w:t>
      </w:r>
      <w:proofErr w:type="spellStart"/>
      <w:r>
        <w:t>Halvorsen</w:t>
      </w:r>
      <w:proofErr w:type="spellEnd"/>
      <w:r>
        <w:t xml:space="preserve">, </w:t>
      </w:r>
      <w:proofErr w:type="spellStart"/>
      <w:r>
        <w:t>S.B</w:t>
      </w:r>
      <w:proofErr w:type="spellEnd"/>
      <w:r>
        <w:t xml:space="preserve">. (2012) Consequences of differences in cost-benefit methodology in railway infrastructure </w:t>
      </w:r>
      <w:proofErr w:type="spellStart"/>
      <w:r>
        <w:t>appraisal─A</w:t>
      </w:r>
      <w:proofErr w:type="spellEnd"/>
      <w:r>
        <w:t xml:space="preserve"> comparison between selected countries, </w:t>
      </w:r>
      <w:r>
        <w:rPr>
          <w:i/>
        </w:rPr>
        <w:t>Transport Policy</w:t>
      </w:r>
      <w:r>
        <w:t>, 22 (1) 29-35.</w:t>
      </w:r>
    </w:p>
    <w:p w:rsidR="000078E9" w:rsidRDefault="00BE2153">
      <w:pPr>
        <w:spacing w:before="240" w:line="300" w:lineRule="auto"/>
        <w:ind w:left="678" w:right="131"/>
        <w:jc w:val="both"/>
        <w:rPr>
          <w:sz w:val="24"/>
        </w:rPr>
      </w:pPr>
      <w:proofErr w:type="spellStart"/>
      <w:r>
        <w:rPr>
          <w:sz w:val="24"/>
        </w:rPr>
        <w:t>Welde</w:t>
      </w:r>
      <w:proofErr w:type="spellEnd"/>
      <w:r>
        <w:rPr>
          <w:sz w:val="24"/>
        </w:rPr>
        <w:t xml:space="preserve">, M, </w:t>
      </w:r>
      <w:proofErr w:type="spellStart"/>
      <w:r>
        <w:rPr>
          <w:sz w:val="24"/>
        </w:rPr>
        <w:t>Eliasson</w:t>
      </w:r>
      <w:proofErr w:type="spellEnd"/>
      <w:r>
        <w:rPr>
          <w:sz w:val="24"/>
        </w:rPr>
        <w:t xml:space="preserve">, J., </w:t>
      </w:r>
      <w:proofErr w:type="spellStart"/>
      <w:r>
        <w:rPr>
          <w:sz w:val="24"/>
        </w:rPr>
        <w:t>Odeck</w:t>
      </w:r>
      <w:proofErr w:type="spellEnd"/>
      <w:r>
        <w:rPr>
          <w:sz w:val="24"/>
        </w:rPr>
        <w:t xml:space="preserve">, J. and </w:t>
      </w:r>
      <w:proofErr w:type="spellStart"/>
      <w:r>
        <w:rPr>
          <w:sz w:val="24"/>
        </w:rPr>
        <w:t>Börjesson</w:t>
      </w:r>
      <w:proofErr w:type="spellEnd"/>
      <w:r>
        <w:rPr>
          <w:sz w:val="24"/>
        </w:rPr>
        <w:t xml:space="preserve">, M. (2013) </w:t>
      </w:r>
      <w:r>
        <w:rPr>
          <w:i/>
          <w:sz w:val="24"/>
        </w:rPr>
        <w:t>Planning, analytic tools and the use of cost-benefit analysis in the transport sector in Norway</w:t>
      </w:r>
      <w:r>
        <w:rPr>
          <w:i/>
          <w:spacing w:val="40"/>
          <w:sz w:val="24"/>
        </w:rPr>
        <w:t xml:space="preserve"> </w:t>
      </w:r>
      <w:r>
        <w:rPr>
          <w:i/>
          <w:sz w:val="24"/>
        </w:rPr>
        <w:t>and Sweden</w:t>
      </w:r>
      <w:r>
        <w:rPr>
          <w:sz w:val="24"/>
        </w:rPr>
        <w:t>, Concept report no. 33, Concept Research Programme, Norwegian University of Science and Technology, Trondheim.</w:t>
      </w:r>
    </w:p>
    <w:p w:rsidR="000078E9" w:rsidRDefault="000078E9">
      <w:pPr>
        <w:pStyle w:val="BodyText"/>
        <w:spacing w:before="4"/>
        <w:rPr>
          <w:sz w:val="17"/>
        </w:rPr>
      </w:pPr>
    </w:p>
    <w:p w:rsidR="000078E9" w:rsidRDefault="000078E9">
      <w:pPr>
        <w:rPr>
          <w:sz w:val="17"/>
        </w:rPr>
        <w:sectPr w:rsidR="000078E9">
          <w:headerReference w:type="default" r:id="rId36"/>
          <w:footerReference w:type="default" r:id="rId37"/>
          <w:pgSz w:w="11910" w:h="16840"/>
          <w:pgMar w:top="1920" w:right="1660" w:bottom="280" w:left="1120" w:header="0" w:footer="0" w:gutter="0"/>
          <w:cols w:space="720"/>
        </w:sectPr>
      </w:pPr>
    </w:p>
    <w:p w:rsidR="000078E9" w:rsidRDefault="000078E9">
      <w:pPr>
        <w:pStyle w:val="BodyText"/>
        <w:spacing w:before="46"/>
      </w:pPr>
    </w:p>
    <w:p w:rsidR="000078E9" w:rsidRDefault="00BE2153">
      <w:pPr>
        <w:pStyle w:val="Heading1"/>
        <w:spacing w:before="0"/>
        <w:ind w:left="678" w:firstLine="0"/>
      </w:pPr>
      <w:r>
        <w:rPr>
          <w:spacing w:val="-2"/>
        </w:rPr>
        <w:t>NOTES</w:t>
      </w:r>
    </w:p>
    <w:p w:rsidR="000078E9" w:rsidRDefault="000078E9">
      <w:pPr>
        <w:pStyle w:val="BodyText"/>
        <w:spacing w:before="194"/>
        <w:rPr>
          <w:b/>
        </w:rPr>
      </w:pPr>
    </w:p>
    <w:p w:rsidR="000078E9" w:rsidRDefault="00BE2153">
      <w:pPr>
        <w:pStyle w:val="BodyText"/>
        <w:ind w:left="678" w:right="123"/>
      </w:pPr>
      <w:r>
        <w:rPr>
          <w:position w:val="10"/>
          <w:sz w:val="13"/>
        </w:rPr>
        <w:t>1</w:t>
      </w:r>
      <w:r>
        <w:rPr>
          <w:spacing w:val="25"/>
          <w:position w:val="10"/>
          <w:sz w:val="13"/>
        </w:rPr>
        <w:t xml:space="preserve"> </w:t>
      </w:r>
      <w:r>
        <w:t>This paper is based on the research report “Planning, analytic tools and the use of cost-benefit analysis in the transport sector in Norway and Sweden” (</w:t>
      </w:r>
      <w:proofErr w:type="spellStart"/>
      <w:r>
        <w:t>Welde</w:t>
      </w:r>
      <w:proofErr w:type="spellEnd"/>
      <w:r>
        <w:t>, et al., 2013) prepared for the Concept Research Programme at the Norwegian University of Science and Technology in Trondheim. The paper also</w:t>
      </w:r>
      <w:r>
        <w:rPr>
          <w:spacing w:val="-2"/>
        </w:rPr>
        <w:t xml:space="preserve"> </w:t>
      </w:r>
      <w:r>
        <w:t>includes</w:t>
      </w:r>
      <w:r>
        <w:rPr>
          <w:spacing w:val="-4"/>
        </w:rPr>
        <w:t xml:space="preserve"> </w:t>
      </w:r>
      <w:r>
        <w:t>material</w:t>
      </w:r>
      <w:r>
        <w:rPr>
          <w:spacing w:val="-2"/>
        </w:rPr>
        <w:t xml:space="preserve"> </w:t>
      </w:r>
      <w:r>
        <w:t>from</w:t>
      </w:r>
      <w:r>
        <w:rPr>
          <w:spacing w:val="-1"/>
        </w:rPr>
        <w:t xml:space="preserve"> </w:t>
      </w:r>
      <w:r>
        <w:t>a</w:t>
      </w:r>
      <w:r>
        <w:rPr>
          <w:spacing w:val="-4"/>
        </w:rPr>
        <w:t xml:space="preserve"> </w:t>
      </w:r>
      <w:r>
        <w:t>paper</w:t>
      </w:r>
      <w:r>
        <w:rPr>
          <w:spacing w:val="-2"/>
        </w:rPr>
        <w:t xml:space="preserve"> </w:t>
      </w:r>
      <w:r>
        <w:t>recently</w:t>
      </w:r>
      <w:r>
        <w:rPr>
          <w:spacing w:val="-5"/>
        </w:rPr>
        <w:t xml:space="preserve"> </w:t>
      </w:r>
      <w:r>
        <w:t>submitted</w:t>
      </w:r>
      <w:r>
        <w:rPr>
          <w:spacing w:val="-4"/>
        </w:rPr>
        <w:t xml:space="preserve"> </w:t>
      </w:r>
      <w:r>
        <w:t>to</w:t>
      </w:r>
      <w:r>
        <w:rPr>
          <w:spacing w:val="-4"/>
        </w:rPr>
        <w:t xml:space="preserve"> </w:t>
      </w:r>
      <w:r>
        <w:t xml:space="preserve">the </w:t>
      </w:r>
      <w:r>
        <w:rPr>
          <w:i/>
        </w:rPr>
        <w:t>Journal</w:t>
      </w:r>
      <w:r>
        <w:rPr>
          <w:i/>
          <w:spacing w:val="-5"/>
        </w:rPr>
        <w:t xml:space="preserve"> </w:t>
      </w:r>
      <w:r>
        <w:rPr>
          <w:i/>
        </w:rPr>
        <w:t>of</w:t>
      </w:r>
      <w:r>
        <w:rPr>
          <w:i/>
          <w:spacing w:val="-2"/>
        </w:rPr>
        <w:t xml:space="preserve"> </w:t>
      </w:r>
      <w:r>
        <w:rPr>
          <w:i/>
        </w:rPr>
        <w:t xml:space="preserve">Public Economics </w:t>
      </w:r>
      <w:r>
        <w:t>(</w:t>
      </w:r>
      <w:proofErr w:type="spellStart"/>
      <w:r>
        <w:t>Eliasson</w:t>
      </w:r>
      <w:proofErr w:type="spellEnd"/>
      <w:r>
        <w:t xml:space="preserve"> et al., 2013).</w:t>
      </w:r>
    </w:p>
    <w:p w:rsidR="000078E9" w:rsidRDefault="00BE2153">
      <w:pPr>
        <w:pStyle w:val="BodyText"/>
        <w:spacing w:before="231"/>
        <w:ind w:left="678" w:right="59"/>
      </w:pPr>
      <w:r>
        <w:rPr>
          <w:position w:val="10"/>
          <w:sz w:val="13"/>
        </w:rPr>
        <w:t>2</w:t>
      </w:r>
      <w:r>
        <w:rPr>
          <w:spacing w:val="15"/>
          <w:position w:val="10"/>
          <w:sz w:val="13"/>
        </w:rPr>
        <w:t xml:space="preserve"> </w:t>
      </w:r>
      <w:r>
        <w:t>Values</w:t>
      </w:r>
      <w:r>
        <w:rPr>
          <w:spacing w:val="-5"/>
        </w:rPr>
        <w:t xml:space="preserve"> </w:t>
      </w:r>
      <w:r>
        <w:t>depend</w:t>
      </w:r>
      <w:r>
        <w:rPr>
          <w:spacing w:val="-3"/>
        </w:rPr>
        <w:t xml:space="preserve"> </w:t>
      </w:r>
      <w:r>
        <w:t>on</w:t>
      </w:r>
      <w:r>
        <w:rPr>
          <w:spacing w:val="-3"/>
        </w:rPr>
        <w:t xml:space="preserve"> </w:t>
      </w:r>
      <w:r>
        <w:t>geographical</w:t>
      </w:r>
      <w:r>
        <w:rPr>
          <w:spacing w:val="-3"/>
        </w:rPr>
        <w:t xml:space="preserve"> </w:t>
      </w:r>
      <w:r>
        <w:t>area</w:t>
      </w:r>
      <w:r>
        <w:rPr>
          <w:spacing w:val="-3"/>
        </w:rPr>
        <w:t xml:space="preserve"> </w:t>
      </w:r>
      <w:r>
        <w:t>(except</w:t>
      </w:r>
      <w:r>
        <w:rPr>
          <w:spacing w:val="-5"/>
        </w:rPr>
        <w:t xml:space="preserve"> </w:t>
      </w:r>
      <w:r>
        <w:t>for</w:t>
      </w:r>
      <w:r>
        <w:rPr>
          <w:spacing w:val="-3"/>
        </w:rPr>
        <w:t xml:space="preserve"> </w:t>
      </w:r>
      <w:r>
        <w:t>carbon</w:t>
      </w:r>
      <w:r>
        <w:rPr>
          <w:spacing w:val="-5"/>
        </w:rPr>
        <w:t xml:space="preserve"> </w:t>
      </w:r>
      <w:r>
        <w:t>dioxide).</w:t>
      </w:r>
      <w:r>
        <w:rPr>
          <w:spacing w:val="-3"/>
        </w:rPr>
        <w:t xml:space="preserve"> </w:t>
      </w:r>
      <w:r>
        <w:t>The</w:t>
      </w:r>
      <w:r>
        <w:rPr>
          <w:spacing w:val="-3"/>
        </w:rPr>
        <w:t xml:space="preserve"> </w:t>
      </w:r>
      <w:r>
        <w:t>values in the table relate to the central parts of Stockholm</w:t>
      </w:r>
    </w:p>
    <w:sectPr w:rsidR="000078E9">
      <w:headerReference w:type="default" r:id="rId38"/>
      <w:footerReference w:type="default" r:id="rId39"/>
      <w:pgSz w:w="11910" w:h="16840"/>
      <w:pgMar w:top="1340" w:right="1660" w:bottom="1200" w:left="1120" w:header="299"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01B" w:rsidRDefault="00DD301B">
      <w:r>
        <w:separator/>
      </w:r>
    </w:p>
  </w:endnote>
  <w:endnote w:type="continuationSeparator" w:id="0">
    <w:p w:rsidR="00DD301B" w:rsidRDefault="00DD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ource Sans 3">
    <w:altName w:val="Arial"/>
    <w:charset w:val="00"/>
    <w:family w:val="swiss"/>
    <w:pitch w:val="variable"/>
  </w:font>
  <w:font w:name="Source Sans 3 Semibold">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E9" w:rsidRDefault="00BE2153">
    <w:pPr>
      <w:pStyle w:val="BodyText"/>
      <w:spacing w:line="14" w:lineRule="auto"/>
      <w:rPr>
        <w:sz w:val="20"/>
      </w:rPr>
    </w:pPr>
    <w:r>
      <w:rPr>
        <w:noProof/>
        <w:lang w:val="en-AU" w:eastAsia="en-AU"/>
      </w:rPr>
      <mc:AlternateContent>
        <mc:Choice Requires="wps">
          <w:drawing>
            <wp:anchor distT="0" distB="0" distL="0" distR="0" simplePos="0" relativeHeight="487113728" behindDoc="1" locked="0" layoutInCell="1" allowOverlap="1">
              <wp:simplePos x="0" y="0"/>
              <wp:positionH relativeFrom="page">
                <wp:posOffset>1129080</wp:posOffset>
              </wp:positionH>
              <wp:positionV relativeFrom="page">
                <wp:posOffset>9912901</wp:posOffset>
              </wp:positionV>
              <wp:extent cx="1664970" cy="1670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167005"/>
                      </a:xfrm>
                      <a:prstGeom prst="rect">
                        <a:avLst/>
                      </a:prstGeom>
                    </wps:spPr>
                    <wps:txbx>
                      <w:txbxContent>
                        <w:p w:rsidR="000078E9" w:rsidRDefault="00BE2153">
                          <w:pPr>
                            <w:spacing w:before="12"/>
                            <w:ind w:left="20"/>
                            <w:rPr>
                              <w:sz w:val="20"/>
                            </w:rPr>
                          </w:pPr>
                          <w:r>
                            <w:rPr>
                              <w:sz w:val="20"/>
                            </w:rPr>
                            <w:t>©</w:t>
                          </w:r>
                          <w:r>
                            <w:rPr>
                              <w:spacing w:val="-6"/>
                              <w:sz w:val="20"/>
                            </w:rPr>
                            <w:t xml:space="preserve"> </w:t>
                          </w:r>
                          <w:proofErr w:type="spellStart"/>
                          <w:r>
                            <w:rPr>
                              <w:sz w:val="20"/>
                            </w:rPr>
                            <w:t>AET</w:t>
                          </w:r>
                          <w:proofErr w:type="spellEnd"/>
                          <w:r>
                            <w:rPr>
                              <w:spacing w:val="-2"/>
                              <w:sz w:val="20"/>
                            </w:rPr>
                            <w:t xml:space="preserve"> </w:t>
                          </w:r>
                          <w:r>
                            <w:rPr>
                              <w:sz w:val="20"/>
                            </w:rPr>
                            <w:t>2013</w:t>
                          </w:r>
                          <w:r>
                            <w:rPr>
                              <w:spacing w:val="-3"/>
                              <w:sz w:val="20"/>
                            </w:rPr>
                            <w:t xml:space="preserve"> </w:t>
                          </w:r>
                          <w:r>
                            <w:rPr>
                              <w:sz w:val="20"/>
                            </w:rPr>
                            <w:t>and</w:t>
                          </w:r>
                          <w:r>
                            <w:rPr>
                              <w:spacing w:val="-4"/>
                              <w:sz w:val="20"/>
                            </w:rPr>
                            <w:t xml:space="preserve"> </w:t>
                          </w:r>
                          <w:r>
                            <w:rPr>
                              <w:spacing w:val="-2"/>
                              <w:sz w:val="20"/>
                            </w:rPr>
                            <w:t>contributors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0" type="#_x0000_t202" style="position:absolute;margin-left:88.9pt;margin-top:780.55pt;width:131.1pt;height:13.15pt;z-index:-1620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" filled="f" stroked="f">
              <v:path arrowok="t"/>
              <v:textbox inset="0,0,0,0">
                <w:txbxContent>
                  <w:p w:rsidR="000078E9" w:rsidRDefault="00BE2153">
                    <w:pPr>
                      <w:spacing w:before="12"/>
                      <w:ind w:left="20"/>
                      <w:rPr>
                        <w:sz w:val="20"/>
                      </w:rPr>
                    </w:pPr>
                    <w:r>
                      <w:rPr>
                        <w:sz w:val="20"/>
                      </w:rPr>
                      <w:t>©</w:t>
                    </w:r>
                    <w:r>
                      <w:rPr>
                        <w:spacing w:val="-6"/>
                        <w:sz w:val="20"/>
                      </w:rPr>
                      <w:t xml:space="preserve"> </w:t>
                    </w:r>
                    <w:proofErr w:type="spellStart"/>
                    <w:r>
                      <w:rPr>
                        <w:sz w:val="20"/>
                      </w:rPr>
                      <w:t>AET</w:t>
                    </w:r>
                    <w:proofErr w:type="spellEnd"/>
                    <w:r>
                      <w:rPr>
                        <w:spacing w:val="-2"/>
                        <w:sz w:val="20"/>
                      </w:rPr>
                      <w:t xml:space="preserve"> </w:t>
                    </w:r>
                    <w:r>
                      <w:rPr>
                        <w:sz w:val="20"/>
                      </w:rPr>
                      <w:t>2013</w:t>
                    </w:r>
                    <w:r>
                      <w:rPr>
                        <w:spacing w:val="-3"/>
                        <w:sz w:val="20"/>
                      </w:rPr>
                      <w:t xml:space="preserve"> </w:t>
                    </w:r>
                    <w:r>
                      <w:rPr>
                        <w:sz w:val="20"/>
                      </w:rPr>
                      <w:t>and</w:t>
                    </w:r>
                    <w:r>
                      <w:rPr>
                        <w:spacing w:val="-4"/>
                        <w:sz w:val="20"/>
                      </w:rPr>
                      <w:t xml:space="preserve"> </w:t>
                    </w:r>
                    <w:r>
                      <w:rPr>
                        <w:spacing w:val="-2"/>
                        <w:sz w:val="20"/>
                      </w:rPr>
                      <w:t>contributors</w:t>
                    </w:r>
                  </w:p>
                </w:txbxContent>
              </v:textbox>
              <w10:wrap anchorx="page" anchory="page"/>
            </v:shape>
          </w:pict>
        </mc:Fallback>
      </mc:AlternateContent>
    </w:r>
    <w:r>
      <w:rPr>
        <w:noProof/>
        <w:lang w:val="en-AU" w:eastAsia="en-AU"/>
      </w:rPr>
      <mc:AlternateContent>
        <mc:Choice Requires="wps">
          <w:drawing>
            <wp:anchor distT="0" distB="0" distL="0" distR="0" simplePos="0" relativeHeight="487114240" behindDoc="1" locked="0" layoutInCell="1" allowOverlap="1">
              <wp:simplePos x="0" y="0"/>
              <wp:positionH relativeFrom="page">
                <wp:posOffset>3658489</wp:posOffset>
              </wp:positionH>
              <wp:positionV relativeFrom="page">
                <wp:posOffset>10057088</wp:posOffset>
              </wp:positionV>
              <wp:extent cx="259715" cy="1962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0078E9" w:rsidRDefault="00BE2153">
                          <w:pPr>
                            <w:pStyle w:val="BodyText"/>
                            <w:spacing w:before="12"/>
                            <w:ind w:left="60"/>
                          </w:pPr>
                          <w:r>
                            <w:rPr>
                              <w:spacing w:val="-5"/>
                            </w:rPr>
                            <w:fldChar w:fldCharType="begin"/>
                          </w:r>
                          <w:r>
                            <w:rPr>
                              <w:spacing w:val="-5"/>
                            </w:rPr>
                            <w:instrText xml:space="preserve"> PAGE </w:instrText>
                          </w:r>
                          <w:r>
                            <w:rPr>
                              <w:spacing w:val="-5"/>
                            </w:rPr>
                            <w:fldChar w:fldCharType="separate"/>
                          </w:r>
                          <w:r w:rsidR="00573684">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1" type="#_x0000_t202" style="position:absolute;margin-left:288.05pt;margin-top:791.9pt;width:20.45pt;height:15.45pt;z-index:-162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" filled="f" stroked="f">
              <v:path arrowok="t"/>
              <v:textbox inset="0,0,0,0">
                <w:txbxContent>
                  <w:p w:rsidR="000078E9" w:rsidRDefault="00BE2153">
                    <w:pPr>
                      <w:pStyle w:val="BodyText"/>
                      <w:spacing w:before="12"/>
                      <w:ind w:left="60"/>
                    </w:pPr>
                    <w:r>
                      <w:rPr>
                        <w:spacing w:val="-5"/>
                      </w:rPr>
                      <w:fldChar w:fldCharType="begin"/>
                    </w:r>
                    <w:r>
                      <w:rPr>
                        <w:spacing w:val="-5"/>
                      </w:rPr>
                      <w:instrText xml:space="preserve"> PAGE </w:instrText>
                    </w:r>
                    <w:r>
                      <w:rPr>
                        <w:spacing w:val="-5"/>
                      </w:rPr>
                      <w:fldChar w:fldCharType="separate"/>
                    </w:r>
                    <w:r w:rsidR="00573684">
                      <w:rPr>
                        <w:noProof/>
                        <w:spacing w:val="-5"/>
                      </w:rPr>
                      <w:t>11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E9" w:rsidRDefault="000078E9">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E9" w:rsidRDefault="00BE2153">
    <w:pPr>
      <w:pStyle w:val="BodyText"/>
      <w:spacing w:line="14" w:lineRule="auto"/>
      <w:rPr>
        <w:sz w:val="20"/>
      </w:rPr>
    </w:pPr>
    <w:r>
      <w:rPr>
        <w:noProof/>
        <w:lang w:val="en-AU" w:eastAsia="en-AU"/>
      </w:rPr>
      <mc:AlternateContent>
        <mc:Choice Requires="wps">
          <w:drawing>
            <wp:anchor distT="0" distB="0" distL="0" distR="0" simplePos="0" relativeHeight="487115776" behindDoc="1" locked="0" layoutInCell="1" allowOverlap="1">
              <wp:simplePos x="0" y="0"/>
              <wp:positionH relativeFrom="page">
                <wp:posOffset>1129080</wp:posOffset>
              </wp:positionH>
              <wp:positionV relativeFrom="page">
                <wp:posOffset>9912901</wp:posOffset>
              </wp:positionV>
              <wp:extent cx="1664970" cy="1670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167005"/>
                      </a:xfrm>
                      <a:prstGeom prst="rect">
                        <a:avLst/>
                      </a:prstGeom>
                    </wps:spPr>
                    <wps:txbx>
                      <w:txbxContent>
                        <w:p w:rsidR="000078E9" w:rsidRDefault="00BE2153">
                          <w:pPr>
                            <w:spacing w:before="12"/>
                            <w:ind w:left="20"/>
                            <w:rPr>
                              <w:sz w:val="20"/>
                            </w:rPr>
                          </w:pPr>
                          <w:r>
                            <w:rPr>
                              <w:sz w:val="20"/>
                            </w:rPr>
                            <w:t>©</w:t>
                          </w:r>
                          <w:r>
                            <w:rPr>
                              <w:spacing w:val="-6"/>
                              <w:sz w:val="20"/>
                            </w:rPr>
                            <w:t xml:space="preserve"> </w:t>
                          </w:r>
                          <w:proofErr w:type="spellStart"/>
                          <w:r>
                            <w:rPr>
                              <w:sz w:val="20"/>
                            </w:rPr>
                            <w:t>AET</w:t>
                          </w:r>
                          <w:proofErr w:type="spellEnd"/>
                          <w:r>
                            <w:rPr>
                              <w:spacing w:val="-2"/>
                              <w:sz w:val="20"/>
                            </w:rPr>
                            <w:t xml:space="preserve"> </w:t>
                          </w:r>
                          <w:r>
                            <w:rPr>
                              <w:sz w:val="20"/>
                            </w:rPr>
                            <w:t>2013</w:t>
                          </w:r>
                          <w:r>
                            <w:rPr>
                              <w:spacing w:val="-3"/>
                              <w:sz w:val="20"/>
                            </w:rPr>
                            <w:t xml:space="preserve"> </w:t>
                          </w:r>
                          <w:r>
                            <w:rPr>
                              <w:sz w:val="20"/>
                            </w:rPr>
                            <w:t>and</w:t>
                          </w:r>
                          <w:r>
                            <w:rPr>
                              <w:spacing w:val="-4"/>
                              <w:sz w:val="20"/>
                            </w:rPr>
                            <w:t xml:space="preserve"> </w:t>
                          </w:r>
                          <w:r>
                            <w:rPr>
                              <w:spacing w:val="-2"/>
                              <w:sz w:val="20"/>
                            </w:rPr>
                            <w:t>contributors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2" type="#_x0000_t202" style="position:absolute;margin-left:88.9pt;margin-top:780.55pt;width:131.1pt;height:13.15pt;z-index:-1620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" filled="f" stroked="f">
              <v:path arrowok="t"/>
              <v:textbox inset="0,0,0,0">
                <w:txbxContent>
                  <w:p w:rsidR="000078E9" w:rsidRDefault="00BE2153">
                    <w:pPr>
                      <w:spacing w:before="12"/>
                      <w:ind w:left="20"/>
                      <w:rPr>
                        <w:sz w:val="20"/>
                      </w:rPr>
                    </w:pPr>
                    <w:r>
                      <w:rPr>
                        <w:sz w:val="20"/>
                      </w:rPr>
                      <w:t>©</w:t>
                    </w:r>
                    <w:r>
                      <w:rPr>
                        <w:spacing w:val="-6"/>
                        <w:sz w:val="20"/>
                      </w:rPr>
                      <w:t xml:space="preserve"> </w:t>
                    </w:r>
                    <w:proofErr w:type="spellStart"/>
                    <w:r>
                      <w:rPr>
                        <w:sz w:val="20"/>
                      </w:rPr>
                      <w:t>AET</w:t>
                    </w:r>
                    <w:proofErr w:type="spellEnd"/>
                    <w:r>
                      <w:rPr>
                        <w:spacing w:val="-2"/>
                        <w:sz w:val="20"/>
                      </w:rPr>
                      <w:t xml:space="preserve"> </w:t>
                    </w:r>
                    <w:r>
                      <w:rPr>
                        <w:sz w:val="20"/>
                      </w:rPr>
                      <w:t>2013</w:t>
                    </w:r>
                    <w:r>
                      <w:rPr>
                        <w:spacing w:val="-3"/>
                        <w:sz w:val="20"/>
                      </w:rPr>
                      <w:t xml:space="preserve"> </w:t>
                    </w:r>
                    <w:r>
                      <w:rPr>
                        <w:sz w:val="20"/>
                      </w:rPr>
                      <w:t>and</w:t>
                    </w:r>
                    <w:r>
                      <w:rPr>
                        <w:spacing w:val="-4"/>
                        <w:sz w:val="20"/>
                      </w:rPr>
                      <w:t xml:space="preserve"> </w:t>
                    </w:r>
                    <w:r>
                      <w:rPr>
                        <w:spacing w:val="-2"/>
                        <w:sz w:val="20"/>
                      </w:rPr>
                      <w:t>contributors</w:t>
                    </w:r>
                  </w:p>
                </w:txbxContent>
              </v:textbox>
              <w10:wrap anchorx="page" anchory="page"/>
            </v:shape>
          </w:pict>
        </mc:Fallback>
      </mc:AlternateContent>
    </w:r>
    <w:r>
      <w:rPr>
        <w:noProof/>
        <w:lang w:val="en-AU" w:eastAsia="en-AU"/>
      </w:rPr>
      <mc:AlternateContent>
        <mc:Choice Requires="wps">
          <w:drawing>
            <wp:anchor distT="0" distB="0" distL="0" distR="0" simplePos="0" relativeHeight="487116288" behindDoc="1" locked="0" layoutInCell="1" allowOverlap="1">
              <wp:simplePos x="0" y="0"/>
              <wp:positionH relativeFrom="page">
                <wp:posOffset>3683889</wp:posOffset>
              </wp:positionH>
              <wp:positionV relativeFrom="page">
                <wp:posOffset>10057088</wp:posOffset>
              </wp:positionV>
              <wp:extent cx="196215" cy="1962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rsidR="000078E9" w:rsidRDefault="00BE2153">
                          <w:pPr>
                            <w:pStyle w:val="BodyText"/>
                            <w:spacing w:before="12"/>
                            <w:ind w:left="20"/>
                          </w:pPr>
                          <w:r>
                            <w:rPr>
                              <w:spacing w:val="-5"/>
                            </w:rPr>
                            <w:t>13</w:t>
                          </w:r>
                        </w:p>
                      </w:txbxContent>
                    </wps:txbx>
                    <wps:bodyPr wrap="square" lIns="0" tIns="0" rIns="0" bIns="0" rtlCol="0">
                      <a:noAutofit/>
                    </wps:bodyPr>
                  </wps:wsp>
                </a:graphicData>
              </a:graphic>
            </wp:anchor>
          </w:drawing>
        </mc:Choice>
        <mc:Fallback>
          <w:pict>
            <v:shape id="Textbox 22" o:spid="_x0000_s1033" type="#_x0000_t202" style="position:absolute;margin-left:290.05pt;margin-top:791.9pt;width:15.45pt;height:15.45pt;z-index:-1620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" filled="f" stroked="f">
              <v:path arrowok="t"/>
              <v:textbox inset="0,0,0,0">
                <w:txbxContent>
                  <w:p w:rsidR="000078E9" w:rsidRDefault="00BE2153">
                    <w:pPr>
                      <w:pStyle w:val="BodyText"/>
                      <w:spacing w:before="12"/>
                      <w:ind w:left="20"/>
                    </w:pPr>
                    <w:r>
                      <w:rPr>
                        <w:spacing w:val="-5"/>
                      </w:rPr>
                      <w:t>13</w:t>
                    </w:r>
                  </w:p>
                </w:txbxContent>
              </v:textbox>
              <w10:wrap anchorx="page" anchory="page"/>
            </v:shape>
          </w:pict>
        </mc:Fallback>
      </mc:AlternateContent>
    </w:r>
    <w:r>
      <w:rPr>
        <w:noProof/>
        <w:lang w:val="en-AU" w:eastAsia="en-AU"/>
      </w:rPr>
      <mc:AlternateContent>
        <mc:Choice Requires="wps">
          <w:drawing>
            <wp:anchor distT="0" distB="0" distL="0" distR="0" simplePos="0" relativeHeight="487116800" behindDoc="1" locked="0" layoutInCell="1" allowOverlap="1">
              <wp:simplePos x="0" y="0"/>
              <wp:positionH relativeFrom="page">
                <wp:posOffset>622300</wp:posOffset>
              </wp:positionH>
              <wp:positionV relativeFrom="page">
                <wp:posOffset>10570195</wp:posOffset>
              </wp:positionV>
              <wp:extent cx="514350" cy="825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82550"/>
                      </a:xfrm>
                      <a:prstGeom prst="rect">
                        <a:avLst/>
                      </a:prstGeom>
                    </wps:spPr>
                    <wps:txbx>
                      <w:txbxContent>
                        <w:p w:rsidR="000078E9" w:rsidRDefault="00DD301B">
                          <w:pPr>
                            <w:spacing w:before="17"/>
                            <w:ind w:left="20"/>
                            <w:rPr>
                              <w:sz w:val="8"/>
                            </w:rPr>
                          </w:pPr>
                          <w:hyperlink r:id="rId1">
                            <w:r w:rsidR="00BE2153">
                              <w:rPr>
                                <w:color w:val="B3B3B3"/>
                                <w:sz w:val="8"/>
                              </w:rPr>
                              <w:t xml:space="preserve">View publication </w:t>
                            </w:r>
                            <w:r w:rsidR="00BE2153">
                              <w:rPr>
                                <w:color w:val="B3B3B3"/>
                                <w:spacing w:val="-2"/>
                                <w:sz w:val="8"/>
                              </w:rPr>
                              <w:t>stats</w:t>
                            </w:r>
                          </w:hyperlink>
                        </w:p>
                      </w:txbxContent>
                    </wps:txbx>
                    <wps:bodyPr wrap="square" lIns="0" tIns="0" rIns="0" bIns="0" rtlCol="0">
                      <a:noAutofit/>
                    </wps:bodyPr>
                  </wps:wsp>
                </a:graphicData>
              </a:graphic>
            </wp:anchor>
          </w:drawing>
        </mc:Choice>
        <mc:Fallback>
          <w:pict>
            <v:shape id="Textbox 23" o:spid="_x0000_s1034" type="#_x0000_t202" style="position:absolute;margin-left:49pt;margin-top:832.3pt;width:40.5pt;height:6.5pt;z-index:-1619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" filled="f" stroked="f">
              <v:path arrowok="t"/>
              <v:textbox inset="0,0,0,0">
                <w:txbxContent>
                  <w:p w:rsidR="000078E9" w:rsidRDefault="002E4766">
                    <w:pPr>
                      <w:spacing w:before="17"/>
                      <w:ind w:left="20"/>
                      <w:rPr>
                        <w:sz w:val="8"/>
                      </w:rPr>
                    </w:pPr>
                    <w:hyperlink r:id="rId2">
                      <w:r w:rsidR="00BE2153">
                        <w:rPr>
                          <w:color w:val="B3B3B3"/>
                          <w:sz w:val="8"/>
                        </w:rPr>
                        <w:t xml:space="preserve">View publication </w:t>
                      </w:r>
                      <w:r w:rsidR="00BE2153">
                        <w:rPr>
                          <w:color w:val="B3B3B3"/>
                          <w:spacing w:val="-2"/>
                          <w:sz w:val="8"/>
                        </w:rPr>
                        <w:t>stats</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01B" w:rsidRDefault="00DD301B">
      <w:r>
        <w:separator/>
      </w:r>
    </w:p>
  </w:footnote>
  <w:footnote w:type="continuationSeparator" w:id="0">
    <w:p w:rsidR="00DD301B" w:rsidRDefault="00DD3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E9" w:rsidRDefault="00BE2153">
    <w:pPr>
      <w:pStyle w:val="BodyText"/>
      <w:spacing w:line="14" w:lineRule="auto"/>
      <w:rPr>
        <w:sz w:val="20"/>
      </w:rPr>
    </w:pPr>
    <w:r>
      <w:rPr>
        <w:noProof/>
        <w:lang w:val="en-AU" w:eastAsia="en-AU"/>
      </w:rPr>
      <w:drawing>
        <wp:anchor distT="0" distB="0" distL="0" distR="0" simplePos="0" relativeHeight="487112704" behindDoc="1" locked="0" layoutInCell="1" allowOverlap="1">
          <wp:simplePos x="0" y="0"/>
          <wp:positionH relativeFrom="page">
            <wp:posOffset>1237039</wp:posOffset>
          </wp:positionH>
          <wp:positionV relativeFrom="page">
            <wp:posOffset>190101</wp:posOffset>
          </wp:positionV>
          <wp:extent cx="399666" cy="585106"/>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399666" cy="585106"/>
                  </a:xfrm>
                  <a:prstGeom prst="rect">
                    <a:avLst/>
                  </a:prstGeom>
                </pic:spPr>
              </pic:pic>
            </a:graphicData>
          </a:graphic>
        </wp:anchor>
      </w:drawing>
    </w:r>
    <w:r>
      <w:rPr>
        <w:noProof/>
        <w:lang w:val="en-AU" w:eastAsia="en-AU"/>
      </w:rPr>
      <w:drawing>
        <wp:anchor distT="0" distB="0" distL="0" distR="0" simplePos="0" relativeHeight="487113216" behindDoc="1" locked="0" layoutInCell="1" allowOverlap="1">
          <wp:simplePos x="0" y="0"/>
          <wp:positionH relativeFrom="page">
            <wp:posOffset>4868545</wp:posOffset>
          </wp:positionH>
          <wp:positionV relativeFrom="page">
            <wp:posOffset>241934</wp:posOffset>
          </wp:positionV>
          <wp:extent cx="1478279" cy="4953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1478279" cy="4953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E9" w:rsidRDefault="000078E9">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E9" w:rsidRDefault="00BE2153">
    <w:pPr>
      <w:pStyle w:val="BodyText"/>
      <w:spacing w:line="14" w:lineRule="auto"/>
      <w:rPr>
        <w:sz w:val="20"/>
      </w:rPr>
    </w:pPr>
    <w:r>
      <w:rPr>
        <w:noProof/>
        <w:lang w:val="en-AU" w:eastAsia="en-AU"/>
      </w:rPr>
      <w:drawing>
        <wp:anchor distT="0" distB="0" distL="0" distR="0" simplePos="0" relativeHeight="487114752" behindDoc="1" locked="0" layoutInCell="1" allowOverlap="1">
          <wp:simplePos x="0" y="0"/>
          <wp:positionH relativeFrom="page">
            <wp:posOffset>1237039</wp:posOffset>
          </wp:positionH>
          <wp:positionV relativeFrom="page">
            <wp:posOffset>190101</wp:posOffset>
          </wp:positionV>
          <wp:extent cx="399666" cy="585106"/>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399666" cy="585106"/>
                  </a:xfrm>
                  <a:prstGeom prst="rect">
                    <a:avLst/>
                  </a:prstGeom>
                </pic:spPr>
              </pic:pic>
            </a:graphicData>
          </a:graphic>
        </wp:anchor>
      </w:drawing>
    </w:r>
    <w:r>
      <w:rPr>
        <w:noProof/>
        <w:lang w:val="en-AU" w:eastAsia="en-AU"/>
      </w:rPr>
      <w:drawing>
        <wp:anchor distT="0" distB="0" distL="0" distR="0" simplePos="0" relativeHeight="487115264" behindDoc="1" locked="0" layoutInCell="1" allowOverlap="1">
          <wp:simplePos x="0" y="0"/>
          <wp:positionH relativeFrom="page">
            <wp:posOffset>4868545</wp:posOffset>
          </wp:positionH>
          <wp:positionV relativeFrom="page">
            <wp:posOffset>241934</wp:posOffset>
          </wp:positionV>
          <wp:extent cx="1478279" cy="4953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1478279" cy="495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6216B0"/>
    <w:multiLevelType w:val="hybridMultilevel"/>
    <w:tmpl w:val="1A50BA88"/>
    <w:lvl w:ilvl="0" w:tplc="0C090001">
      <w:start w:val="1"/>
      <w:numFmt w:val="bullet"/>
      <w:lvlText w:val=""/>
      <w:lvlJc w:val="left"/>
      <w:pPr>
        <w:ind w:left="1398" w:hanging="360"/>
      </w:pPr>
      <w:rPr>
        <w:rFonts w:ascii="Symbol" w:hAnsi="Symbol" w:hint="default"/>
      </w:rPr>
    </w:lvl>
    <w:lvl w:ilvl="1" w:tplc="0C090003" w:tentative="1">
      <w:start w:val="1"/>
      <w:numFmt w:val="bullet"/>
      <w:lvlText w:val="o"/>
      <w:lvlJc w:val="left"/>
      <w:pPr>
        <w:ind w:left="2118" w:hanging="360"/>
      </w:pPr>
      <w:rPr>
        <w:rFonts w:ascii="Courier New" w:hAnsi="Courier New" w:cs="Courier New" w:hint="default"/>
      </w:rPr>
    </w:lvl>
    <w:lvl w:ilvl="2" w:tplc="0C090005" w:tentative="1">
      <w:start w:val="1"/>
      <w:numFmt w:val="bullet"/>
      <w:lvlText w:val=""/>
      <w:lvlJc w:val="left"/>
      <w:pPr>
        <w:ind w:left="2838" w:hanging="360"/>
      </w:pPr>
      <w:rPr>
        <w:rFonts w:ascii="Wingdings" w:hAnsi="Wingdings" w:hint="default"/>
      </w:rPr>
    </w:lvl>
    <w:lvl w:ilvl="3" w:tplc="0C090001" w:tentative="1">
      <w:start w:val="1"/>
      <w:numFmt w:val="bullet"/>
      <w:lvlText w:val=""/>
      <w:lvlJc w:val="left"/>
      <w:pPr>
        <w:ind w:left="3558" w:hanging="360"/>
      </w:pPr>
      <w:rPr>
        <w:rFonts w:ascii="Symbol" w:hAnsi="Symbol" w:hint="default"/>
      </w:rPr>
    </w:lvl>
    <w:lvl w:ilvl="4" w:tplc="0C090003" w:tentative="1">
      <w:start w:val="1"/>
      <w:numFmt w:val="bullet"/>
      <w:lvlText w:val="o"/>
      <w:lvlJc w:val="left"/>
      <w:pPr>
        <w:ind w:left="4278" w:hanging="360"/>
      </w:pPr>
      <w:rPr>
        <w:rFonts w:ascii="Courier New" w:hAnsi="Courier New" w:cs="Courier New" w:hint="default"/>
      </w:rPr>
    </w:lvl>
    <w:lvl w:ilvl="5" w:tplc="0C090005" w:tentative="1">
      <w:start w:val="1"/>
      <w:numFmt w:val="bullet"/>
      <w:lvlText w:val=""/>
      <w:lvlJc w:val="left"/>
      <w:pPr>
        <w:ind w:left="4998" w:hanging="360"/>
      </w:pPr>
      <w:rPr>
        <w:rFonts w:ascii="Wingdings" w:hAnsi="Wingdings" w:hint="default"/>
      </w:rPr>
    </w:lvl>
    <w:lvl w:ilvl="6" w:tplc="0C090001" w:tentative="1">
      <w:start w:val="1"/>
      <w:numFmt w:val="bullet"/>
      <w:lvlText w:val=""/>
      <w:lvlJc w:val="left"/>
      <w:pPr>
        <w:ind w:left="5718" w:hanging="360"/>
      </w:pPr>
      <w:rPr>
        <w:rFonts w:ascii="Symbol" w:hAnsi="Symbol" w:hint="default"/>
      </w:rPr>
    </w:lvl>
    <w:lvl w:ilvl="7" w:tplc="0C090003" w:tentative="1">
      <w:start w:val="1"/>
      <w:numFmt w:val="bullet"/>
      <w:lvlText w:val="o"/>
      <w:lvlJc w:val="left"/>
      <w:pPr>
        <w:ind w:left="6438" w:hanging="360"/>
      </w:pPr>
      <w:rPr>
        <w:rFonts w:ascii="Courier New" w:hAnsi="Courier New" w:cs="Courier New" w:hint="default"/>
      </w:rPr>
    </w:lvl>
    <w:lvl w:ilvl="8" w:tplc="0C090005" w:tentative="1">
      <w:start w:val="1"/>
      <w:numFmt w:val="bullet"/>
      <w:lvlText w:val=""/>
      <w:lvlJc w:val="left"/>
      <w:pPr>
        <w:ind w:left="7158" w:hanging="360"/>
      </w:pPr>
      <w:rPr>
        <w:rFonts w:ascii="Wingdings" w:hAnsi="Wingdings" w:hint="default"/>
      </w:rPr>
    </w:lvl>
  </w:abstractNum>
  <w:abstractNum w:abstractNumId="1">
    <w:nsid w:val="6ABF7374"/>
    <w:multiLevelType w:val="hybridMultilevel"/>
    <w:tmpl w:val="E61E9FEA"/>
    <w:lvl w:ilvl="0" w:tplc="4608371E">
      <w:start w:val="1"/>
      <w:numFmt w:val="decimal"/>
      <w:lvlText w:val="%1."/>
      <w:lvlJc w:val="left"/>
      <w:pPr>
        <w:ind w:left="678" w:hanging="567"/>
      </w:pPr>
      <w:rPr>
        <w:rFonts w:ascii="Arial" w:eastAsia="Arial" w:hAnsi="Arial" w:cs="Arial" w:hint="default"/>
        <w:b/>
        <w:bCs/>
        <w:i w:val="0"/>
        <w:iCs w:val="0"/>
        <w:spacing w:val="0"/>
        <w:w w:val="100"/>
        <w:sz w:val="24"/>
        <w:szCs w:val="24"/>
        <w:lang w:val="en-US" w:eastAsia="en-US" w:bidi="ar-SA"/>
      </w:rPr>
    </w:lvl>
    <w:lvl w:ilvl="1" w:tplc="EEA6F696">
      <w:numFmt w:val="bullet"/>
      <w:lvlText w:val="•"/>
      <w:lvlJc w:val="left"/>
      <w:pPr>
        <w:ind w:left="1524" w:hanging="567"/>
      </w:pPr>
      <w:rPr>
        <w:rFonts w:hint="default"/>
        <w:lang w:val="en-US" w:eastAsia="en-US" w:bidi="ar-SA"/>
      </w:rPr>
    </w:lvl>
    <w:lvl w:ilvl="2" w:tplc="58D6919E">
      <w:numFmt w:val="bullet"/>
      <w:lvlText w:val="•"/>
      <w:lvlJc w:val="left"/>
      <w:pPr>
        <w:ind w:left="2369" w:hanging="567"/>
      </w:pPr>
      <w:rPr>
        <w:rFonts w:hint="default"/>
        <w:lang w:val="en-US" w:eastAsia="en-US" w:bidi="ar-SA"/>
      </w:rPr>
    </w:lvl>
    <w:lvl w:ilvl="3" w:tplc="C19AB4EE">
      <w:numFmt w:val="bullet"/>
      <w:lvlText w:val="•"/>
      <w:lvlJc w:val="left"/>
      <w:pPr>
        <w:ind w:left="3213" w:hanging="567"/>
      </w:pPr>
      <w:rPr>
        <w:rFonts w:hint="default"/>
        <w:lang w:val="en-US" w:eastAsia="en-US" w:bidi="ar-SA"/>
      </w:rPr>
    </w:lvl>
    <w:lvl w:ilvl="4" w:tplc="99586EC6">
      <w:numFmt w:val="bullet"/>
      <w:lvlText w:val="•"/>
      <w:lvlJc w:val="left"/>
      <w:pPr>
        <w:ind w:left="4058" w:hanging="567"/>
      </w:pPr>
      <w:rPr>
        <w:rFonts w:hint="default"/>
        <w:lang w:val="en-US" w:eastAsia="en-US" w:bidi="ar-SA"/>
      </w:rPr>
    </w:lvl>
    <w:lvl w:ilvl="5" w:tplc="4230C036">
      <w:numFmt w:val="bullet"/>
      <w:lvlText w:val="•"/>
      <w:lvlJc w:val="left"/>
      <w:pPr>
        <w:ind w:left="4903" w:hanging="567"/>
      </w:pPr>
      <w:rPr>
        <w:rFonts w:hint="default"/>
        <w:lang w:val="en-US" w:eastAsia="en-US" w:bidi="ar-SA"/>
      </w:rPr>
    </w:lvl>
    <w:lvl w:ilvl="6" w:tplc="7034DA1E">
      <w:numFmt w:val="bullet"/>
      <w:lvlText w:val="•"/>
      <w:lvlJc w:val="left"/>
      <w:pPr>
        <w:ind w:left="5747" w:hanging="567"/>
      </w:pPr>
      <w:rPr>
        <w:rFonts w:hint="default"/>
        <w:lang w:val="en-US" w:eastAsia="en-US" w:bidi="ar-SA"/>
      </w:rPr>
    </w:lvl>
    <w:lvl w:ilvl="7" w:tplc="406E157C">
      <w:numFmt w:val="bullet"/>
      <w:lvlText w:val="•"/>
      <w:lvlJc w:val="left"/>
      <w:pPr>
        <w:ind w:left="6592" w:hanging="567"/>
      </w:pPr>
      <w:rPr>
        <w:rFonts w:hint="default"/>
        <w:lang w:val="en-US" w:eastAsia="en-US" w:bidi="ar-SA"/>
      </w:rPr>
    </w:lvl>
    <w:lvl w:ilvl="8" w:tplc="9072F278">
      <w:numFmt w:val="bullet"/>
      <w:lvlText w:val="•"/>
      <w:lvlJc w:val="left"/>
      <w:pPr>
        <w:ind w:left="7437" w:hanging="56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8E9"/>
    <w:rsid w:val="000078E9"/>
    <w:rsid w:val="001E1855"/>
    <w:rsid w:val="002E4766"/>
    <w:rsid w:val="00573684"/>
    <w:rsid w:val="00781FA4"/>
    <w:rsid w:val="00793896"/>
    <w:rsid w:val="00795F06"/>
    <w:rsid w:val="008604F8"/>
    <w:rsid w:val="00A54C18"/>
    <w:rsid w:val="00B024DF"/>
    <w:rsid w:val="00BD5A7A"/>
    <w:rsid w:val="00BE2153"/>
    <w:rsid w:val="00CB7604"/>
    <w:rsid w:val="00DB5B12"/>
    <w:rsid w:val="00DD301B"/>
    <w:rsid w:val="00F332E3"/>
    <w:rsid w:val="00FE5F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E18E9-B17F-4C0B-8828-08B4D475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41"/>
      <w:ind w:left="677" w:hanging="5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15"/>
    </w:pPr>
    <w:rPr>
      <w:rFonts w:ascii="Georgia" w:eastAsia="Georgia" w:hAnsi="Georgia" w:cs="Georgia"/>
      <w:sz w:val="26"/>
      <w:szCs w:val="26"/>
    </w:rPr>
  </w:style>
  <w:style w:type="paragraph" w:styleId="ListParagraph">
    <w:name w:val="List Paragraph"/>
    <w:basedOn w:val="Normal"/>
    <w:uiPriority w:val="1"/>
    <w:qFormat/>
    <w:pPr>
      <w:spacing w:before="241"/>
      <w:ind w:left="677" w:hanging="566"/>
    </w:pPr>
  </w:style>
  <w:style w:type="paragraph" w:customStyle="1" w:styleId="TableParagraph">
    <w:name w:val="Table Paragraph"/>
    <w:basedOn w:val="Normal"/>
    <w:uiPriority w:val="1"/>
    <w:qFormat/>
    <w:pPr>
      <w:jc w:val="right"/>
    </w:pPr>
  </w:style>
  <w:style w:type="character" w:styleId="Hyperlink">
    <w:name w:val="Hyperlink"/>
    <w:basedOn w:val="DefaultParagraphFont"/>
    <w:uiPriority w:val="99"/>
    <w:unhideWhenUsed/>
    <w:rsid w:val="008604F8"/>
    <w:rPr>
      <w:color w:val="0000FF" w:themeColor="hyperlink"/>
      <w:u w:val="single"/>
    </w:rPr>
  </w:style>
  <w:style w:type="paragraph" w:styleId="Header">
    <w:name w:val="header"/>
    <w:basedOn w:val="Normal"/>
    <w:link w:val="HeaderChar"/>
    <w:uiPriority w:val="99"/>
    <w:unhideWhenUsed/>
    <w:rsid w:val="00CB7604"/>
    <w:pPr>
      <w:tabs>
        <w:tab w:val="center" w:pos="4513"/>
        <w:tab w:val="right" w:pos="9026"/>
      </w:tabs>
    </w:pPr>
  </w:style>
  <w:style w:type="character" w:customStyle="1" w:styleId="HeaderChar">
    <w:name w:val="Header Char"/>
    <w:basedOn w:val="DefaultParagraphFont"/>
    <w:link w:val="Header"/>
    <w:uiPriority w:val="99"/>
    <w:rsid w:val="00CB7604"/>
    <w:rPr>
      <w:rFonts w:ascii="Arial" w:eastAsia="Arial" w:hAnsi="Arial" w:cs="Arial"/>
    </w:rPr>
  </w:style>
  <w:style w:type="paragraph" w:styleId="Footer">
    <w:name w:val="footer"/>
    <w:basedOn w:val="Normal"/>
    <w:link w:val="FooterChar"/>
    <w:uiPriority w:val="99"/>
    <w:unhideWhenUsed/>
    <w:rsid w:val="00CB7604"/>
    <w:pPr>
      <w:tabs>
        <w:tab w:val="center" w:pos="4513"/>
        <w:tab w:val="right" w:pos="9026"/>
      </w:tabs>
    </w:pPr>
  </w:style>
  <w:style w:type="character" w:customStyle="1" w:styleId="FooterChar">
    <w:name w:val="Footer Char"/>
    <w:basedOn w:val="DefaultParagraphFont"/>
    <w:link w:val="Footer"/>
    <w:uiPriority w:val="99"/>
    <w:rsid w:val="00CB760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institution/Norwegian-University-of-Science-and-Technology2?enrichId=rgreq-64fafb49c3904a62ea3762fc0cbf9ee2-XXX&amp;enrichSource=Y292ZXJQYWdlOzMyMjg1MzcwOTtBUzo1ODkxNDc2MjY1NDUxNTJAMTUxNzQ3NTE0ODEwNQ%3D%3D&amp;el=1_x_6&amp;_esc=publicationCoverPdf" TargetMode="External"/><Relationship Id="rId18" Type="http://schemas.openxmlformats.org/officeDocument/2006/relationships/hyperlink" Target="https://www.researchgate.net/profile/Morten-Welde?enrichId=rgreq-64fafb49c3904a62ea3762fc0cbf9ee2-XXX&amp;enrichSource=Y292ZXJQYWdlOzMyMjg1MzcwOTtBUzo1ODkxNDc2MjY1NDUxNTJAMTUxNzQ3NTE0ODEwNQ%3D%3D&amp;el=1_x_7&amp;_esc=publicationCoverPdf" TargetMode="External"/><Relationship Id="rId26" Type="http://schemas.openxmlformats.org/officeDocument/2006/relationships/hyperlink" Target="https://www.researchgate.net/profile/Jonas-Eliasson?enrichId=rgreq-64fafb49c3904a62ea3762fc0cbf9ee2-XXX&amp;enrichSource=Y292ZXJQYWdlOzMyMjg1MzcwOTtBUzo1ODkxNDc2MjY1NDUxNTJAMTUxNzQ3NTE0ODEwNQ==&amp;el=1_x_4&amp;_esc=publicationCoverPdf" TargetMode="External"/><Relationship Id="rId39" Type="http://schemas.openxmlformats.org/officeDocument/2006/relationships/footer" Target="footer3.xml"/><Relationship Id="rId21" Type="http://schemas.openxmlformats.org/officeDocument/2006/relationships/hyperlink" Target="https://www.researchgate.net/profile/James-Odeck?enrichId=rgreq-64fafb49c3904a62ea3762fc0cbf9ee2-XXX&amp;enrichSource=Y292ZXJQYWdlOzMyMjg1MzcwOTtBUzo1ODkxNDc2MjY1NDUxNTJAMTUxNzQ3NTE0ODEwNQ%3D%3D&amp;el=1_x_7&amp;_esc=publicationCoverPdf" TargetMode="External"/><Relationship Id="rId34" Type="http://schemas.openxmlformats.org/officeDocument/2006/relationships/footer" Target="footer1.xml"/><Relationship Id="rId7" Type="http://schemas.openxmlformats.org/officeDocument/2006/relationships/hyperlink" Target="https://www.researchgate.net/?enrichId=rgreq-64fafb49c3904a62ea3762fc0cbf9ee2-XXX&amp;enrichSource=Y292ZXJQYWdlOzMyMjg1MzcwOTtBUzo1ODkxNDc2MjY1NDUxNTJAMTUxNzQ3NTE0ODEwNQ==&amp;el=1_x_1&amp;_esc=publicationCoverPdf"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researchgate.net/profile/James-Odeck?enrichId=rgreq-64fafb49c3904a62ea3762fc0cbf9ee2-XXX&amp;enrichSource=Y292ZXJQYWdlOzMyMjg1MzcwOTtBUzo1ODkxNDc2MjY1NDUxNTJAMTUxNzQ3NTE0ODEwNQ%3D%3D&amp;el=1_x_7&amp;_esc=publicationCoverPdf" TargetMode="External"/><Relationship Id="rId29" Type="http://schemas.openxmlformats.org/officeDocument/2006/relationships/hyperlink" Target="https://www.researchgate.net/profile/Maria-Boerjesson?enrichId=rgreq-64fafb49c3904a62ea3762fc0cbf9ee2-XXX&amp;enrichSource=Y292ZXJQYWdlOzMyMjg1MzcwOTtBUzo1ODkxNDc2MjY1NDUxNTJAMTUxNzQ3NTE0ODEwNQ%3D%3D&amp;el=1_x_7&amp;_esc=publicationCover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researchgate.net/profile/Maria-Boerjesson?enrichId=rgreq-64fafb49c3904a62ea3762fc0cbf9ee2-XXX&amp;enrichSource=Y292ZXJQYWdlOzMyMjg1MzcwOTtBUzo1ODkxNDc2MjY1NDUxNTJAMTUxNzQ3NTE0ODEwNQ%3D%3D&amp;el=1_x_5&amp;_esc=publicationCoverPdf" TargetMode="External"/><Relationship Id="rId32" Type="http://schemas.openxmlformats.org/officeDocument/2006/relationships/hyperlink" Target="https://www.researchgate.net/profile/Morten-Welde?enrichId=rgreq-64fafb49c3904a62ea3762fc0cbf9ee2-XXX&amp;enrichSource=Y292ZXJQYWdlOzMyMjg1MzcwOTtBUzo1ODkxNDc2MjY1NDUxNTJAMTUxNzQ3NTE0ODEwNQ%3D%3D&amp;el=1_x_10&amp;_esc=publicationCover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searchgate.net/profile/James-Odeck?enrichId=rgreq-64fafb49c3904a62ea3762fc0cbf9ee2-XXX&amp;enrichSource=Y292ZXJQYWdlOzMyMjg1MzcwOTtBUzo1ODkxNDc2MjY1NDUxNTJAMTUxNzQ3NTE0ODEwNQ==&amp;el=1_x_4&amp;_esc=publicationCoverPdf" TargetMode="External"/><Relationship Id="rId23" Type="http://schemas.openxmlformats.org/officeDocument/2006/relationships/image" Target="media/image4.png"/><Relationship Id="rId28" Type="http://schemas.openxmlformats.org/officeDocument/2006/relationships/hyperlink" Target="https://www.researchgate.net/profile/Maria-Boerjesson?enrichId=rgreq-64fafb49c3904a62ea3762fc0cbf9ee2-XXX&amp;enrichSource=Y292ZXJQYWdlOzMyMjg1MzcwOTtBUzo1ODkxNDc2MjY1NDUxNTJAMTUxNzQ3NTE0ODEwNQ%3D%3D&amp;el=1_x_7&amp;_esc=publicationCoverPdf" TargetMode="External"/><Relationship Id="rId36" Type="http://schemas.openxmlformats.org/officeDocument/2006/relationships/header" Target="header2.xml"/><Relationship Id="rId10" Type="http://schemas.openxmlformats.org/officeDocument/2006/relationships/hyperlink" Target="https://www.researchgate.net/profile/Morten-Welde?enrichId=rgreq-64fafb49c3904a62ea3762fc0cbf9ee2-XXX&amp;enrichSource=Y292ZXJQYWdlOzMyMjg1MzcwOTtBUzo1ODkxNDc2MjY1NDUxNTJAMTUxNzQ3NTE0ODEwNQ==&amp;el=1_x_4&amp;_esc=publicationCoverPdf" TargetMode="External"/><Relationship Id="rId19" Type="http://schemas.openxmlformats.org/officeDocument/2006/relationships/hyperlink" Target="https://www.researchgate.net/profile/Morten-Welde?enrichId=rgreq-64fafb49c3904a62ea3762fc0cbf9ee2-XXX&amp;enrichSource=Y292ZXJQYWdlOzMyMjg1MzcwOTtBUzo1ODkxNDc2MjY1NDUxNTJAMTUxNzQ3NTE0ODEwNQ%3D%3D&amp;el=1_x_7&amp;_esc=publicationCoverPdf" TargetMode="External"/><Relationship Id="rId31" Type="http://schemas.openxmlformats.org/officeDocument/2006/relationships/hyperlink" Target="https://www.researchgate.net/profile/Jonas-Eliasson?enrichId=rgreq-64fafb49c3904a62ea3762fc0cbf9ee2-XXX&amp;enrichSource=Y292ZXJQYWdlOzMyMjg1MzcwOTtBUzo1ODkxNDc2MjY1NDUxNTJAMTUxNzQ3NTE0ODEwNQ%3D%3D&amp;el=1_x_7&amp;_esc=publicationCoverPdf" TargetMode="External"/><Relationship Id="rId4" Type="http://schemas.openxmlformats.org/officeDocument/2006/relationships/webSettings" Target="webSettings.xml"/><Relationship Id="rId9" Type="http://schemas.openxmlformats.org/officeDocument/2006/relationships/hyperlink" Target="https://www.researchgate.net/publication/322853709_The_Use_of_Cost-Benefit_Analyses_in_Norway_And_Sweden_A_Comparison?enrichId=rgreq-64fafb49c3904a62ea3762fc0cbf9ee2-XXX&amp;enrichSource=Y292ZXJQYWdlOzMyMjg1MzcwOTtBUzo1ODkxNDc2MjY1NDUxNTJAMTUxNzQ3NTE0ODEwNQ%3D%3D&amp;el=1_x_2&amp;_esc=publicationCoverPdf" TargetMode="External"/><Relationship Id="rId14" Type="http://schemas.openxmlformats.org/officeDocument/2006/relationships/hyperlink" Target="https://www.researchgate.net/profile/James-Odeck?enrichId=rgreq-64fafb49c3904a62ea3762fc0cbf9ee2-XXX&amp;enrichSource=Y292ZXJQYWdlOzMyMjg1MzcwOTtBUzo1ODkxNDc2MjY1NDUxNTJAMTUxNzQ3NTE0ODEwNQ%3D%3D&amp;el=1_x_5&amp;_esc=publicationCoverPdf" TargetMode="External"/><Relationship Id="rId22" Type="http://schemas.openxmlformats.org/officeDocument/2006/relationships/hyperlink" Target="https://www.researchgate.net/profile/Maria-Boerjesson?enrichId=rgreq-64fafb49c3904a62ea3762fc0cbf9ee2-XXX&amp;enrichSource=Y292ZXJQYWdlOzMyMjg1MzcwOTtBUzo1ODkxNDc2MjY1NDUxNTJAMTUxNzQ3NTE0ODEwNQ==&amp;el=1_x_4&amp;_esc=publicationCoverPdf" TargetMode="External"/><Relationship Id="rId27" Type="http://schemas.openxmlformats.org/officeDocument/2006/relationships/image" Target="media/image5.png"/><Relationship Id="rId30" Type="http://schemas.openxmlformats.org/officeDocument/2006/relationships/hyperlink" Target="https://www.researchgate.net/profile/Jonas-Eliasson?enrichId=rgreq-64fafb49c3904a62ea3762fc0cbf9ee2-XXX&amp;enrichSource=Y292ZXJQYWdlOzMyMjg1MzcwOTtBUzo1ODkxNDc2MjY1NDUxNTJAMTUxNzQ3NTE0ODEwNQ%3D%3D&amp;el=1_x_7&amp;_esc=publicationCoverPdf" TargetMode="External"/><Relationship Id="rId35" Type="http://schemas.openxmlformats.org/officeDocument/2006/relationships/image" Target="media/image8.jpeg"/><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www.researchgate.net/profile/Morten-Welde?enrichId=rgreq-64fafb49c3904a62ea3762fc0cbf9ee2-XXX&amp;enrichSource=Y292ZXJQYWdlOzMyMjg1MzcwOTtBUzo1ODkxNDc2MjY1NDUxNTJAMTUxNzQ3NTE0ODEwNQ%3D%3D&amp;el=1_x_5&amp;_esc=publicationCoverPdf" TargetMode="External"/><Relationship Id="rId17" Type="http://schemas.openxmlformats.org/officeDocument/2006/relationships/hyperlink" Target="https://www.researchgate.net/institution/Norwegian-University-of-Science-and-Technology2?enrichId=rgreq-64fafb49c3904a62ea3762fc0cbf9ee2-XXX&amp;enrichSource=Y292ZXJQYWdlOzMyMjg1MzcwOTtBUzo1ODkxNDc2MjY1NDUxNTJAMTUxNzQ3NTE0ODEwNQ%3D%3D&amp;el=1_x_6&amp;_esc=publicationCoverPdf" TargetMode="External"/><Relationship Id="rId25" Type="http://schemas.openxmlformats.org/officeDocument/2006/relationships/hyperlink" Target="https://www.researchgate.net/profile/Jonas-Eliasson?enrichId=rgreq-64fafb49c3904a62ea3762fc0cbf9ee2-XXX&amp;enrichSource=Y292ZXJQYWdlOzMyMjg1MzcwOTtBUzo1ODkxNDc2MjY1NDUxNTJAMTUxNzQ3NTE0ODEwNQ%3D%3D&amp;el=1_x_5&amp;_esc=publicationCoverPdf" TargetMode="External"/><Relationship Id="rId33" Type="http://schemas.openxmlformats.org/officeDocument/2006/relationships/header" Target="header1.xml"/><Relationship Id="rId38"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www.researchgate.net/publication/322853709" TargetMode="External"/><Relationship Id="rId1" Type="http://schemas.openxmlformats.org/officeDocument/2006/relationships/hyperlink" Target="https://www.researchgate.net/publication/32285370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14</Pages>
  <Words>3995</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Welde</dc:creator>
  <cp:lastModifiedBy>Microsoft account</cp:lastModifiedBy>
  <cp:revision>12</cp:revision>
  <dcterms:created xsi:type="dcterms:W3CDTF">2025-04-03T06:52:00Z</dcterms:created>
  <dcterms:modified xsi:type="dcterms:W3CDTF">2025-04-08T01:53:00Z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2013-09-04T00:00:00Z</vt:filetime>
  </property>
  <property fmtid="{D5CDD505-2E9C-101B-9397-08002B2CF9AE}" pid="3" name="Creator">
    <vt:lpwstr>Microsoft® Word 2010</vt:lpwstr>
  </property>
  <property fmtid="{D5CDD505-2E9C-101B-9397-08002B2CF9AE}" pid="4" name="LastSaved">
    <vt:filetime>2025-04-03T00:00:00Z</vt:filetime>
  </property>
  <property fmtid="{D5CDD505-2E9C-101B-9397-08002B2CF9AE}" pid="5" name="Producer">
    <vt:lpwstr>Microsoft® Word 2010</vt:lpwstr>
  </property>
  <property fmtid="{D5CDD505-2E9C-101B-9397-08002B2CF9AE}" pid="6" name="rgid">
    <vt:lpwstr>PB:322853709_AS:589147626545152@1517475148105</vt:lpwstr>
  </property>
</Properties>
</file>