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733F5" w14:textId="77777777" w:rsidR="00665414" w:rsidRPr="00665414" w:rsidRDefault="00665414" w:rsidP="00665414">
      <w:pPr>
        <w:jc w:val="right"/>
        <w:rPr>
          <w:sz w:val="23"/>
          <w:szCs w:val="23"/>
        </w:rPr>
      </w:pPr>
      <w:r w:rsidRPr="00665414">
        <w:rPr>
          <w:sz w:val="23"/>
          <w:szCs w:val="23"/>
        </w:rPr>
        <w:t>Unit 5, 13 – 15 Stokes St</w:t>
      </w:r>
    </w:p>
    <w:p w14:paraId="4F511AC4" w14:textId="77777777" w:rsidR="00665414" w:rsidRPr="00665414" w:rsidRDefault="00665414" w:rsidP="00665414">
      <w:pPr>
        <w:jc w:val="right"/>
        <w:rPr>
          <w:sz w:val="23"/>
          <w:szCs w:val="23"/>
        </w:rPr>
      </w:pPr>
      <w:r w:rsidRPr="00665414">
        <w:rPr>
          <w:sz w:val="23"/>
          <w:szCs w:val="23"/>
        </w:rPr>
        <w:t>Lane Cove North NSW 2066</w:t>
      </w:r>
    </w:p>
    <w:p w14:paraId="757CA618" w14:textId="77777777" w:rsidR="00665414" w:rsidRPr="00665414" w:rsidRDefault="00665414" w:rsidP="00665414">
      <w:pPr>
        <w:jc w:val="right"/>
        <w:rPr>
          <w:sz w:val="23"/>
          <w:szCs w:val="23"/>
        </w:rPr>
      </w:pPr>
      <w:r w:rsidRPr="00665414">
        <w:rPr>
          <w:sz w:val="23"/>
          <w:szCs w:val="23"/>
        </w:rPr>
        <w:t>18 –April 2024</w:t>
      </w:r>
    </w:p>
    <w:p w14:paraId="49FCDF34" w14:textId="77777777" w:rsidR="00665414" w:rsidRPr="00665414" w:rsidRDefault="00665414" w:rsidP="00665414">
      <w:pPr>
        <w:jc w:val="right"/>
        <w:rPr>
          <w:sz w:val="23"/>
          <w:szCs w:val="23"/>
        </w:rPr>
      </w:pPr>
      <w:r w:rsidRPr="00665414">
        <w:rPr>
          <w:sz w:val="23"/>
          <w:szCs w:val="23"/>
        </w:rPr>
        <w:t>0434 715.861</w:t>
      </w:r>
    </w:p>
    <w:p w14:paraId="050BAABB" w14:textId="77777777" w:rsidR="00665414" w:rsidRPr="00665414" w:rsidRDefault="00514192" w:rsidP="00665414">
      <w:pPr>
        <w:jc w:val="right"/>
        <w:rPr>
          <w:sz w:val="23"/>
          <w:szCs w:val="23"/>
        </w:rPr>
      </w:pPr>
      <w:hyperlink r:id="rId7" w:history="1">
        <w:r w:rsidR="00665414" w:rsidRPr="00665414">
          <w:rPr>
            <w:rStyle w:val="Hyperlink"/>
            <w:color w:val="auto"/>
            <w:sz w:val="23"/>
            <w:szCs w:val="23"/>
          </w:rPr>
          <w:t>scribepj@bigpond.com</w:t>
        </w:r>
      </w:hyperlink>
    </w:p>
    <w:p w14:paraId="6D55D952" w14:textId="7E46AC19" w:rsidR="007D7D74" w:rsidRDefault="008B551A" w:rsidP="007D7D74">
      <w:r>
        <w:t>11</w:t>
      </w:r>
      <w:r w:rsidR="00AD32B2">
        <w:t xml:space="preserve"> December 2025</w:t>
      </w:r>
    </w:p>
    <w:p w14:paraId="117F225E" w14:textId="77777777" w:rsidR="007D7D74" w:rsidRPr="00664297" w:rsidRDefault="007D7D74" w:rsidP="007D7D74">
      <w:pPr>
        <w:rPr>
          <w:sz w:val="16"/>
          <w:szCs w:val="16"/>
        </w:rPr>
      </w:pPr>
    </w:p>
    <w:p w14:paraId="55562220" w14:textId="77777777" w:rsidR="007D7D74" w:rsidRPr="007D7D74" w:rsidRDefault="007D7D74" w:rsidP="007D7D74">
      <w:r w:rsidRPr="007D7D74">
        <w:t>Dr Kate da Costa</w:t>
      </w:r>
    </w:p>
    <w:p w14:paraId="64680562" w14:textId="77777777" w:rsidR="007D7D74" w:rsidRPr="007D7D74" w:rsidRDefault="007D7D74" w:rsidP="007D7D74">
      <w:pPr>
        <w:rPr>
          <w:lang w:eastAsia="en-AU"/>
        </w:rPr>
      </w:pPr>
      <w:r w:rsidRPr="007D7D74">
        <w:t>Campaign Lead, Communications &amp; Advocacy</w:t>
      </w:r>
    </w:p>
    <w:p w14:paraId="05A35FB0" w14:textId="77777777" w:rsidR="007D7D74" w:rsidRPr="007D7D74" w:rsidRDefault="007D7D74" w:rsidP="007D7D74">
      <w:r w:rsidRPr="007D7D74">
        <w:t>Wesley Mission</w:t>
      </w:r>
    </w:p>
    <w:p w14:paraId="679AA9AB" w14:textId="77777777" w:rsidR="007D7D74" w:rsidRPr="007D7D74" w:rsidRDefault="007D7D74" w:rsidP="007D7D74">
      <w:r w:rsidRPr="007D7D74">
        <w:t>220 Pitt Street, Sydney NSW 2000</w:t>
      </w:r>
    </w:p>
    <w:p w14:paraId="336BF0F2" w14:textId="77777777" w:rsidR="007D7D74" w:rsidRDefault="007D7D74" w:rsidP="00665414">
      <w:pPr>
        <w:rPr>
          <w:sz w:val="23"/>
          <w:szCs w:val="23"/>
        </w:rPr>
      </w:pPr>
    </w:p>
    <w:p w14:paraId="4F073600" w14:textId="74D815E0" w:rsidR="007D7D74" w:rsidRDefault="007D7D74" w:rsidP="00665414">
      <w:pPr>
        <w:rPr>
          <w:sz w:val="23"/>
          <w:szCs w:val="23"/>
        </w:rPr>
      </w:pPr>
      <w:r>
        <w:rPr>
          <w:sz w:val="23"/>
          <w:szCs w:val="23"/>
        </w:rPr>
        <w:t xml:space="preserve">Dear </w:t>
      </w:r>
      <w:r w:rsidR="00774FF9">
        <w:rPr>
          <w:sz w:val="23"/>
          <w:szCs w:val="23"/>
        </w:rPr>
        <w:t>Kat</w:t>
      </w:r>
      <w:r w:rsidR="00AD32B2">
        <w:rPr>
          <w:sz w:val="23"/>
          <w:szCs w:val="23"/>
        </w:rPr>
        <w:t>e</w:t>
      </w:r>
      <w:r>
        <w:rPr>
          <w:sz w:val="23"/>
          <w:szCs w:val="23"/>
        </w:rPr>
        <w:t xml:space="preserve"> da Costa</w:t>
      </w:r>
    </w:p>
    <w:p w14:paraId="62AF7FC8" w14:textId="77777777" w:rsidR="007D7D74" w:rsidRPr="002F3DF1" w:rsidRDefault="007D7D74" w:rsidP="00665414">
      <w:pPr>
        <w:rPr>
          <w:sz w:val="10"/>
          <w:szCs w:val="10"/>
        </w:rPr>
      </w:pPr>
    </w:p>
    <w:p w14:paraId="1B13DF86" w14:textId="246BBF43" w:rsidR="00AD32B2" w:rsidRDefault="00AD32B2" w:rsidP="00774FF9">
      <w:pPr>
        <w:rPr>
          <w:b/>
        </w:rPr>
      </w:pPr>
      <w:r w:rsidRPr="00AD32B2">
        <w:rPr>
          <w:b/>
        </w:rPr>
        <w:t xml:space="preserve">Reducing the financial/emotional damage in lower socio economic NSW regions caused by poker machine losses requires LGA withdrawing </w:t>
      </w:r>
      <w:hyperlink r:id="rId8" w:history="1">
        <w:r w:rsidR="00AF27C9" w:rsidRPr="009719F8">
          <w:rPr>
            <w:rStyle w:val="Hyperlink"/>
            <w:b/>
            <w:szCs w:val="23"/>
          </w:rPr>
          <w:t>Gaming Machine Entitlements</w:t>
        </w:r>
      </w:hyperlink>
      <w:r w:rsidR="00AF27C9" w:rsidRPr="009719F8">
        <w:rPr>
          <w:color w:val="1F497D" w:themeColor="dark2"/>
          <w:szCs w:val="23"/>
        </w:rPr>
        <w:t xml:space="preserve"> </w:t>
      </w:r>
      <w:r w:rsidRPr="00AD32B2">
        <w:rPr>
          <w:b/>
        </w:rPr>
        <w:t xml:space="preserve">for patent breaches of </w:t>
      </w:r>
      <w:r w:rsidR="008B551A">
        <w:rPr>
          <w:b/>
        </w:rPr>
        <w:t xml:space="preserve">any of </w:t>
      </w:r>
      <w:r w:rsidRPr="00AD32B2">
        <w:rPr>
          <w:b/>
        </w:rPr>
        <w:t>below</w:t>
      </w:r>
      <w:r w:rsidR="008B551A">
        <w:rPr>
          <w:b/>
        </w:rPr>
        <w:t xml:space="preserve"> Four R</w:t>
      </w:r>
      <w:r w:rsidRPr="00AD32B2">
        <w:rPr>
          <w:b/>
        </w:rPr>
        <w:t xml:space="preserve">egulations by clubs/hotels </w:t>
      </w:r>
    </w:p>
    <w:p w14:paraId="07A604A2" w14:textId="77777777" w:rsidR="00AD32B2" w:rsidRPr="00774FF9" w:rsidRDefault="00AD32B2" w:rsidP="00AD32B2">
      <w:pPr>
        <w:rPr>
          <w:color w:val="1F497D" w:themeColor="dark2"/>
          <w:sz w:val="8"/>
          <w:szCs w:val="8"/>
        </w:rPr>
      </w:pPr>
    </w:p>
    <w:p w14:paraId="763BE8BE" w14:textId="77777777" w:rsidR="00AD32B2" w:rsidRDefault="00AD32B2" w:rsidP="00AD32B2">
      <w:pPr>
        <w:rPr>
          <w:color w:val="1F497D" w:themeColor="dark2"/>
          <w:szCs w:val="23"/>
        </w:rPr>
      </w:pPr>
      <w:r>
        <w:rPr>
          <w:color w:val="1F497D" w:themeColor="dark2"/>
          <w:szCs w:val="23"/>
        </w:rPr>
        <w:t xml:space="preserve">NSW ILGA (the current auditor of the </w:t>
      </w:r>
      <w:r>
        <w:rPr>
          <w:b/>
          <w:color w:val="1F497D" w:themeColor="dark2"/>
          <w:szCs w:val="23"/>
        </w:rPr>
        <w:t>Four Regulations</w:t>
      </w:r>
      <w:r>
        <w:rPr>
          <w:color w:val="1F497D" w:themeColor="dark2"/>
          <w:szCs w:val="23"/>
        </w:rPr>
        <w:t xml:space="preserve"> for NSW clubs/hotels) must implement serious penalties for breaches of any of the below </w:t>
      </w:r>
      <w:r>
        <w:rPr>
          <w:b/>
          <w:color w:val="1F497D" w:themeColor="dark2"/>
          <w:szCs w:val="23"/>
        </w:rPr>
        <w:t>Four Regulations</w:t>
      </w:r>
      <w:r>
        <w:rPr>
          <w:color w:val="1F497D" w:themeColor="dark2"/>
          <w:szCs w:val="23"/>
        </w:rPr>
        <w:t xml:space="preserve"> governing poker machines in NSW clubs and hotels to far better protect citizens:</w:t>
      </w:r>
    </w:p>
    <w:p w14:paraId="735CBF6D" w14:textId="0D79F408" w:rsidR="00AD32B2" w:rsidRDefault="00AD32B2" w:rsidP="008B551A">
      <w:pPr>
        <w:pStyle w:val="ListParagraph"/>
        <w:numPr>
          <w:ilvl w:val="0"/>
          <w:numId w:val="4"/>
        </w:numPr>
        <w:ind w:right="-227"/>
        <w:contextualSpacing w:val="0"/>
        <w:rPr>
          <w:color w:val="1F497D" w:themeColor="dark2"/>
          <w:szCs w:val="23"/>
        </w:rPr>
      </w:pPr>
      <w:r>
        <w:rPr>
          <w:color w:val="1F497D" w:themeColor="dark2"/>
          <w:szCs w:val="23"/>
        </w:rPr>
        <w:t>naively hoping for a big win against the odds</w:t>
      </w:r>
      <w:r w:rsidR="008B551A">
        <w:rPr>
          <w:color w:val="1F497D" w:themeColor="dark2"/>
          <w:szCs w:val="23"/>
        </w:rPr>
        <w:t xml:space="preserve"> too often influenced by subsidised  cost alcohol</w:t>
      </w:r>
      <w:r>
        <w:rPr>
          <w:color w:val="1F497D" w:themeColor="dark2"/>
          <w:szCs w:val="23"/>
        </w:rPr>
        <w:t xml:space="preserve">, </w:t>
      </w:r>
    </w:p>
    <w:p w14:paraId="4828A2EC" w14:textId="77777777" w:rsidR="00AD32B2" w:rsidRDefault="00AD32B2" w:rsidP="00AD32B2">
      <w:pPr>
        <w:pStyle w:val="ListParagraph"/>
        <w:numPr>
          <w:ilvl w:val="0"/>
          <w:numId w:val="4"/>
        </w:numPr>
        <w:contextualSpacing w:val="0"/>
        <w:rPr>
          <w:color w:val="1F497D" w:themeColor="dark2"/>
          <w:szCs w:val="23"/>
        </w:rPr>
      </w:pPr>
      <w:r>
        <w:rPr>
          <w:color w:val="1F497D" w:themeColor="dark2"/>
          <w:szCs w:val="23"/>
        </w:rPr>
        <w:t>that are vulnerable to the flashing lights and spontaneous loud sounds inbuilt in modern poker machines.</w:t>
      </w:r>
    </w:p>
    <w:p w14:paraId="59FF07FB" w14:textId="151D4A23" w:rsidR="00AD32B2" w:rsidRDefault="00AD32B2" w:rsidP="00AD32B2">
      <w:pPr>
        <w:spacing w:before="120"/>
        <w:rPr>
          <w:color w:val="1F497D" w:themeColor="dark2"/>
        </w:rPr>
      </w:pPr>
      <w:r w:rsidRPr="00AD32B2">
        <w:rPr>
          <w:b/>
          <w:color w:val="1F497D" w:themeColor="dark2"/>
        </w:rPr>
        <w:t>NSW Four Regulations</w:t>
      </w:r>
      <w:r>
        <w:rPr>
          <w:b/>
          <w:color w:val="1F497D" w:themeColor="dark2"/>
        </w:rPr>
        <w:t>:</w:t>
      </w:r>
    </w:p>
    <w:p w14:paraId="27E216A1" w14:textId="1A938C8F" w:rsidR="00AD32B2" w:rsidRDefault="00AD32B2" w:rsidP="00AD32B2">
      <w:pPr>
        <w:pStyle w:val="ListParagraph"/>
        <w:numPr>
          <w:ilvl w:val="0"/>
          <w:numId w:val="5"/>
        </w:numPr>
        <w:contextualSpacing w:val="0"/>
        <w:rPr>
          <w:color w:val="1F497D" w:themeColor="dark2"/>
          <w:sz w:val="22"/>
          <w:szCs w:val="23"/>
        </w:rPr>
      </w:pPr>
      <w:r>
        <w:rPr>
          <w:rFonts w:eastAsia="Times New Roman"/>
          <w:color w:val="21272B"/>
          <w:lang w:eastAsia="en-AU"/>
        </w:rPr>
        <w:t xml:space="preserve">IL&amp;G NSW requires that all gaming machines meet the approved and published technical standards at: </w:t>
      </w:r>
      <w:hyperlink r:id="rId9" w:history="1">
        <w:r>
          <w:rPr>
            <w:rStyle w:val="Hyperlink"/>
            <w:rFonts w:eastAsia="Times New Roman"/>
            <w:b/>
          </w:rPr>
          <w:t>https://www.nsw.gov.au/business-and-economy/liquor-and-gaming/gaming/gaming-machines/tech-standards</w:t>
        </w:r>
      </w:hyperlink>
      <w:r>
        <w:rPr>
          <w:rFonts w:eastAsia="Times New Roman"/>
          <w:color w:val="21272B"/>
          <w:lang w:eastAsia="en-AU"/>
        </w:rPr>
        <w:t xml:space="preserve">. Page 86 of the Gaming Machine National Standard includes the requirement that all gaming machines have a </w:t>
      </w:r>
      <w:r w:rsidR="008B551A">
        <w:rPr>
          <w:rFonts w:eastAsia="Times New Roman"/>
          <w:color w:val="21272B"/>
          <w:lang w:eastAsia="en-AU"/>
        </w:rPr>
        <w:br/>
      </w:r>
      <w:hyperlink r:id="rId10" w:history="1">
        <w:r>
          <w:rPr>
            <w:rStyle w:val="Hyperlink"/>
            <w:rFonts w:eastAsia="Times New Roman"/>
            <w:b/>
          </w:rPr>
          <w:t>Return to Player Ratio</w:t>
        </w:r>
      </w:hyperlink>
      <w:r>
        <w:rPr>
          <w:rFonts w:eastAsia="Times New Roman"/>
          <w:color w:val="21272B"/>
          <w:lang w:eastAsia="en-AU"/>
        </w:rPr>
        <w:t xml:space="preserve"> of at least 85%</w:t>
      </w:r>
    </w:p>
    <w:p w14:paraId="278AEE4A" w14:textId="77777777" w:rsidR="00AD32B2" w:rsidRDefault="00AD32B2" w:rsidP="00AD32B2">
      <w:pPr>
        <w:pStyle w:val="ListParagraph"/>
        <w:numPr>
          <w:ilvl w:val="0"/>
          <w:numId w:val="5"/>
        </w:numPr>
        <w:contextualSpacing w:val="0"/>
        <w:rPr>
          <w:color w:val="1F497D" w:themeColor="dark2"/>
          <w:szCs w:val="23"/>
        </w:rPr>
      </w:pPr>
      <w:r>
        <w:rPr>
          <w:color w:val="1F497D" w:themeColor="dark2"/>
          <w:szCs w:val="23"/>
        </w:rPr>
        <w:t>ATMs not near poker machines</w:t>
      </w:r>
    </w:p>
    <w:p w14:paraId="17E45185" w14:textId="77777777" w:rsidR="00AD32B2" w:rsidRDefault="00AD32B2" w:rsidP="00AD32B2">
      <w:pPr>
        <w:pStyle w:val="ListParagraph"/>
        <w:numPr>
          <w:ilvl w:val="0"/>
          <w:numId w:val="5"/>
        </w:numPr>
        <w:contextualSpacing w:val="0"/>
        <w:rPr>
          <w:rStyle w:val="Strong"/>
          <w:rFonts w:ascii="Calibri" w:hAnsi="Calibri" w:cs="Calibri"/>
          <w:bCs w:val="0"/>
          <w:szCs w:val="22"/>
        </w:rPr>
      </w:pPr>
      <w:r>
        <w:rPr>
          <w:color w:val="0A0A0A"/>
          <w:shd w:val="clear" w:color="auto" w:fill="FFFFFF"/>
        </w:rPr>
        <w:t>All poker machines must shut down daily from </w:t>
      </w:r>
      <w:r>
        <w:rPr>
          <w:rStyle w:val="Strong"/>
          <w:b w:val="0"/>
          <w:color w:val="0A0A0A"/>
          <w:shd w:val="clear" w:color="auto" w:fill="FFFFFF"/>
        </w:rPr>
        <w:t>4 a.m. to 10 a.m</w:t>
      </w:r>
      <w:r>
        <w:rPr>
          <w:rStyle w:val="Strong"/>
          <w:color w:val="0A0A0A"/>
          <w:shd w:val="clear" w:color="auto" w:fill="FFFFFF"/>
        </w:rPr>
        <w:t>.</w:t>
      </w:r>
      <w:r>
        <w:rPr>
          <w:color w:val="0A0A0A"/>
          <w:shd w:val="clear" w:color="auto" w:fill="FFFFFF"/>
        </w:rPr>
        <w:t> (a mandatory 6-hour break) under the </w:t>
      </w:r>
      <w:hyperlink r:id="rId11" w:history="1">
        <w:r>
          <w:rPr>
            <w:rStyle w:val="Hyperlink"/>
            <w:b/>
            <w:shd w:val="clear" w:color="auto" w:fill="FFFFFF"/>
          </w:rPr>
          <w:t>Gaming Machines Act 2001</w:t>
        </w:r>
      </w:hyperlink>
      <w:r>
        <w:rPr>
          <w:color w:val="0A0A0A"/>
          <w:shd w:val="clear" w:color="auto" w:fill="FFFFFF"/>
        </w:rPr>
        <w:t>, a harm-minimisation rule for pubs and clubs. Recent government changes are revoking long-standing exemptions to the six hours shutdown, forcing around 700 venues to comply with this standard shutdown from </w:t>
      </w:r>
      <w:r>
        <w:rPr>
          <w:rStyle w:val="Strong"/>
          <w:b w:val="0"/>
          <w:color w:val="0A0A0A"/>
          <w:shd w:val="clear" w:color="auto" w:fill="FFFFFF"/>
        </w:rPr>
        <w:t xml:space="preserve">March 31, 2026.  </w:t>
      </w:r>
    </w:p>
    <w:p w14:paraId="2D181D7B" w14:textId="77777777" w:rsidR="00AD32B2" w:rsidRPr="00AD32B2" w:rsidRDefault="00AD32B2" w:rsidP="00AD32B2">
      <w:pPr>
        <w:pStyle w:val="ListParagraph"/>
        <w:numPr>
          <w:ilvl w:val="0"/>
          <w:numId w:val="5"/>
        </w:numPr>
        <w:contextualSpacing w:val="0"/>
      </w:pPr>
      <w:r w:rsidRPr="00AD32B2">
        <w:rPr>
          <w:color w:val="000000" w:themeColor="text1"/>
        </w:rPr>
        <w:t>From 1 July 2024, all hotels and clubs with more than 20 gaming machine entitlements must have at least one Responsible Gambling Officer (RGO) on duty whenever gaming machines are in operation</w:t>
      </w:r>
      <w:r w:rsidRPr="00AD32B2">
        <w:t>.</w:t>
      </w:r>
    </w:p>
    <w:p w14:paraId="566A424F" w14:textId="6E2CC779" w:rsidR="00AD32B2" w:rsidRPr="009719F8" w:rsidRDefault="006D0796" w:rsidP="00AD32B2">
      <w:pPr>
        <w:pStyle w:val="Heading2"/>
        <w:shd w:val="clear" w:color="auto" w:fill="FFFFFF"/>
        <w:spacing w:before="120"/>
        <w:rPr>
          <w:rFonts w:ascii="Arial" w:hAnsi="Arial" w:cs="Arial"/>
          <w:color w:val="000000"/>
          <w:sz w:val="24"/>
          <w:szCs w:val="24"/>
        </w:rPr>
      </w:pPr>
      <w:r>
        <w:rPr>
          <w:rFonts w:ascii="Arial" w:hAnsi="Arial" w:cs="Arial"/>
          <w:b/>
          <w:color w:val="1F497D" w:themeColor="dark2"/>
          <w:sz w:val="24"/>
          <w:szCs w:val="24"/>
        </w:rPr>
        <w:t>Three q</w:t>
      </w:r>
      <w:r w:rsidR="00AD32B2" w:rsidRPr="009719F8">
        <w:rPr>
          <w:rFonts w:ascii="Arial" w:hAnsi="Arial" w:cs="Arial"/>
          <w:b/>
          <w:color w:val="1F497D" w:themeColor="dark2"/>
          <w:sz w:val="24"/>
          <w:szCs w:val="24"/>
        </w:rPr>
        <w:t xml:space="preserve">uestions to NSW Auditor General, </w:t>
      </w:r>
      <w:r w:rsidR="00AD32B2" w:rsidRPr="009719F8">
        <w:rPr>
          <w:rFonts w:ascii="Arial" w:hAnsi="Arial" w:cs="Arial"/>
          <w:b/>
          <w:bCs/>
          <w:color w:val="000000"/>
          <w:sz w:val="24"/>
          <w:szCs w:val="24"/>
        </w:rPr>
        <w:t>Bola Oyetunji</w:t>
      </w:r>
    </w:p>
    <w:p w14:paraId="112FBA13" w14:textId="670AAAAD" w:rsidR="00AD32B2" w:rsidRPr="006D0796" w:rsidRDefault="00AD32B2" w:rsidP="006D0796">
      <w:pPr>
        <w:pStyle w:val="ListParagraph"/>
        <w:numPr>
          <w:ilvl w:val="0"/>
          <w:numId w:val="11"/>
        </w:numPr>
        <w:spacing w:before="40"/>
        <w:rPr>
          <w:color w:val="1F497D" w:themeColor="dark2"/>
          <w:szCs w:val="23"/>
        </w:rPr>
      </w:pPr>
      <w:r w:rsidRPr="006D0796">
        <w:rPr>
          <w:color w:val="1F497D" w:themeColor="dark2"/>
          <w:szCs w:val="23"/>
        </w:rPr>
        <w:t xml:space="preserve">Where is the data (from NSW ILGA and its predecessors) of breaches of any of the above </w:t>
      </w:r>
      <w:r w:rsidRPr="006D0796">
        <w:rPr>
          <w:b/>
          <w:color w:val="1F497D" w:themeColor="dark2"/>
          <w:szCs w:val="23"/>
        </w:rPr>
        <w:t>Four</w:t>
      </w:r>
      <w:r w:rsidR="009719F8" w:rsidRPr="006D0796">
        <w:rPr>
          <w:b/>
          <w:color w:val="1F497D" w:themeColor="dark2"/>
          <w:szCs w:val="23"/>
        </w:rPr>
        <w:t> </w:t>
      </w:r>
      <w:r w:rsidR="00774FF9" w:rsidRPr="006D0796">
        <w:rPr>
          <w:b/>
          <w:color w:val="1F497D" w:themeColor="dark2"/>
          <w:szCs w:val="23"/>
        </w:rPr>
        <w:t>r</w:t>
      </w:r>
      <w:r w:rsidRPr="006D0796">
        <w:rPr>
          <w:b/>
          <w:color w:val="1F497D" w:themeColor="dark2"/>
          <w:szCs w:val="23"/>
        </w:rPr>
        <w:t>egulations</w:t>
      </w:r>
      <w:r w:rsidRPr="006D0796">
        <w:rPr>
          <w:color w:val="1F497D" w:themeColor="dark2"/>
          <w:szCs w:val="23"/>
        </w:rPr>
        <w:t xml:space="preserve"> and penalties </w:t>
      </w:r>
      <w:r w:rsidR="006D0796">
        <w:rPr>
          <w:color w:val="1F497D" w:themeColor="dark2"/>
          <w:szCs w:val="23"/>
        </w:rPr>
        <w:t xml:space="preserve">that were </w:t>
      </w:r>
      <w:r w:rsidRPr="006D0796">
        <w:rPr>
          <w:color w:val="1F497D" w:themeColor="dark2"/>
          <w:szCs w:val="23"/>
        </w:rPr>
        <w:t xml:space="preserve">imposed?  </w:t>
      </w:r>
    </w:p>
    <w:p w14:paraId="6F021BD4" w14:textId="5BD7E87B" w:rsidR="00AD32B2" w:rsidRPr="006D0796" w:rsidRDefault="00AD32B2" w:rsidP="006D0796">
      <w:pPr>
        <w:pStyle w:val="ListParagraph"/>
        <w:numPr>
          <w:ilvl w:val="0"/>
          <w:numId w:val="11"/>
        </w:numPr>
        <w:spacing w:before="120"/>
        <w:rPr>
          <w:color w:val="1F497D" w:themeColor="dark2"/>
          <w:szCs w:val="23"/>
        </w:rPr>
      </w:pPr>
      <w:r w:rsidRPr="006D0796">
        <w:rPr>
          <w:color w:val="1F497D" w:themeColor="dark2"/>
          <w:szCs w:val="23"/>
        </w:rPr>
        <w:t>How many ‘</w:t>
      </w:r>
      <w:hyperlink r:id="rId12" w:history="1">
        <w:r w:rsidRPr="006D0796">
          <w:rPr>
            <w:rStyle w:val="Hyperlink"/>
            <w:b/>
            <w:szCs w:val="23"/>
          </w:rPr>
          <w:t>Gaming Machine Entitlements</w:t>
        </w:r>
      </w:hyperlink>
      <w:r w:rsidRPr="006D0796">
        <w:rPr>
          <w:color w:val="1F497D" w:themeColor="dark2"/>
          <w:szCs w:val="23"/>
        </w:rPr>
        <w:t xml:space="preserve">’ were cancelled in NSW since </w:t>
      </w:r>
      <w:r w:rsidRPr="006D0796">
        <w:rPr>
          <w:color w:val="22272B"/>
        </w:rPr>
        <w:t>the </w:t>
      </w:r>
      <w:r w:rsidR="00774FF9" w:rsidRPr="006D0796">
        <w:rPr>
          <w:color w:val="22272B"/>
        </w:rPr>
        <w:br/>
      </w:r>
      <w:hyperlink r:id="rId13" w:anchor="pt.4" w:tgtFrame="_blank" w:history="1">
        <w:r w:rsidRPr="006D0796">
          <w:rPr>
            <w:rStyle w:val="Emphasis"/>
            <w:b/>
            <w:bCs/>
            <w:color w:val="002664"/>
            <w:u w:val="single"/>
          </w:rPr>
          <w:t>Gaming Machines Act 2001</w:t>
        </w:r>
      </w:hyperlink>
      <w:r w:rsidRPr="009719F8">
        <w:t xml:space="preserve"> </w:t>
      </w:r>
      <w:r w:rsidRPr="006D0796">
        <w:rPr>
          <w:color w:val="1F497D" w:themeColor="dark2"/>
          <w:szCs w:val="23"/>
        </w:rPr>
        <w:t>due to breaches of any of the</w:t>
      </w:r>
      <w:r w:rsidR="006D0796">
        <w:rPr>
          <w:color w:val="1F497D" w:themeColor="dark2"/>
          <w:szCs w:val="23"/>
        </w:rPr>
        <w:t xml:space="preserve"> above </w:t>
      </w:r>
      <w:r w:rsidRPr="006D0796">
        <w:rPr>
          <w:b/>
          <w:color w:val="1F497D" w:themeColor="dark2"/>
          <w:szCs w:val="23"/>
        </w:rPr>
        <w:t>Four Regulations</w:t>
      </w:r>
      <w:r w:rsidRPr="006D0796">
        <w:rPr>
          <w:color w:val="1F497D" w:themeColor="dark2"/>
          <w:szCs w:val="23"/>
        </w:rPr>
        <w:t>?</w:t>
      </w:r>
    </w:p>
    <w:p w14:paraId="3EF2854F" w14:textId="77777777" w:rsidR="00AD32B2" w:rsidRPr="006D0796" w:rsidRDefault="00AD32B2" w:rsidP="006D0796">
      <w:pPr>
        <w:pStyle w:val="ListParagraph"/>
        <w:numPr>
          <w:ilvl w:val="0"/>
          <w:numId w:val="11"/>
        </w:numPr>
        <w:spacing w:before="120"/>
        <w:rPr>
          <w:color w:val="1F497D" w:themeColor="dark2"/>
          <w:szCs w:val="23"/>
        </w:rPr>
      </w:pPr>
      <w:r w:rsidRPr="006D0796">
        <w:rPr>
          <w:color w:val="1F497D" w:themeColor="dark2"/>
          <w:szCs w:val="23"/>
        </w:rPr>
        <w:t xml:space="preserve">Did offending EGM providers that breached any of the above </w:t>
      </w:r>
      <w:r w:rsidRPr="006D0796">
        <w:rPr>
          <w:b/>
          <w:color w:val="1F497D" w:themeColor="dark2"/>
          <w:szCs w:val="23"/>
        </w:rPr>
        <w:t>Four Regulations</w:t>
      </w:r>
      <w:r w:rsidRPr="006D0796">
        <w:rPr>
          <w:color w:val="1F497D" w:themeColor="dark2"/>
          <w:szCs w:val="23"/>
        </w:rPr>
        <w:t xml:space="preserve"> merely receive a </w:t>
      </w:r>
      <w:r w:rsidRPr="006D0796">
        <w:rPr>
          <w:i/>
          <w:color w:val="1F497D" w:themeColor="dark2"/>
          <w:szCs w:val="23"/>
        </w:rPr>
        <w:t>‘slap on the wrist’</w:t>
      </w:r>
      <w:r w:rsidRPr="006D0796">
        <w:rPr>
          <w:color w:val="1F497D" w:themeColor="dark2"/>
          <w:szCs w:val="23"/>
        </w:rPr>
        <w:t>?</w:t>
      </w:r>
    </w:p>
    <w:p w14:paraId="78F0F3C0" w14:textId="27E5ED6E" w:rsidR="00AD32B2" w:rsidRPr="009719F8" w:rsidRDefault="00AD32B2" w:rsidP="00AD32B2">
      <w:pPr>
        <w:spacing w:before="120"/>
        <w:rPr>
          <w:szCs w:val="22"/>
        </w:rPr>
      </w:pPr>
      <w:r w:rsidRPr="00D739E3">
        <w:rPr>
          <w:szCs w:val="23"/>
        </w:rPr>
        <w:t xml:space="preserve">Below are </w:t>
      </w:r>
      <w:r w:rsidRPr="00D739E3">
        <w:rPr>
          <w:b/>
          <w:szCs w:val="23"/>
        </w:rPr>
        <w:t>Facts</w:t>
      </w:r>
      <w:r w:rsidRPr="00D739E3">
        <w:rPr>
          <w:szCs w:val="23"/>
        </w:rPr>
        <w:t xml:space="preserve"> in </w:t>
      </w:r>
      <w:r w:rsidR="00D739E3">
        <w:rPr>
          <w:szCs w:val="23"/>
        </w:rPr>
        <w:t>“</w:t>
      </w:r>
      <w:hyperlink r:id="rId14" w:history="1">
        <w:r w:rsidRPr="009719F8">
          <w:rPr>
            <w:rStyle w:val="Hyperlink"/>
            <w:b/>
            <w:shd w:val="clear" w:color="auto" w:fill="FFFFFF"/>
          </w:rPr>
          <w:t>NSW Greens want all poker machines in NSW shut down between midnight and 10am</w:t>
        </w:r>
        <w:r w:rsidR="00D739E3">
          <w:rPr>
            <w:rStyle w:val="Hyperlink"/>
            <w:b/>
            <w:shd w:val="clear" w:color="auto" w:fill="FFFFFF"/>
          </w:rPr>
          <w:t>”</w:t>
        </w:r>
        <w:r w:rsidRPr="009719F8">
          <w:rPr>
            <w:rStyle w:val="Hyperlink"/>
            <w:shd w:val="clear" w:color="auto" w:fill="FFFFFF"/>
          </w:rPr>
          <w:t>.</w:t>
        </w:r>
      </w:hyperlink>
    </w:p>
    <w:p w14:paraId="4EC3F49A" w14:textId="77777777" w:rsidR="00AD32B2" w:rsidRPr="009719F8" w:rsidRDefault="00AD32B2" w:rsidP="00AD32B2">
      <w:pPr>
        <w:rPr>
          <w:color w:val="1F497D" w:themeColor="dark2"/>
          <w:sz w:val="6"/>
          <w:szCs w:val="6"/>
        </w:rPr>
      </w:pPr>
    </w:p>
    <w:p w14:paraId="4E8B887E" w14:textId="77777777" w:rsidR="00AD32B2" w:rsidRPr="00D739E3" w:rsidRDefault="00514192" w:rsidP="00AD32B2">
      <w:pPr>
        <w:numPr>
          <w:ilvl w:val="0"/>
          <w:numId w:val="6"/>
        </w:numPr>
        <w:shd w:val="clear" w:color="auto" w:fill="FFFFFF"/>
        <w:spacing w:after="100" w:afterAutospacing="1"/>
        <w:ind w:left="714" w:hanging="357"/>
        <w:rPr>
          <w:rFonts w:ascii="Roboto" w:eastAsia="Times New Roman" w:hAnsi="Roboto"/>
          <w:sz w:val="22"/>
          <w:szCs w:val="22"/>
          <w:lang w:eastAsia="en-AU"/>
        </w:rPr>
      </w:pPr>
      <w:hyperlink r:id="rId15" w:history="1">
        <w:r w:rsidR="00AD32B2" w:rsidRPr="00D739E3">
          <w:rPr>
            <w:rStyle w:val="Hyperlink"/>
            <w:rFonts w:ascii="Roboto" w:eastAsia="Times New Roman" w:hAnsi="Roboto"/>
            <w:b/>
            <w:color w:val="auto"/>
          </w:rPr>
          <w:t>Gaming Machines Act 2001</w:t>
        </w:r>
      </w:hyperlink>
      <w:r w:rsidR="00AD32B2" w:rsidRPr="00D739E3">
        <w:rPr>
          <w:rFonts w:ascii="Roboto" w:eastAsia="Times New Roman" w:hAnsi="Roboto"/>
          <w:lang w:eastAsia="en-AU"/>
        </w:rPr>
        <w:t xml:space="preserve"> requires poker machines in hotels and clubs in NSW be switched off for a minimum of six hours a day, between 4 am and 10 am.</w:t>
      </w:r>
    </w:p>
    <w:p w14:paraId="5A002DBA" w14:textId="77777777" w:rsidR="00AD32B2" w:rsidRPr="00D739E3" w:rsidRDefault="00AD32B2" w:rsidP="00AD32B2">
      <w:pPr>
        <w:numPr>
          <w:ilvl w:val="0"/>
          <w:numId w:val="6"/>
        </w:numPr>
        <w:shd w:val="clear" w:color="auto" w:fill="FFFFFF"/>
        <w:spacing w:before="100" w:beforeAutospacing="1" w:after="100" w:afterAutospacing="1"/>
        <w:rPr>
          <w:rFonts w:ascii="Roboto" w:eastAsia="Times New Roman" w:hAnsi="Roboto"/>
          <w:lang w:eastAsia="en-AU"/>
        </w:rPr>
      </w:pPr>
      <w:r w:rsidRPr="00D739E3">
        <w:rPr>
          <w:rFonts w:ascii="Roboto" w:eastAsia="Times New Roman" w:hAnsi="Roboto"/>
          <w:lang w:eastAsia="en-AU"/>
        </w:rPr>
        <w:t>The Act contains three variation provisions that allow venues to apply to the Independent Liquor &amp; Gaming Authority to operate outside those hours.</w:t>
      </w:r>
    </w:p>
    <w:p w14:paraId="53E71E3F" w14:textId="77777777" w:rsidR="00AD32B2" w:rsidRPr="00D739E3" w:rsidRDefault="00AD32B2" w:rsidP="00AD32B2">
      <w:pPr>
        <w:numPr>
          <w:ilvl w:val="0"/>
          <w:numId w:val="6"/>
        </w:numPr>
        <w:shd w:val="clear" w:color="auto" w:fill="FFFFFF"/>
        <w:spacing w:before="100" w:beforeAutospacing="1" w:after="100" w:afterAutospacing="1"/>
        <w:rPr>
          <w:rFonts w:ascii="Roboto" w:eastAsia="Times New Roman" w:hAnsi="Roboto" w:cs="Times New Roman"/>
          <w:lang w:eastAsia="en-AU"/>
        </w:rPr>
      </w:pPr>
      <w:r w:rsidRPr="00D739E3">
        <w:rPr>
          <w:rFonts w:ascii="Roboto" w:eastAsia="Times New Roman" w:hAnsi="Roboto" w:cs="Times New Roman"/>
          <w:lang w:eastAsia="en-AU"/>
        </w:rPr>
        <w:t>674 venues currently operate under exemptions to the mandatory shutdown period, including some of the wealthiest clubs in the state.</w:t>
      </w:r>
    </w:p>
    <w:p w14:paraId="64804362" w14:textId="77777777" w:rsidR="00AD32B2" w:rsidRPr="00D739E3" w:rsidRDefault="00AD32B2" w:rsidP="00AD32B2">
      <w:pPr>
        <w:numPr>
          <w:ilvl w:val="0"/>
          <w:numId w:val="6"/>
        </w:numPr>
        <w:shd w:val="clear" w:color="auto" w:fill="FFFFFF"/>
        <w:spacing w:before="100" w:beforeAutospacing="1" w:after="120"/>
        <w:ind w:left="714" w:hanging="357"/>
        <w:rPr>
          <w:rFonts w:ascii="Roboto" w:eastAsia="Times New Roman" w:hAnsi="Roboto" w:cs="Times New Roman"/>
          <w:lang w:eastAsia="en-AU"/>
        </w:rPr>
      </w:pPr>
      <w:proofErr w:type="gramStart"/>
      <w:r w:rsidRPr="00D739E3">
        <w:rPr>
          <w:rFonts w:ascii="Roboto" w:eastAsia="Times New Roman" w:hAnsi="Roboto" w:cs="Times New Roman"/>
          <w:lang w:eastAsia="en-AU"/>
        </w:rPr>
        <w:t>of</w:t>
      </w:r>
      <w:proofErr w:type="gramEnd"/>
      <w:r w:rsidRPr="00D739E3">
        <w:rPr>
          <w:rFonts w:ascii="Roboto" w:eastAsia="Times New Roman" w:hAnsi="Roboto" w:cs="Times New Roman"/>
          <w:lang w:eastAsia="en-AU"/>
        </w:rPr>
        <w:t xml:space="preserve"> those 674 exempt venues, 97% of turnover is generated outside the standard shutdown hours and only 3% during their varied hours.</w:t>
      </w:r>
    </w:p>
    <w:p w14:paraId="27A5E10B" w14:textId="77777777" w:rsidR="00AD32B2" w:rsidRPr="00D739E3" w:rsidRDefault="00514192" w:rsidP="00AD32B2">
      <w:pPr>
        <w:rPr>
          <w:szCs w:val="23"/>
        </w:rPr>
      </w:pPr>
      <w:hyperlink r:id="rId16" w:history="1">
        <w:r w:rsidR="00AD32B2" w:rsidRPr="004C44C8">
          <w:rPr>
            <w:rStyle w:val="Hyperlink"/>
            <w:b/>
            <w:color w:val="0033CC"/>
            <w:sz w:val="22"/>
            <w:szCs w:val="22"/>
          </w:rPr>
          <w:t>REFERENCE ARTICLES, REPORTS, LEGISLATION AND DOCUMENT</w:t>
        </w:r>
        <w:r w:rsidR="00AD32B2" w:rsidRPr="004C44C8">
          <w:rPr>
            <w:rStyle w:val="Hyperlink"/>
            <w:b/>
            <w:color w:val="0033CC"/>
            <w:szCs w:val="23"/>
          </w:rPr>
          <w:t>S</w:t>
        </w:r>
      </w:hyperlink>
      <w:r w:rsidR="00AD32B2">
        <w:rPr>
          <w:color w:val="1F497D" w:themeColor="dark2"/>
          <w:szCs w:val="23"/>
        </w:rPr>
        <w:t xml:space="preserve"> </w:t>
      </w:r>
      <w:r w:rsidR="00AD32B2" w:rsidRPr="00D739E3">
        <w:rPr>
          <w:szCs w:val="23"/>
        </w:rPr>
        <w:t xml:space="preserve">is a bibliography of well over 100 documents that this writer has reviewed over recent years/months, many by creating a htm file and </w:t>
      </w:r>
      <w:r w:rsidR="00AD32B2" w:rsidRPr="00D739E3">
        <w:rPr>
          <w:szCs w:val="23"/>
          <w:highlight w:val="yellow"/>
        </w:rPr>
        <w:t>colour background pertinent information.</w:t>
      </w:r>
      <w:r w:rsidR="00AD32B2" w:rsidRPr="00D739E3">
        <w:rPr>
          <w:szCs w:val="23"/>
        </w:rPr>
        <w:t xml:space="preserve">  </w:t>
      </w:r>
    </w:p>
    <w:p w14:paraId="21B71FB1" w14:textId="77777777" w:rsidR="00AD32B2" w:rsidRPr="00D739E3" w:rsidRDefault="00AD32B2" w:rsidP="00AD32B2">
      <w:pPr>
        <w:rPr>
          <w:sz w:val="18"/>
          <w:szCs w:val="18"/>
        </w:rPr>
      </w:pPr>
    </w:p>
    <w:p w14:paraId="094781BA" w14:textId="77777777" w:rsidR="00AD32B2" w:rsidRPr="00D739E3" w:rsidRDefault="00AD32B2" w:rsidP="00AD32B2">
      <w:pPr>
        <w:rPr>
          <w:szCs w:val="23"/>
        </w:rPr>
      </w:pPr>
      <w:r w:rsidRPr="00D739E3">
        <w:rPr>
          <w:szCs w:val="23"/>
        </w:rPr>
        <w:t>NSW, with 88,000 poker machines, almost 50% of Australia’s 185,000 poker machines, evidences that both Liberal Coalition and Labor Govts in NSW have been more focused on receiving poker machine profits taxes from clubs and hotels, than protecting citizens vulnerable to the flashing lights and sharp sounds provide to entice those most ‘at risk’. .</w:t>
      </w:r>
    </w:p>
    <w:p w14:paraId="1748676F" w14:textId="77777777" w:rsidR="00AD32B2" w:rsidRPr="00F95387" w:rsidRDefault="00AD32B2" w:rsidP="00AD32B2">
      <w:pPr>
        <w:rPr>
          <w:sz w:val="16"/>
          <w:szCs w:val="16"/>
        </w:rPr>
      </w:pPr>
    </w:p>
    <w:p w14:paraId="4FB4BCE7" w14:textId="77777777" w:rsidR="00AD32B2" w:rsidRPr="00D739E3" w:rsidRDefault="00AD32B2" w:rsidP="00AD32B2">
      <w:pPr>
        <w:rPr>
          <w:szCs w:val="23"/>
        </w:rPr>
      </w:pPr>
      <w:r w:rsidRPr="00D739E3">
        <w:rPr>
          <w:szCs w:val="23"/>
        </w:rPr>
        <w:t>Harm minimisation regulation of poker machines in NSW clubs, hotels and casinos seems to have been legislated through both NSW Houses primarily by:</w:t>
      </w:r>
    </w:p>
    <w:p w14:paraId="63BFD0DE" w14:textId="77777777" w:rsidR="00AD32B2" w:rsidRDefault="00514192" w:rsidP="00AD32B2">
      <w:pPr>
        <w:pStyle w:val="ListParagraph"/>
        <w:numPr>
          <w:ilvl w:val="0"/>
          <w:numId w:val="7"/>
        </w:numPr>
        <w:contextualSpacing w:val="0"/>
        <w:rPr>
          <w:rFonts w:ascii="Calibri" w:hAnsi="Calibri" w:cs="Calibri"/>
          <w:szCs w:val="22"/>
        </w:rPr>
      </w:pPr>
      <w:hyperlink r:id="rId17" w:anchor="pt.4" w:tgtFrame="_blank" w:history="1">
        <w:r w:rsidR="00AD32B2" w:rsidRPr="004C44C8">
          <w:rPr>
            <w:rStyle w:val="Hyperlink"/>
            <w:b/>
            <w:bCs/>
            <w:color w:val="0070C0"/>
          </w:rPr>
          <w:t>Part 4 Gambling harm minimisation measures</w:t>
        </w:r>
      </w:hyperlink>
      <w:r w:rsidR="00AD32B2">
        <w:rPr>
          <w:color w:val="22272B"/>
        </w:rPr>
        <w:t> of the </w:t>
      </w:r>
      <w:hyperlink r:id="rId18" w:anchor="pt.4" w:tgtFrame="_blank" w:history="1">
        <w:r w:rsidR="00AD32B2" w:rsidRPr="004C44C8">
          <w:rPr>
            <w:rStyle w:val="Emphasis"/>
            <w:b/>
            <w:bCs/>
            <w:color w:val="0070C0"/>
            <w:u w:val="single"/>
          </w:rPr>
          <w:t>Gaming Machines Act 2001</w:t>
        </w:r>
      </w:hyperlink>
    </w:p>
    <w:p w14:paraId="50BCC484" w14:textId="77777777" w:rsidR="00AD32B2" w:rsidRPr="004C44C8" w:rsidRDefault="00514192" w:rsidP="004C44C8">
      <w:pPr>
        <w:pStyle w:val="ListParagraph"/>
        <w:numPr>
          <w:ilvl w:val="0"/>
          <w:numId w:val="7"/>
        </w:numPr>
        <w:spacing w:before="60"/>
        <w:ind w:left="714" w:hanging="357"/>
        <w:contextualSpacing w:val="0"/>
        <w:rPr>
          <w:color w:val="0070C0"/>
          <w:szCs w:val="23"/>
          <w:u w:val="single"/>
        </w:rPr>
      </w:pPr>
      <w:hyperlink r:id="rId19" w:history="1">
        <w:r w:rsidR="00AD32B2" w:rsidRPr="004C44C8">
          <w:rPr>
            <w:rStyle w:val="Hyperlink"/>
            <w:b/>
            <w:bCs/>
            <w:color w:val="0070C0"/>
          </w:rPr>
          <w:t>Gaming Machines Regulation 2019</w:t>
        </w:r>
      </w:hyperlink>
    </w:p>
    <w:p w14:paraId="74CBDD0F" w14:textId="77777777" w:rsidR="00AD32B2" w:rsidRDefault="00AD32B2" w:rsidP="00AD32B2">
      <w:pPr>
        <w:rPr>
          <w:color w:val="1F497D" w:themeColor="dark2"/>
          <w:sz w:val="16"/>
          <w:szCs w:val="16"/>
        </w:rPr>
      </w:pPr>
    </w:p>
    <w:p w14:paraId="4BEC71DF" w14:textId="77777777" w:rsidR="00AD32B2" w:rsidRDefault="00AD32B2" w:rsidP="00AD32B2">
      <w:pPr>
        <w:rPr>
          <w:color w:val="1F497D" w:themeColor="dark2"/>
          <w:sz w:val="22"/>
          <w:szCs w:val="23"/>
        </w:rPr>
      </w:pPr>
      <w:r>
        <w:rPr>
          <w:i/>
          <w:color w:val="1F497D" w:themeColor="dark2"/>
          <w:szCs w:val="23"/>
        </w:rPr>
        <w:t>Prima facie</w:t>
      </w:r>
      <w:r>
        <w:rPr>
          <w:color w:val="1F497D" w:themeColor="dark2"/>
          <w:szCs w:val="23"/>
        </w:rPr>
        <w:t>, over the last 25 years both the NSW Labour Govt and the NSW Coalition Govt have failed in their duty to ensure –</w:t>
      </w:r>
    </w:p>
    <w:p w14:paraId="48D967BB" w14:textId="1DD1CC20" w:rsidR="00AD32B2" w:rsidRPr="009719F8" w:rsidRDefault="00AD32B2" w:rsidP="009719F8">
      <w:pPr>
        <w:pStyle w:val="ListParagraph"/>
        <w:numPr>
          <w:ilvl w:val="0"/>
          <w:numId w:val="9"/>
        </w:numPr>
        <w:rPr>
          <w:color w:val="1F497D" w:themeColor="dark2"/>
          <w:szCs w:val="23"/>
        </w:rPr>
      </w:pPr>
      <w:r w:rsidRPr="009719F8">
        <w:rPr>
          <w:color w:val="1F497D" w:themeColor="dark2"/>
          <w:szCs w:val="23"/>
        </w:rPr>
        <w:t>independent implementation of regular auditing of rules/regulations/procedures contained in the above two legislation</w:t>
      </w:r>
      <w:r w:rsidR="009719F8" w:rsidRPr="009719F8">
        <w:rPr>
          <w:color w:val="1F497D" w:themeColor="dark2"/>
          <w:szCs w:val="23"/>
        </w:rPr>
        <w:t>s</w:t>
      </w:r>
      <w:r w:rsidRPr="009719F8">
        <w:rPr>
          <w:color w:val="1F497D" w:themeColor="dark2"/>
          <w:szCs w:val="23"/>
        </w:rPr>
        <w:t xml:space="preserve"> </w:t>
      </w:r>
      <w:r w:rsidRPr="009719F8">
        <w:rPr>
          <w:i/>
          <w:color w:val="1F497D" w:themeColor="dark2"/>
          <w:szCs w:val="23"/>
        </w:rPr>
        <w:t>‘et al’</w:t>
      </w:r>
      <w:r w:rsidRPr="009719F8">
        <w:rPr>
          <w:color w:val="1F497D" w:themeColor="dark2"/>
          <w:szCs w:val="23"/>
        </w:rPr>
        <w:t xml:space="preserve">; and </w:t>
      </w:r>
    </w:p>
    <w:p w14:paraId="576D441A" w14:textId="321C7E29" w:rsidR="00AD32B2" w:rsidRPr="009719F8" w:rsidRDefault="00AD32B2" w:rsidP="009719F8">
      <w:pPr>
        <w:pStyle w:val="ListParagraph"/>
        <w:numPr>
          <w:ilvl w:val="0"/>
          <w:numId w:val="9"/>
        </w:numPr>
        <w:rPr>
          <w:color w:val="1F497D" w:themeColor="dark2"/>
          <w:szCs w:val="23"/>
        </w:rPr>
      </w:pPr>
      <w:proofErr w:type="gramStart"/>
      <w:r w:rsidRPr="009719F8">
        <w:rPr>
          <w:color w:val="1F497D" w:themeColor="dark2"/>
          <w:szCs w:val="23"/>
        </w:rPr>
        <w:t>potent</w:t>
      </w:r>
      <w:proofErr w:type="gramEnd"/>
      <w:r w:rsidRPr="009719F8">
        <w:rPr>
          <w:color w:val="1F497D" w:themeColor="dark2"/>
          <w:szCs w:val="23"/>
        </w:rPr>
        <w:t xml:space="preserve"> penalties were imposed that would enthuse establishments with poker machine entitlements to comply with the afore-mentioned </w:t>
      </w:r>
      <w:r w:rsidRPr="009719F8">
        <w:rPr>
          <w:b/>
          <w:color w:val="1F497D" w:themeColor="dark2"/>
          <w:szCs w:val="23"/>
        </w:rPr>
        <w:t>Four Regulations</w:t>
      </w:r>
      <w:r w:rsidRPr="009719F8">
        <w:rPr>
          <w:color w:val="1F497D" w:themeColor="dark2"/>
          <w:szCs w:val="23"/>
        </w:rPr>
        <w:t>.</w:t>
      </w:r>
    </w:p>
    <w:p w14:paraId="15DA8B1D" w14:textId="77777777" w:rsidR="00AD32B2" w:rsidRPr="00B27DAE" w:rsidRDefault="00AD32B2" w:rsidP="00AD32B2">
      <w:pPr>
        <w:rPr>
          <w:color w:val="1F497D" w:themeColor="dark2"/>
          <w:sz w:val="16"/>
          <w:szCs w:val="16"/>
        </w:rPr>
      </w:pPr>
    </w:p>
    <w:p w14:paraId="7C17A010" w14:textId="3619D537" w:rsidR="00AD32B2" w:rsidRDefault="00AD32B2" w:rsidP="00AD32B2">
      <w:pPr>
        <w:pStyle w:val="Heading1"/>
        <w:spacing w:before="0" w:beforeAutospacing="0" w:after="0" w:afterAutospacing="0"/>
        <w:rPr>
          <w:rFonts w:ascii="Arial" w:hAnsi="Arial"/>
          <w:b w:val="0"/>
          <w:color w:val="22272B"/>
          <w:sz w:val="24"/>
          <w:szCs w:val="24"/>
        </w:rPr>
      </w:pPr>
      <w:r>
        <w:rPr>
          <w:rFonts w:ascii="Arial" w:hAnsi="Arial"/>
          <w:b w:val="0"/>
          <w:color w:val="1F497D" w:themeColor="dark2"/>
          <w:sz w:val="24"/>
          <w:szCs w:val="24"/>
        </w:rPr>
        <w:t>The 1</w:t>
      </w:r>
      <w:r>
        <w:rPr>
          <w:rFonts w:ascii="Arial" w:hAnsi="Arial"/>
          <w:b w:val="0"/>
          <w:color w:val="1F497D" w:themeColor="dark2"/>
          <w:sz w:val="24"/>
          <w:szCs w:val="24"/>
          <w:vertAlign w:val="superscript"/>
        </w:rPr>
        <w:t>st</w:t>
      </w:r>
      <w:r w:rsidR="00B27DAE">
        <w:rPr>
          <w:rFonts w:ascii="Arial" w:hAnsi="Arial"/>
          <w:b w:val="0"/>
          <w:color w:val="1F497D" w:themeColor="dark2"/>
          <w:sz w:val="24"/>
          <w:szCs w:val="24"/>
        </w:rPr>
        <w:t xml:space="preserve"> Dec ’25 announcement </w:t>
      </w:r>
      <w:r>
        <w:rPr>
          <w:rFonts w:ascii="Arial" w:hAnsi="Arial"/>
          <w:b w:val="0"/>
          <w:color w:val="1F497D" w:themeColor="dark2"/>
          <w:sz w:val="24"/>
          <w:szCs w:val="24"/>
        </w:rPr>
        <w:t>by the Minns Labor Govt explained in</w:t>
      </w:r>
      <w:r>
        <w:rPr>
          <w:rFonts w:ascii="Arial" w:hAnsi="Arial"/>
          <w:color w:val="1F497D" w:themeColor="dark2"/>
          <w:sz w:val="24"/>
          <w:szCs w:val="24"/>
        </w:rPr>
        <w:t xml:space="preserve"> “</w:t>
      </w:r>
      <w:hyperlink r:id="rId20" w:history="1">
        <w:r>
          <w:rPr>
            <w:rStyle w:val="Hyperlink"/>
            <w:rFonts w:ascii="Arial" w:hAnsi="Arial"/>
            <w:sz w:val="22"/>
            <w:szCs w:val="22"/>
          </w:rPr>
          <w:t>Minns Labor Government acts on late night gambling harm</w:t>
        </w:r>
      </w:hyperlink>
      <w:r>
        <w:rPr>
          <w:rFonts w:ascii="Arial" w:hAnsi="Arial"/>
          <w:color w:val="22272B"/>
          <w:sz w:val="24"/>
          <w:szCs w:val="24"/>
        </w:rPr>
        <w:t xml:space="preserve">” </w:t>
      </w:r>
      <w:r>
        <w:rPr>
          <w:rFonts w:ascii="Arial" w:hAnsi="Arial"/>
          <w:b w:val="0"/>
          <w:color w:val="22272B"/>
          <w:sz w:val="24"/>
          <w:szCs w:val="24"/>
        </w:rPr>
        <w:t>may have been influenced by the NSW Greens recently proposed Bill that all NSW poker machines be shut down between 4am and 10am.</w:t>
      </w:r>
    </w:p>
    <w:p w14:paraId="31647F6C" w14:textId="77777777" w:rsidR="00AD32B2" w:rsidRPr="006F1524" w:rsidRDefault="00AD32B2" w:rsidP="00AD32B2">
      <w:pPr>
        <w:pStyle w:val="Heading1"/>
        <w:spacing w:before="0" w:beforeAutospacing="0" w:after="0" w:afterAutospacing="0"/>
        <w:rPr>
          <w:rFonts w:ascii="Arial" w:hAnsi="Arial"/>
          <w:b w:val="0"/>
          <w:color w:val="22272B"/>
          <w:sz w:val="14"/>
          <w:szCs w:val="14"/>
        </w:rPr>
      </w:pPr>
    </w:p>
    <w:p w14:paraId="77792494" w14:textId="77777777" w:rsidR="00AD32B2" w:rsidRDefault="00AD32B2" w:rsidP="00AD32B2">
      <w:pPr>
        <w:pStyle w:val="Heading1"/>
        <w:spacing w:before="0" w:beforeAutospacing="0" w:after="0" w:afterAutospacing="0"/>
        <w:rPr>
          <w:rFonts w:ascii="Arial" w:hAnsi="Arial"/>
          <w:b w:val="0"/>
          <w:color w:val="22272B"/>
          <w:sz w:val="22"/>
          <w:szCs w:val="22"/>
        </w:rPr>
      </w:pPr>
      <w:r>
        <w:rPr>
          <w:rFonts w:ascii="Arial" w:hAnsi="Arial"/>
          <w:b w:val="0"/>
          <w:color w:val="22272B"/>
          <w:sz w:val="22"/>
          <w:szCs w:val="22"/>
        </w:rPr>
        <w:t xml:space="preserve">Unfortunately a LOT of careful wording goes into such press releases as </w:t>
      </w:r>
      <w:r>
        <w:rPr>
          <w:rFonts w:ascii="Arial" w:hAnsi="Arial"/>
          <w:color w:val="1F497D" w:themeColor="dark2"/>
          <w:sz w:val="24"/>
          <w:szCs w:val="24"/>
        </w:rPr>
        <w:t>“</w:t>
      </w:r>
      <w:hyperlink r:id="rId21" w:history="1">
        <w:r>
          <w:rPr>
            <w:rStyle w:val="Hyperlink"/>
            <w:rFonts w:ascii="Arial" w:hAnsi="Arial"/>
            <w:sz w:val="22"/>
            <w:szCs w:val="22"/>
          </w:rPr>
          <w:t>Minns Labor Government acts on late night gambling harm</w:t>
        </w:r>
      </w:hyperlink>
      <w:r>
        <w:rPr>
          <w:rFonts w:ascii="Arial" w:hAnsi="Arial"/>
          <w:color w:val="22272B"/>
          <w:sz w:val="24"/>
          <w:szCs w:val="24"/>
        </w:rPr>
        <w:t>”</w:t>
      </w:r>
      <w:proofErr w:type="gramStart"/>
      <w:r>
        <w:rPr>
          <w:rFonts w:ascii="Arial" w:hAnsi="Arial"/>
          <w:color w:val="22272B"/>
          <w:sz w:val="24"/>
          <w:szCs w:val="24"/>
        </w:rPr>
        <w:t>:</w:t>
      </w:r>
      <w:r>
        <w:rPr>
          <w:rFonts w:ascii="Arial" w:hAnsi="Arial"/>
          <w:b w:val="0"/>
          <w:color w:val="22272B"/>
          <w:sz w:val="22"/>
          <w:szCs w:val="22"/>
        </w:rPr>
        <w:t>:</w:t>
      </w:r>
      <w:proofErr w:type="gramEnd"/>
    </w:p>
    <w:p w14:paraId="7D7D3381" w14:textId="77777777" w:rsidR="00AD32B2" w:rsidRDefault="00AD32B2" w:rsidP="00B27DAE">
      <w:pPr>
        <w:spacing w:before="60" w:after="120"/>
        <w:ind w:left="720"/>
        <w:rPr>
          <w:rFonts w:ascii="Public Sans" w:eastAsia="Times New Roman" w:hAnsi="Public Sans" w:cs="Times New Roman"/>
          <w:color w:val="22272B"/>
          <w:sz w:val="26"/>
          <w:szCs w:val="26"/>
          <w:lang w:eastAsia="en-AU"/>
        </w:rPr>
      </w:pPr>
      <w:r>
        <w:rPr>
          <w:rFonts w:ascii="Public Sans" w:eastAsia="Times New Roman" w:hAnsi="Public Sans" w:cs="Times New Roman"/>
          <w:color w:val="22272B"/>
          <w:sz w:val="26"/>
          <w:szCs w:val="26"/>
          <w:lang w:eastAsia="en-AU"/>
        </w:rPr>
        <w:t xml:space="preserve">“A Review of Gaming Machine Shutdown Hours conducted by Liquor &amp; Gaming NSW in 2024 found that a minimum 6-hour shutdown period, commencing no later than 4am, is effective at minimising gambling harm.  </w:t>
      </w:r>
      <w:r>
        <w:rPr>
          <w:rFonts w:ascii="Public Sans" w:eastAsia="Times New Roman" w:hAnsi="Public Sans" w:cs="Times New Roman"/>
          <w:color w:val="22272B"/>
          <w:sz w:val="26"/>
          <w:szCs w:val="26"/>
          <w:highlight w:val="yellow"/>
          <w:lang w:eastAsia="en-AU"/>
        </w:rPr>
        <w:t>The review found no evidence to justify changing the start time or extending the length of the shutdown hours</w:t>
      </w:r>
      <w:r>
        <w:rPr>
          <w:rFonts w:ascii="Public Sans" w:eastAsia="Times New Roman" w:hAnsi="Public Sans" w:cs="Times New Roman"/>
          <w:color w:val="22272B"/>
          <w:sz w:val="26"/>
          <w:szCs w:val="26"/>
          <w:lang w:eastAsia="en-AU"/>
        </w:rPr>
        <w:t>.”</w:t>
      </w:r>
    </w:p>
    <w:p w14:paraId="472DD1E0" w14:textId="77777777" w:rsidR="00AD32B2" w:rsidRDefault="00AD32B2" w:rsidP="00AD32B2">
      <w:pPr>
        <w:pStyle w:val="Heading1"/>
        <w:spacing w:before="0" w:beforeAutospacing="0" w:after="0" w:afterAutospacing="0"/>
        <w:rPr>
          <w:rFonts w:ascii="Arial" w:eastAsia="Times New Roman" w:hAnsi="Arial"/>
          <w:b w:val="0"/>
          <w:color w:val="22272B"/>
          <w:sz w:val="22"/>
          <w:szCs w:val="22"/>
        </w:rPr>
      </w:pPr>
      <w:r>
        <w:rPr>
          <w:rFonts w:ascii="Arial" w:hAnsi="Arial"/>
          <w:b w:val="0"/>
          <w:color w:val="22272B"/>
          <w:sz w:val="22"/>
          <w:szCs w:val="22"/>
        </w:rPr>
        <w:t>Yet further above in the above recent NSW Govt announcement is:</w:t>
      </w:r>
    </w:p>
    <w:p w14:paraId="43D95B83" w14:textId="77777777" w:rsidR="00AD32B2" w:rsidRDefault="00AD32B2" w:rsidP="001151D5">
      <w:pPr>
        <w:pStyle w:val="NormalWeb"/>
        <w:spacing w:before="40" w:beforeAutospacing="0" w:after="180" w:afterAutospacing="0"/>
        <w:ind w:left="720"/>
        <w:rPr>
          <w:rFonts w:ascii="Public Sans" w:eastAsia="Times New Roman" w:hAnsi="Public Sans" w:cs="Times New Roman"/>
          <w:color w:val="22272B"/>
          <w:sz w:val="26"/>
          <w:szCs w:val="26"/>
        </w:rPr>
      </w:pPr>
      <w:r>
        <w:rPr>
          <w:rFonts w:ascii="Public Sans" w:eastAsia="Times New Roman" w:hAnsi="Public Sans"/>
          <w:color w:val="22272B"/>
          <w:sz w:val="26"/>
          <w:szCs w:val="26"/>
        </w:rPr>
        <w:t xml:space="preserve">“Under law, NSW venues must shut down all gaming machines between 4am to 10am each day of the week.  The six-hour shutdown </w:t>
      </w:r>
      <w:r>
        <w:rPr>
          <w:rFonts w:ascii="Public Sans" w:eastAsia="Times New Roman" w:hAnsi="Public Sans"/>
          <w:color w:val="22272B"/>
          <w:sz w:val="26"/>
          <w:szCs w:val="26"/>
          <w:highlight w:val="yellow"/>
        </w:rPr>
        <w:t>is a harm minimisation measure intended to provide players with an important break in play, so patrons go home, get ‘out of the zone’ and reflect upon their behaviour</w:t>
      </w:r>
      <w:r>
        <w:rPr>
          <w:rFonts w:ascii="Public Sans" w:eastAsia="Times New Roman" w:hAnsi="Public Sans"/>
          <w:color w:val="22272B"/>
          <w:sz w:val="26"/>
          <w:szCs w:val="26"/>
        </w:rPr>
        <w:t>.”</w:t>
      </w:r>
    </w:p>
    <w:p w14:paraId="049881F7" w14:textId="77777777" w:rsidR="00AD32B2" w:rsidRDefault="00514192" w:rsidP="00AD32B2">
      <w:pPr>
        <w:pStyle w:val="Heading1"/>
        <w:spacing w:before="0" w:beforeAutospacing="0" w:after="0" w:afterAutospacing="0"/>
        <w:rPr>
          <w:rFonts w:ascii="Arial" w:eastAsia="Times New Roman" w:hAnsi="Arial"/>
          <w:b w:val="0"/>
          <w:color w:val="22272B"/>
          <w:sz w:val="22"/>
          <w:szCs w:val="22"/>
        </w:rPr>
      </w:pPr>
      <w:hyperlink r:id="rId22" w:history="1">
        <w:r w:rsidR="00AD32B2">
          <w:rPr>
            <w:rStyle w:val="Hyperlink"/>
            <w:rFonts w:ascii="Arial" w:hAnsi="Arial"/>
            <w:sz w:val="22"/>
            <w:szCs w:val="22"/>
          </w:rPr>
          <w:t>Adult humans are encouraged to sleep between 7 to 9 hours each night</w:t>
        </w:r>
      </w:hyperlink>
      <w:r w:rsidR="00AD32B2">
        <w:rPr>
          <w:rFonts w:ascii="Arial" w:hAnsi="Arial"/>
          <w:b w:val="0"/>
          <w:color w:val="22272B"/>
          <w:sz w:val="22"/>
          <w:szCs w:val="22"/>
        </w:rPr>
        <w:t xml:space="preserve">.  Harm minimisation and health benefits would be greater if all poker machines were shut down by 10pm, to reopen at 10am. Twelve hours a day of </w:t>
      </w:r>
      <w:r w:rsidR="00AD32B2">
        <w:rPr>
          <w:rFonts w:ascii="Arial" w:hAnsi="Arial"/>
          <w:b w:val="0"/>
          <w:i/>
          <w:color w:val="22272B"/>
          <w:sz w:val="22"/>
          <w:szCs w:val="22"/>
        </w:rPr>
        <w:t>one arm bandits</w:t>
      </w:r>
      <w:r w:rsidR="00AD32B2">
        <w:rPr>
          <w:rFonts w:ascii="Arial" w:hAnsi="Arial"/>
          <w:b w:val="0"/>
          <w:color w:val="22272B"/>
          <w:sz w:val="22"/>
          <w:szCs w:val="22"/>
        </w:rPr>
        <w:t xml:space="preserve"> is enough due to the disproportionate number of vulnerable adults (usually residing in lower socio-economic areas, that are exposed to large poker machine losses</w:t>
      </w:r>
      <w:proofErr w:type="gramStart"/>
      <w:r w:rsidR="00AD32B2">
        <w:rPr>
          <w:rFonts w:ascii="Arial" w:hAnsi="Arial"/>
          <w:b w:val="0"/>
          <w:color w:val="22272B"/>
          <w:sz w:val="22"/>
          <w:szCs w:val="22"/>
        </w:rPr>
        <w:t>..</w:t>
      </w:r>
      <w:proofErr w:type="gramEnd"/>
      <w:r w:rsidR="00AD32B2">
        <w:rPr>
          <w:rFonts w:ascii="Arial" w:hAnsi="Arial"/>
          <w:b w:val="0"/>
          <w:color w:val="22272B"/>
          <w:sz w:val="22"/>
          <w:szCs w:val="22"/>
        </w:rPr>
        <w:tab/>
      </w:r>
    </w:p>
    <w:p w14:paraId="69BE9E3F" w14:textId="77777777" w:rsidR="00AD32B2" w:rsidRPr="00B27DAE" w:rsidRDefault="00AD32B2" w:rsidP="00AD32B2">
      <w:pPr>
        <w:rPr>
          <w:color w:val="1F497D" w:themeColor="dark2"/>
          <w:sz w:val="14"/>
          <w:szCs w:val="14"/>
        </w:rPr>
      </w:pPr>
    </w:p>
    <w:p w14:paraId="69D9290B" w14:textId="55924257" w:rsidR="00022EA0" w:rsidRPr="00022EA0" w:rsidRDefault="006F1524" w:rsidP="00AD32B2">
      <w:pPr>
        <w:rPr>
          <w:b/>
        </w:rPr>
      </w:pPr>
      <w:r w:rsidRPr="00022EA0">
        <w:rPr>
          <w:b/>
          <w:color w:val="1F497D" w:themeColor="dark2"/>
        </w:rPr>
        <w:t xml:space="preserve">By extrapolating 8 different </w:t>
      </w:r>
      <w:hyperlink r:id="rId23" w:history="1">
        <w:r w:rsidR="00022EA0" w:rsidRPr="00022EA0">
          <w:rPr>
            <w:rStyle w:val="Hyperlink"/>
            <w:rFonts w:ascii="Aptos" w:hAnsi="Aptos"/>
            <w:b/>
            <w:sz w:val="26"/>
            <w:szCs w:val="26"/>
          </w:rPr>
          <w:t xml:space="preserve">Social costs </w:t>
        </w:r>
        <w:r w:rsidR="00022EA0">
          <w:rPr>
            <w:rStyle w:val="Hyperlink"/>
            <w:rFonts w:ascii="Aptos" w:hAnsi="Aptos"/>
            <w:b/>
            <w:sz w:val="26"/>
            <w:szCs w:val="26"/>
          </w:rPr>
          <w:t>(</w:t>
        </w:r>
        <w:proofErr w:type="spellStart"/>
        <w:proofErr w:type="gramStart"/>
        <w:r w:rsidR="00022EA0">
          <w:rPr>
            <w:rStyle w:val="Hyperlink"/>
            <w:rFonts w:ascii="Aptos" w:hAnsi="Aptos"/>
            <w:b/>
            <w:sz w:val="26"/>
            <w:szCs w:val="26"/>
          </w:rPr>
          <w:t>est</w:t>
        </w:r>
        <w:proofErr w:type="spellEnd"/>
        <w:proofErr w:type="gramEnd"/>
        <w:r w:rsidR="00022EA0">
          <w:rPr>
            <w:rStyle w:val="Hyperlink"/>
            <w:rFonts w:ascii="Aptos" w:hAnsi="Aptos"/>
            <w:b/>
            <w:sz w:val="26"/>
            <w:szCs w:val="26"/>
          </w:rPr>
          <w:t xml:space="preserve"> $14.1 bil) </w:t>
        </w:r>
        <w:r w:rsidR="00022EA0" w:rsidRPr="00022EA0">
          <w:rPr>
            <w:rStyle w:val="Hyperlink"/>
            <w:rFonts w:ascii="Aptos" w:hAnsi="Aptos"/>
            <w:b/>
            <w:sz w:val="26"/>
            <w:szCs w:val="26"/>
          </w:rPr>
          <w:t xml:space="preserve">of gambling to Victoria </w:t>
        </w:r>
        <w:r w:rsidR="00022EA0" w:rsidRPr="00022EA0">
          <w:rPr>
            <w:rStyle w:val="Hyperlink"/>
            <w:rFonts w:ascii="Aptos" w:hAnsi="Aptos"/>
            <w:b/>
            <w:sz w:val="26"/>
            <w:szCs w:val="26"/>
          </w:rPr>
          <w:t xml:space="preserve">incurred in </w:t>
        </w:r>
        <w:r w:rsidR="00022EA0" w:rsidRPr="00022EA0">
          <w:rPr>
            <w:rStyle w:val="Hyperlink"/>
            <w:rFonts w:ascii="Aptos" w:hAnsi="Aptos"/>
            <w:b/>
            <w:sz w:val="26"/>
            <w:szCs w:val="26"/>
          </w:rPr>
          <w:t>2023</w:t>
        </w:r>
      </w:hyperlink>
      <w:r w:rsidR="00022EA0" w:rsidRPr="00022EA0">
        <w:rPr>
          <w:rStyle w:val="Hyperlink"/>
          <w:rFonts w:ascii="Aptos" w:hAnsi="Aptos"/>
          <w:b/>
          <w:sz w:val="26"/>
          <w:szCs w:val="26"/>
        </w:rPr>
        <w:t>,</w:t>
      </w:r>
      <w:r w:rsidR="00022EA0">
        <w:rPr>
          <w:rStyle w:val="Hyperlink"/>
          <w:rFonts w:ascii="Aptos" w:hAnsi="Aptos"/>
          <w:b/>
          <w:sz w:val="26"/>
          <w:szCs w:val="26"/>
        </w:rPr>
        <w:t xml:space="preserve"> </w:t>
      </w:r>
      <w:r w:rsidR="00022EA0" w:rsidRPr="00022EA0">
        <w:rPr>
          <w:b/>
        </w:rPr>
        <w:t xml:space="preserve">NSW would have sustained </w:t>
      </w:r>
      <w:r w:rsidR="00022EA0" w:rsidRPr="00022EA0">
        <w:rPr>
          <w:b/>
          <w:color w:val="1F497D" w:themeColor="dark2"/>
          <w:szCs w:val="23"/>
        </w:rPr>
        <w:t>just under $</w:t>
      </w:r>
      <w:r w:rsidR="004E11EA">
        <w:rPr>
          <w:b/>
          <w:color w:val="1F497D" w:themeColor="dark2"/>
          <w:szCs w:val="23"/>
        </w:rPr>
        <w:t>21</w:t>
      </w:r>
      <w:r w:rsidR="00022EA0" w:rsidRPr="00022EA0">
        <w:rPr>
          <w:b/>
          <w:color w:val="1F497D" w:themeColor="dark2"/>
          <w:szCs w:val="23"/>
        </w:rPr>
        <w:t xml:space="preserve"> billion in </w:t>
      </w:r>
      <w:r w:rsidR="00022EA0" w:rsidRPr="00022EA0">
        <w:rPr>
          <w:b/>
          <w:color w:val="1F497D" w:themeColor="dark2"/>
          <w:szCs w:val="23"/>
        </w:rPr>
        <w:t xml:space="preserve">similar social costs in </w:t>
      </w:r>
      <w:r w:rsidR="00022EA0" w:rsidRPr="00022EA0">
        <w:rPr>
          <w:b/>
          <w:color w:val="1F497D" w:themeColor="dark2"/>
          <w:szCs w:val="23"/>
        </w:rPr>
        <w:t>2023</w:t>
      </w:r>
      <w:r w:rsidR="004E11EA">
        <w:rPr>
          <w:b/>
          <w:color w:val="1F497D" w:themeColor="dark2"/>
          <w:szCs w:val="23"/>
        </w:rPr>
        <w:t xml:space="preserve"> from EGMs</w:t>
      </w:r>
    </w:p>
    <w:p w14:paraId="1E10E065" w14:textId="77777777" w:rsidR="00022EA0" w:rsidRPr="00F95387" w:rsidRDefault="00022EA0" w:rsidP="00AD32B2">
      <w:pPr>
        <w:rPr>
          <w:b/>
          <w:color w:val="1F497D" w:themeColor="dark2"/>
          <w:sz w:val="10"/>
          <w:szCs w:val="10"/>
        </w:rPr>
      </w:pPr>
    </w:p>
    <w:p w14:paraId="50C9B598" w14:textId="4B08722C" w:rsidR="00AD32B2" w:rsidRDefault="00AD32B2" w:rsidP="00AD32B2">
      <w:pPr>
        <w:rPr>
          <w:color w:val="1F497D" w:themeColor="dark2"/>
        </w:rPr>
      </w:pPr>
      <w:r w:rsidRPr="00022EA0">
        <w:rPr>
          <w:b/>
          <w:color w:val="1F497D" w:themeColor="dark2"/>
          <w:sz w:val="22"/>
          <w:szCs w:val="22"/>
        </w:rPr>
        <w:t>Table A of Excel Report published by Queensland Government Statistician's Office – Summary Edition – for 2023-24</w:t>
      </w:r>
      <w:r w:rsidRPr="00022EA0">
        <w:rPr>
          <w:color w:val="1F497D" w:themeColor="dark2"/>
          <w:sz w:val="22"/>
          <w:szCs w:val="22"/>
        </w:rPr>
        <w:t xml:space="preserve"> notes </w:t>
      </w:r>
      <w:hyperlink r:id="rId24" w:history="1">
        <w:r w:rsidRPr="00022EA0">
          <w:rPr>
            <w:rStyle w:val="Hyperlink"/>
            <w:b/>
            <w:color w:val="0033CC"/>
            <w:sz w:val="22"/>
            <w:szCs w:val="22"/>
          </w:rPr>
          <w:t>Total Ann</w:t>
        </w:r>
        <w:r w:rsidRPr="00022EA0">
          <w:rPr>
            <w:rStyle w:val="Hyperlink"/>
            <w:b/>
            <w:color w:val="0033CC"/>
            <w:sz w:val="22"/>
            <w:szCs w:val="22"/>
          </w:rPr>
          <w:t>u</w:t>
        </w:r>
        <w:r w:rsidRPr="00022EA0">
          <w:rPr>
            <w:rStyle w:val="Hyperlink"/>
            <w:b/>
            <w:color w:val="0033CC"/>
            <w:sz w:val="22"/>
            <w:szCs w:val="22"/>
          </w:rPr>
          <w:t>al Gambling Turnover</w:t>
        </w:r>
      </w:hyperlink>
      <w:r>
        <w:rPr>
          <w:color w:val="1F497D" w:themeColor="dark2"/>
        </w:rPr>
        <w:t xml:space="preserve"> -</w:t>
      </w:r>
      <w:r>
        <w:rPr>
          <w:color w:val="1F497D" w:themeColor="dark2"/>
        </w:rPr>
        <w:br/>
        <w:t>*</w:t>
      </w:r>
      <w:r>
        <w:rPr>
          <w:color w:val="1F497D" w:themeColor="dark2"/>
        </w:rPr>
        <w:tab/>
        <w:t xml:space="preserve">$113,729,000 (76.6%) poker machines in NSW; and </w:t>
      </w:r>
      <w:r>
        <w:rPr>
          <w:color w:val="1F497D" w:themeColor="dark2"/>
        </w:rPr>
        <w:br/>
        <w:t>*</w:t>
      </w:r>
      <w:r>
        <w:rPr>
          <w:color w:val="1F497D" w:themeColor="dark2"/>
        </w:rPr>
        <w:tab/>
        <w:t xml:space="preserve">$34,742,000 (23.4%) poker machines in Victoria. </w:t>
      </w:r>
    </w:p>
    <w:p w14:paraId="654878D6" w14:textId="77777777" w:rsidR="00AD32B2" w:rsidRPr="001151D5" w:rsidRDefault="00AD32B2" w:rsidP="00AD32B2">
      <w:pPr>
        <w:rPr>
          <w:color w:val="1F497D" w:themeColor="dark2"/>
          <w:sz w:val="16"/>
          <w:szCs w:val="16"/>
        </w:rPr>
      </w:pPr>
    </w:p>
    <w:p w14:paraId="285083CF" w14:textId="77777777" w:rsidR="00AD32B2" w:rsidRPr="004E11EA" w:rsidRDefault="00AD32B2" w:rsidP="00AD32B2">
      <w:pPr>
        <w:rPr>
          <w:szCs w:val="23"/>
        </w:rPr>
      </w:pPr>
      <w:r w:rsidRPr="004E11EA">
        <w:rPr>
          <w:szCs w:val="23"/>
        </w:rPr>
        <w:t>Summary Table A – Total Gambling Turnover 2023 calcs that of the $148,471,000 turnover from poker machines, 76.6% was in NSW and 23.4% in Victoria.</w:t>
      </w:r>
    </w:p>
    <w:p w14:paraId="33DD5C6A" w14:textId="77777777" w:rsidR="00AD32B2" w:rsidRPr="004E11EA" w:rsidRDefault="00AD32B2" w:rsidP="00AD32B2">
      <w:pPr>
        <w:rPr>
          <w:sz w:val="16"/>
          <w:szCs w:val="16"/>
        </w:rPr>
      </w:pPr>
    </w:p>
    <w:p w14:paraId="4E2F1B89" w14:textId="2F0F5784" w:rsidR="00AD32B2" w:rsidRPr="004E11EA" w:rsidRDefault="00AD32B2" w:rsidP="00AD32B2">
      <w:pPr>
        <w:rPr>
          <w:szCs w:val="23"/>
        </w:rPr>
      </w:pPr>
      <w:r w:rsidRPr="004E11EA">
        <w:rPr>
          <w:szCs w:val="23"/>
        </w:rPr>
        <w:t xml:space="preserve">NSW evidences a smidgeon over 3 times the cash turnover of poker machines </w:t>
      </w:r>
      <w:r w:rsidR="00AF6D15" w:rsidRPr="004E11EA">
        <w:rPr>
          <w:szCs w:val="23"/>
        </w:rPr>
        <w:t>compared to</w:t>
      </w:r>
      <w:r w:rsidRPr="004E11EA">
        <w:rPr>
          <w:szCs w:val="23"/>
        </w:rPr>
        <w:t xml:space="preserve"> Victorian clubs.</w:t>
      </w:r>
      <w:r w:rsidR="00664297" w:rsidRPr="004E11EA">
        <w:rPr>
          <w:szCs w:val="23"/>
        </w:rPr>
        <w:t xml:space="preserve">  ‘Figure 1: Gross revenue/losses by form 2022-23’ for Victoria list EGMs account for about 46% of losses.</w:t>
      </w:r>
    </w:p>
    <w:p w14:paraId="38033473" w14:textId="49C38A93" w:rsidR="00AD32B2" w:rsidRPr="004E11EA" w:rsidRDefault="00514192" w:rsidP="00AD32B2">
      <w:hyperlink r:id="rId25" w:history="1">
        <w:r w:rsidR="00AD32B2" w:rsidRPr="004E11EA">
          <w:rPr>
            <w:rStyle w:val="Hyperlink"/>
            <w:rFonts w:ascii="Aptos" w:hAnsi="Aptos"/>
            <w:b/>
            <w:sz w:val="28"/>
            <w:szCs w:val="28"/>
          </w:rPr>
          <w:t>Social costs of gambling to Victoria 2023</w:t>
        </w:r>
      </w:hyperlink>
      <w:r w:rsidR="00AD32B2">
        <w:rPr>
          <w:rFonts w:ascii="Aptos" w:hAnsi="Aptos"/>
        </w:rPr>
        <w:t xml:space="preserve"> </w:t>
      </w:r>
      <w:r w:rsidR="00AD32B2" w:rsidRPr="004E11EA">
        <w:t xml:space="preserve">estimated $14.1 billion costs associated with gambling harm were categorised according to the below 8 </w:t>
      </w:r>
      <w:r w:rsidR="004E11EA">
        <w:t>associated</w:t>
      </w:r>
      <w:r w:rsidR="00B27DAE" w:rsidRPr="004E11EA">
        <w:t xml:space="preserve"> categories:</w:t>
      </w:r>
    </w:p>
    <w:p w14:paraId="6DFFFAAA" w14:textId="77777777" w:rsidR="00AD32B2" w:rsidRDefault="00AD32B2" w:rsidP="00AD32B2">
      <w:pPr>
        <w:rPr>
          <w:color w:val="1F497D" w:themeColor="dark2"/>
          <w:sz w:val="4"/>
          <w:szCs w:val="4"/>
        </w:rPr>
      </w:pPr>
    </w:p>
    <w:p w14:paraId="104040A6" w14:textId="77777777" w:rsidR="00AD32B2" w:rsidRDefault="00AD32B2" w:rsidP="00AD32B2">
      <w:pPr>
        <w:pStyle w:val="NormalWeb"/>
        <w:numPr>
          <w:ilvl w:val="0"/>
          <w:numId w:val="8"/>
        </w:numPr>
        <w:spacing w:before="0" w:beforeAutospacing="0" w:after="0" w:afterAutospacing="0"/>
        <w:rPr>
          <w:rFonts w:ascii="Arial" w:eastAsia="Times New Roman" w:hAnsi="Arial"/>
        </w:rPr>
      </w:pPr>
      <w:r>
        <w:rPr>
          <w:rFonts w:ascii="Arial" w:hAnsi="Arial"/>
        </w:rPr>
        <w:t>$5.2 billion: financial impacts, such as higher-than-average spending and bankruptcy</w:t>
      </w:r>
    </w:p>
    <w:p w14:paraId="0BFCE192" w14:textId="77777777" w:rsidR="00AD32B2" w:rsidRDefault="00AD32B2" w:rsidP="00AD32B2">
      <w:pPr>
        <w:pStyle w:val="NormalWeb"/>
        <w:numPr>
          <w:ilvl w:val="0"/>
          <w:numId w:val="8"/>
        </w:numPr>
        <w:spacing w:before="0" w:beforeAutospacing="0" w:after="0" w:afterAutospacing="0"/>
        <w:rPr>
          <w:rFonts w:ascii="Arial" w:hAnsi="Arial"/>
        </w:rPr>
      </w:pPr>
      <w:r>
        <w:rPr>
          <w:rFonts w:ascii="Arial" w:hAnsi="Arial"/>
        </w:rPr>
        <w:t>$3.3 billion: emotional and psychological harm to a person who gambles, for example, depression, suicide attempts and fatalities</w:t>
      </w:r>
    </w:p>
    <w:p w14:paraId="7F665987" w14:textId="77777777" w:rsidR="00AD32B2" w:rsidRDefault="00AD32B2" w:rsidP="00AD32B2">
      <w:pPr>
        <w:pStyle w:val="NormalWeb"/>
        <w:numPr>
          <w:ilvl w:val="0"/>
          <w:numId w:val="8"/>
        </w:numPr>
        <w:spacing w:before="0" w:beforeAutospacing="0" w:after="0" w:afterAutospacing="0"/>
        <w:rPr>
          <w:rFonts w:ascii="Arial" w:hAnsi="Arial"/>
        </w:rPr>
      </w:pPr>
      <w:r>
        <w:rPr>
          <w:rFonts w:ascii="Arial" w:hAnsi="Arial"/>
        </w:rPr>
        <w:t>$2.5 billion: relationships and family, for example, divorce or separation, violence and the impact of suicide on affected others</w:t>
      </w:r>
    </w:p>
    <w:p w14:paraId="148598CA" w14:textId="77777777" w:rsidR="00AD32B2" w:rsidRDefault="00AD32B2" w:rsidP="00AD32B2">
      <w:pPr>
        <w:pStyle w:val="NormalWeb"/>
        <w:numPr>
          <w:ilvl w:val="0"/>
          <w:numId w:val="8"/>
        </w:numPr>
        <w:spacing w:before="0" w:beforeAutospacing="0" w:after="0" w:afterAutospacing="0"/>
        <w:rPr>
          <w:rFonts w:ascii="Arial" w:hAnsi="Arial"/>
        </w:rPr>
      </w:pPr>
      <w:r>
        <w:rPr>
          <w:rFonts w:ascii="Arial" w:hAnsi="Arial"/>
        </w:rPr>
        <w:t>$1.5 billion: productivity loss and work or study impacts, including impaired performance, job loss, absenteeism</w:t>
      </w:r>
    </w:p>
    <w:p w14:paraId="644343E3" w14:textId="77777777" w:rsidR="00AD32B2" w:rsidRDefault="00AD32B2" w:rsidP="00AD32B2">
      <w:pPr>
        <w:pStyle w:val="NormalWeb"/>
        <w:numPr>
          <w:ilvl w:val="0"/>
          <w:numId w:val="8"/>
        </w:numPr>
        <w:spacing w:before="0" w:beforeAutospacing="0" w:after="0" w:afterAutospacing="0"/>
        <w:rPr>
          <w:rFonts w:ascii="Arial" w:hAnsi="Arial"/>
        </w:rPr>
      </w:pPr>
      <w:r>
        <w:rPr>
          <w:rFonts w:ascii="Arial" w:hAnsi="Arial"/>
        </w:rPr>
        <w:t>$1.3 billion: costs to the Victorian and local governments, including the health, mental health and human services systems, policy, regulation, and research costs</w:t>
      </w:r>
    </w:p>
    <w:p w14:paraId="039058C0" w14:textId="77777777" w:rsidR="00AD32B2" w:rsidRDefault="00AD32B2" w:rsidP="00AD32B2">
      <w:pPr>
        <w:pStyle w:val="NormalWeb"/>
        <w:numPr>
          <w:ilvl w:val="0"/>
          <w:numId w:val="8"/>
        </w:numPr>
        <w:spacing w:before="0" w:beforeAutospacing="0" w:after="0" w:afterAutospacing="0"/>
        <w:rPr>
          <w:rFonts w:ascii="Arial" w:hAnsi="Arial"/>
        </w:rPr>
      </w:pPr>
      <w:r>
        <w:rPr>
          <w:rFonts w:ascii="Arial" w:hAnsi="Arial"/>
        </w:rPr>
        <w:t>$289.4 million: crime, including costs to corrections, court and police systems</w:t>
      </w:r>
    </w:p>
    <w:p w14:paraId="53A965D6" w14:textId="77777777" w:rsidR="00AD32B2" w:rsidRDefault="00AD32B2" w:rsidP="00AD32B2">
      <w:pPr>
        <w:pStyle w:val="NormalWeb"/>
        <w:numPr>
          <w:ilvl w:val="0"/>
          <w:numId w:val="8"/>
        </w:numPr>
        <w:spacing w:before="0" w:beforeAutospacing="0" w:after="0" w:afterAutospacing="0"/>
        <w:rPr>
          <w:rFonts w:ascii="Arial" w:hAnsi="Arial"/>
        </w:rPr>
      </w:pPr>
      <w:r>
        <w:rPr>
          <w:rFonts w:ascii="Arial" w:hAnsi="Arial"/>
        </w:rPr>
        <w:t>$3.2 million: costs to non-profit organisations</w:t>
      </w:r>
    </w:p>
    <w:p w14:paraId="24B4A367" w14:textId="77777777" w:rsidR="00AD32B2" w:rsidRDefault="00AD32B2" w:rsidP="00AD32B2">
      <w:pPr>
        <w:pStyle w:val="NormalWeb"/>
        <w:numPr>
          <w:ilvl w:val="0"/>
          <w:numId w:val="8"/>
        </w:numPr>
        <w:spacing w:before="0" w:beforeAutospacing="0" w:after="0" w:afterAutospacing="0"/>
        <w:rPr>
          <w:rFonts w:ascii="Arial" w:hAnsi="Arial"/>
        </w:rPr>
      </w:pPr>
      <w:r>
        <w:rPr>
          <w:rFonts w:ascii="Arial" w:hAnsi="Arial"/>
        </w:rPr>
        <w:t>$1.5 million: costs to the federal government</w:t>
      </w:r>
    </w:p>
    <w:p w14:paraId="40ED6608" w14:textId="77777777" w:rsidR="00AD32B2" w:rsidRPr="004E11EA" w:rsidRDefault="00AD32B2" w:rsidP="00AD32B2">
      <w:pPr>
        <w:rPr>
          <w:color w:val="1F497D" w:themeColor="dark2"/>
          <w:sz w:val="12"/>
          <w:szCs w:val="12"/>
        </w:rPr>
      </w:pPr>
    </w:p>
    <w:p w14:paraId="6E7022E9" w14:textId="31974E4A" w:rsidR="00AD32B2" w:rsidRPr="004E11EA" w:rsidRDefault="00AD32B2" w:rsidP="00AD32B2">
      <w:pPr>
        <w:rPr>
          <w:szCs w:val="23"/>
        </w:rPr>
      </w:pPr>
      <w:r w:rsidRPr="004E11EA">
        <w:rPr>
          <w:szCs w:val="23"/>
        </w:rPr>
        <w:t xml:space="preserve">If you extrapolate the above $14.1 billion </w:t>
      </w:r>
      <w:r w:rsidR="00AB165C" w:rsidRPr="004E11EA">
        <w:rPr>
          <w:szCs w:val="23"/>
        </w:rPr>
        <w:t xml:space="preserve">costs over the above 8 categories </w:t>
      </w:r>
      <w:r w:rsidRPr="004E11EA">
        <w:rPr>
          <w:szCs w:val="23"/>
        </w:rPr>
        <w:t xml:space="preserve">in 2023 for Victoria by a spec </w:t>
      </w:r>
      <w:r w:rsidR="00AB165C" w:rsidRPr="004E11EA">
        <w:rPr>
          <w:szCs w:val="23"/>
        </w:rPr>
        <w:t xml:space="preserve">over </w:t>
      </w:r>
      <w:r w:rsidRPr="004E11EA">
        <w:rPr>
          <w:szCs w:val="23"/>
        </w:rPr>
        <w:t>three times</w:t>
      </w:r>
      <w:r w:rsidR="00AB165C" w:rsidRPr="004E11EA">
        <w:rPr>
          <w:szCs w:val="23"/>
        </w:rPr>
        <w:t xml:space="preserve"> for the similar 8 cost categories for NSW poker machines</w:t>
      </w:r>
      <w:r w:rsidRPr="004E11EA">
        <w:rPr>
          <w:szCs w:val="23"/>
        </w:rPr>
        <w:t>, NSW</w:t>
      </w:r>
      <w:r w:rsidR="00AB165C" w:rsidRPr="004E11EA">
        <w:rPr>
          <w:szCs w:val="23"/>
        </w:rPr>
        <w:t>’s</w:t>
      </w:r>
      <w:r w:rsidRPr="004E11EA">
        <w:rPr>
          <w:szCs w:val="23"/>
        </w:rPr>
        <w:t xml:space="preserve"> comparable annual social costs </w:t>
      </w:r>
      <w:r w:rsidR="00664297" w:rsidRPr="004E11EA">
        <w:rPr>
          <w:szCs w:val="23"/>
        </w:rPr>
        <w:t xml:space="preserve">due to EGMs </w:t>
      </w:r>
      <w:r w:rsidRPr="004E11EA">
        <w:rPr>
          <w:szCs w:val="23"/>
        </w:rPr>
        <w:t>approximates just under $</w:t>
      </w:r>
      <w:r w:rsidR="00664297" w:rsidRPr="004E11EA">
        <w:rPr>
          <w:szCs w:val="23"/>
        </w:rPr>
        <w:t>21</w:t>
      </w:r>
      <w:r w:rsidRPr="004E11EA">
        <w:rPr>
          <w:szCs w:val="23"/>
        </w:rPr>
        <w:t xml:space="preserve"> billion in 2023.</w:t>
      </w:r>
    </w:p>
    <w:p w14:paraId="5EF834F6" w14:textId="77777777" w:rsidR="00AD32B2" w:rsidRPr="004E11EA" w:rsidRDefault="00AD32B2" w:rsidP="00AD32B2">
      <w:pPr>
        <w:rPr>
          <w:sz w:val="14"/>
          <w:szCs w:val="14"/>
        </w:rPr>
      </w:pPr>
    </w:p>
    <w:p w14:paraId="37B54A19" w14:textId="414ADA32" w:rsidR="00774FF9" w:rsidRPr="004E11EA" w:rsidRDefault="00664297" w:rsidP="00AD32B2">
      <w:pPr>
        <w:rPr>
          <w:shd w:val="clear" w:color="auto" w:fill="FFFFFF"/>
        </w:rPr>
      </w:pPr>
      <w:r w:rsidRPr="004E11EA">
        <w:rPr>
          <w:b/>
          <w:sz w:val="22"/>
          <w:szCs w:val="22"/>
          <w:shd w:val="clear" w:color="auto" w:fill="FFFFFF"/>
        </w:rPr>
        <w:t>QUESTION</w:t>
      </w:r>
      <w:r w:rsidRPr="004E11EA">
        <w:rPr>
          <w:shd w:val="clear" w:color="auto" w:fill="FFFFFF"/>
        </w:rPr>
        <w:t xml:space="preserve">: </w:t>
      </w:r>
      <w:r w:rsidR="00774FF9" w:rsidRPr="004E11EA">
        <w:rPr>
          <w:shd w:val="clear" w:color="auto" w:fill="FFFFFF"/>
        </w:rPr>
        <w:t>Since 1985, </w:t>
      </w:r>
      <w:r w:rsidR="00774FF9" w:rsidRPr="004E11EA">
        <w:t>pokies have been banned in WA's pubs</w:t>
      </w:r>
      <w:r w:rsidRPr="004E11EA">
        <w:t>/</w:t>
      </w:r>
      <w:r w:rsidR="00774FF9" w:rsidRPr="004E11EA">
        <w:t>clubs, with their presence limited to Crown Casino</w:t>
      </w:r>
      <w:r w:rsidR="00774FF9" w:rsidRPr="004E11EA">
        <w:rPr>
          <w:shd w:val="clear" w:color="auto" w:fill="FFFFFF"/>
        </w:rPr>
        <w:t>. How did the WA Govt manage to implement</w:t>
      </w:r>
      <w:r w:rsidRPr="004E11EA">
        <w:rPr>
          <w:shd w:val="clear" w:color="auto" w:fill="FFFFFF"/>
        </w:rPr>
        <w:t>/maintain</w:t>
      </w:r>
      <w:r w:rsidR="00774FF9" w:rsidRPr="004E11EA">
        <w:rPr>
          <w:shd w:val="clear" w:color="auto" w:fill="FFFFFF"/>
        </w:rPr>
        <w:t xml:space="preserve"> that long term prohibition?</w:t>
      </w:r>
    </w:p>
    <w:p w14:paraId="2EBE2411" w14:textId="77777777" w:rsidR="00774FF9" w:rsidRPr="004E11EA" w:rsidRDefault="00774FF9" w:rsidP="00AD32B2">
      <w:pPr>
        <w:rPr>
          <w:sz w:val="12"/>
          <w:szCs w:val="12"/>
          <w:shd w:val="clear" w:color="auto" w:fill="FFFFFF"/>
        </w:rPr>
      </w:pPr>
    </w:p>
    <w:p w14:paraId="7314A5FE" w14:textId="40E866D7" w:rsidR="00AD32B2" w:rsidRPr="004E11EA" w:rsidRDefault="00AD32B2" w:rsidP="00AD32B2">
      <w:pPr>
        <w:rPr>
          <w:szCs w:val="23"/>
        </w:rPr>
      </w:pPr>
      <w:r w:rsidRPr="004E11EA">
        <w:rPr>
          <w:szCs w:val="23"/>
        </w:rPr>
        <w:t>Below are 10 recent articles/reports re inept policing of breaches by NSW clubs/hotels of one or more of the above Four Regulations governing poker machines in NSW clubs and hotels.</w:t>
      </w:r>
    </w:p>
    <w:p w14:paraId="7A30FF4D" w14:textId="77777777" w:rsidR="00AD32B2" w:rsidRDefault="00AD32B2" w:rsidP="00AD32B2">
      <w:pPr>
        <w:rPr>
          <w:color w:val="1F497D" w:themeColor="dark2"/>
          <w:sz w:val="12"/>
          <w:szCs w:val="12"/>
        </w:rPr>
      </w:pPr>
    </w:p>
    <w:p w14:paraId="44BF1AE4" w14:textId="05474C3F" w:rsidR="00AD32B2" w:rsidRDefault="00514192" w:rsidP="00B27DAE">
      <w:pPr>
        <w:ind w:left="720"/>
        <w:rPr>
          <w:rFonts w:eastAsia="Times New Roman"/>
          <w:color w:val="000000"/>
          <w:sz w:val="22"/>
          <w:szCs w:val="22"/>
          <w:lang w:eastAsia="en-AU"/>
        </w:rPr>
      </w:pPr>
      <w:hyperlink r:id="rId26" w:history="1">
        <w:r w:rsidR="00AD32B2">
          <w:rPr>
            <w:rStyle w:val="Hyperlink"/>
            <w:rFonts w:eastAsia="Times New Roman"/>
            <w:b/>
            <w:bCs/>
            <w:color w:val="0000FF"/>
          </w:rPr>
          <w:t>Auditor-</w:t>
        </w:r>
        <w:r w:rsidR="00AD32B2">
          <w:rPr>
            <w:rStyle w:val="Hyperlink"/>
            <w:rFonts w:eastAsia="Times New Roman"/>
            <w:b/>
            <w:bCs/>
            <w:color w:val="0000FF"/>
          </w:rPr>
          <w:t>G</w:t>
        </w:r>
        <w:r w:rsidR="00AD32B2">
          <w:rPr>
            <w:rStyle w:val="Hyperlink"/>
            <w:rFonts w:eastAsia="Times New Roman"/>
            <w:b/>
            <w:bCs/>
            <w:color w:val="0000FF"/>
          </w:rPr>
          <w:t>e</w:t>
        </w:r>
        <w:r w:rsidR="00AD32B2">
          <w:rPr>
            <w:rStyle w:val="Hyperlink"/>
            <w:rFonts w:eastAsia="Times New Roman"/>
            <w:b/>
            <w:bCs/>
            <w:color w:val="0000FF"/>
          </w:rPr>
          <w:t>n</w:t>
        </w:r>
        <w:r w:rsidR="00AD32B2">
          <w:rPr>
            <w:rStyle w:val="Hyperlink"/>
            <w:rFonts w:eastAsia="Times New Roman"/>
            <w:b/>
            <w:bCs/>
            <w:color w:val="0000FF"/>
          </w:rPr>
          <w:t>eral Report confirms Government is failing to reduce poker machine harm</w:t>
        </w:r>
      </w:hyperlink>
      <w:r w:rsidR="00AD32B2">
        <w:rPr>
          <w:rFonts w:eastAsia="Times New Roman"/>
          <w:b/>
          <w:bCs/>
          <w:lang w:eastAsia="en-AU"/>
        </w:rPr>
        <w:t> </w:t>
      </w:r>
      <w:r w:rsidR="00AD32B2">
        <w:rPr>
          <w:rFonts w:eastAsia="Times New Roman"/>
          <w:lang w:eastAsia="en-AU"/>
        </w:rPr>
        <w:t>- </w:t>
      </w:r>
      <w:r w:rsidR="00AD32B2">
        <w:rPr>
          <w:rFonts w:eastAsia="Times New Roman"/>
          <w:color w:val="000000"/>
          <w:lang w:eastAsia="en-AU"/>
        </w:rPr>
        <w:t>Cate Faehrmann</w:t>
      </w:r>
    </w:p>
    <w:tbl>
      <w:tblPr>
        <w:tblW w:w="4750" w:type="pct"/>
        <w:tblCellSpacing w:w="15" w:type="dxa"/>
        <w:tblInd w:w="720" w:type="dxa"/>
        <w:tblLook w:val="04A0" w:firstRow="1" w:lastRow="0" w:firstColumn="1" w:lastColumn="0" w:noHBand="0" w:noVBand="1"/>
      </w:tblPr>
      <w:tblGrid>
        <w:gridCol w:w="10125"/>
      </w:tblGrid>
      <w:tr w:rsidR="00AD32B2" w14:paraId="6EC230C1" w14:textId="77777777" w:rsidTr="00AD32B2">
        <w:trPr>
          <w:tblCellSpacing w:w="15" w:type="dxa"/>
        </w:trPr>
        <w:tc>
          <w:tcPr>
            <w:tcW w:w="4986" w:type="pct"/>
            <w:tcMar>
              <w:top w:w="15" w:type="dxa"/>
              <w:left w:w="15" w:type="dxa"/>
              <w:bottom w:w="15" w:type="dxa"/>
              <w:right w:w="15" w:type="dxa"/>
            </w:tcMar>
            <w:vAlign w:val="center"/>
            <w:hideMark/>
          </w:tcPr>
          <w:p w14:paraId="727788A6" w14:textId="24AB932E" w:rsidR="00AD32B2" w:rsidRDefault="00514192" w:rsidP="00B27DAE">
            <w:pPr>
              <w:rPr>
                <w:rFonts w:eastAsia="Times New Roman"/>
                <w:lang w:eastAsia="en-AU"/>
              </w:rPr>
            </w:pPr>
            <w:hyperlink r:id="rId27" w:history="1">
              <w:r w:rsidR="00AD32B2">
                <w:rPr>
                  <w:rStyle w:val="Hyperlink"/>
                  <w:rFonts w:eastAsia="Times New Roman"/>
                  <w:b/>
                  <w:bCs/>
                  <w:color w:val="0000FF"/>
                </w:rPr>
                <w:t>Exemptions</w:t>
              </w:r>
              <w:r w:rsidR="00AD32B2">
                <w:rPr>
                  <w:rStyle w:val="Hyperlink"/>
                  <w:rFonts w:eastAsia="Times New Roman"/>
                  <w:b/>
                  <w:bCs/>
                  <w:color w:val="0000FF"/>
                </w:rPr>
                <w:t>,</w:t>
              </w:r>
              <w:r w:rsidR="00AD32B2">
                <w:rPr>
                  <w:rStyle w:val="Hyperlink"/>
                  <w:rFonts w:eastAsia="Times New Roman"/>
                  <w:b/>
                  <w:bCs/>
                  <w:color w:val="0000FF"/>
                </w:rPr>
                <w:t xml:space="preserve"> loopholes and problem gamblers: Political party split on pokies</w:t>
              </w:r>
            </w:hyperlink>
            <w:r w:rsidR="00AD32B2">
              <w:rPr>
                <w:rFonts w:eastAsia="Times New Roman"/>
                <w:b/>
                <w:bCs/>
                <w:color w:val="0A1633"/>
                <w:lang w:eastAsia="en-AU"/>
              </w:rPr>
              <w:t>  </w:t>
            </w:r>
            <w:r w:rsidR="00AD32B2">
              <w:rPr>
                <w:rFonts w:eastAsia="Times New Roman"/>
                <w:color w:val="232323"/>
                <w:bdr w:val="none" w:sz="0" w:space="0" w:color="auto" w:frame="1"/>
                <w:lang w:eastAsia="en-AU"/>
              </w:rPr>
              <w:t>- SMH</w:t>
            </w:r>
            <w:r w:rsidR="00AD32B2">
              <w:rPr>
                <w:rFonts w:eastAsia="Times New Roman"/>
                <w:b/>
                <w:bCs/>
                <w:color w:val="232323"/>
                <w:bdr w:val="none" w:sz="0" w:space="0" w:color="auto" w:frame="1"/>
                <w:lang w:eastAsia="en-AU"/>
              </w:rPr>
              <w:t>  - </w:t>
            </w:r>
            <w:hyperlink r:id="rId28" w:tooltip="Articles by Alexandra Smith" w:history="1">
              <w:r w:rsidR="00AD32B2">
                <w:rPr>
                  <w:rStyle w:val="Hyperlink"/>
                  <w:rFonts w:eastAsia="Times New Roman"/>
                  <w:b/>
                  <w:bCs/>
                  <w:color w:val="096DD2"/>
                  <w:bdr w:val="none" w:sz="0" w:space="0" w:color="auto" w:frame="1"/>
                </w:rPr>
                <w:t>Alexandra Smith</w:t>
              </w:r>
            </w:hyperlink>
            <w:r w:rsidR="00AD32B2">
              <w:rPr>
                <w:rFonts w:eastAsia="Times New Roman"/>
                <w:b/>
                <w:bCs/>
                <w:color w:val="232323"/>
                <w:bdr w:val="none" w:sz="0" w:space="0" w:color="auto" w:frame="1"/>
                <w:lang w:eastAsia="en-AU"/>
              </w:rPr>
              <w:t> </w:t>
            </w:r>
            <w:r w:rsidR="00AD32B2">
              <w:rPr>
                <w:rFonts w:eastAsia="Times New Roman"/>
                <w:color w:val="232323"/>
                <w:bdr w:val="none" w:sz="0" w:space="0" w:color="auto" w:frame="1"/>
                <w:lang w:eastAsia="en-AU"/>
              </w:rPr>
              <w:t>and</w:t>
            </w:r>
            <w:r w:rsidR="00AD32B2">
              <w:rPr>
                <w:rFonts w:eastAsia="Times New Roman"/>
                <w:b/>
                <w:bCs/>
                <w:color w:val="232323"/>
                <w:bdr w:val="none" w:sz="0" w:space="0" w:color="auto" w:frame="1"/>
                <w:lang w:eastAsia="en-AU"/>
              </w:rPr>
              <w:t> </w:t>
            </w:r>
            <w:hyperlink r:id="rId29" w:tooltip="Articles by Jessica McSweeney" w:history="1">
              <w:r w:rsidR="00AD32B2">
                <w:rPr>
                  <w:rStyle w:val="Hyperlink"/>
                  <w:rFonts w:eastAsia="Times New Roman"/>
                  <w:b/>
                  <w:bCs/>
                  <w:color w:val="096DD2"/>
                  <w:bdr w:val="none" w:sz="0" w:space="0" w:color="auto" w:frame="1"/>
                </w:rPr>
                <w:t>Jessica McSweeney</w:t>
              </w:r>
            </w:hyperlink>
            <w:r w:rsidR="00AD32B2">
              <w:rPr>
                <w:rFonts w:eastAsia="Times New Roman"/>
                <w:b/>
                <w:bCs/>
                <w:color w:val="232323"/>
                <w:bdr w:val="none" w:sz="0" w:space="0" w:color="auto" w:frame="1"/>
                <w:lang w:eastAsia="en-AU"/>
              </w:rPr>
              <w:t>   </w:t>
            </w:r>
            <w:r w:rsidR="00AD32B2">
              <w:rPr>
                <w:rFonts w:eastAsia="Times New Roman"/>
                <w:color w:val="232323"/>
                <w:bdr w:val="none" w:sz="0" w:space="0" w:color="auto" w:frame="1"/>
                <w:lang w:eastAsia="en-AU"/>
              </w:rPr>
              <w:t>22</w:t>
            </w:r>
            <w:r w:rsidR="00AD32B2">
              <w:rPr>
                <w:rFonts w:eastAsia="Times New Roman"/>
                <w:b/>
                <w:bCs/>
                <w:color w:val="232323"/>
                <w:bdr w:val="none" w:sz="0" w:space="0" w:color="auto" w:frame="1"/>
                <w:lang w:eastAsia="en-AU"/>
              </w:rPr>
              <w:t> </w:t>
            </w:r>
            <w:r w:rsidR="00AD32B2">
              <w:rPr>
                <w:rFonts w:eastAsia="Times New Roman"/>
                <w:bdr w:val="none" w:sz="0" w:space="0" w:color="auto" w:frame="1"/>
                <w:lang w:eastAsia="en-AU"/>
              </w:rPr>
              <w:t>Oct 2025</w:t>
            </w:r>
          </w:p>
        </w:tc>
      </w:tr>
      <w:tr w:rsidR="00AD32B2" w14:paraId="51BA156B" w14:textId="77777777" w:rsidTr="00AD32B2">
        <w:trPr>
          <w:trHeight w:val="345"/>
          <w:tblCellSpacing w:w="15" w:type="dxa"/>
        </w:trPr>
        <w:tc>
          <w:tcPr>
            <w:tcW w:w="4986" w:type="pct"/>
            <w:tcMar>
              <w:top w:w="15" w:type="dxa"/>
              <w:left w:w="15" w:type="dxa"/>
              <w:bottom w:w="15" w:type="dxa"/>
              <w:right w:w="15" w:type="dxa"/>
            </w:tcMar>
            <w:vAlign w:val="center"/>
            <w:hideMark/>
          </w:tcPr>
          <w:p w14:paraId="2AD53E0C" w14:textId="775F572E" w:rsidR="00AD32B2" w:rsidRDefault="00AD32B2" w:rsidP="00B27DAE">
            <w:pPr>
              <w:rPr>
                <w:rFonts w:eastAsia="Times New Roman"/>
                <w:sz w:val="22"/>
                <w:szCs w:val="22"/>
                <w:lang w:eastAsia="en-AU"/>
              </w:rPr>
            </w:pPr>
            <w:r>
              <w:rPr>
                <w:rFonts w:eastAsia="Times New Roman"/>
                <w:lang w:eastAsia="en-AU"/>
              </w:rPr>
              <w:t>‘</w:t>
            </w:r>
            <w:hyperlink r:id="rId30" w:history="1">
              <w:r>
                <w:rPr>
                  <w:rStyle w:val="Hyperlink"/>
                  <w:rFonts w:eastAsia="Times New Roman"/>
                  <w:b/>
                  <w:bCs/>
                  <w:color w:val="0000FF"/>
                </w:rPr>
                <w:t>Virtually n</w:t>
              </w:r>
              <w:r>
                <w:rPr>
                  <w:rStyle w:val="Hyperlink"/>
                  <w:rFonts w:eastAsia="Times New Roman"/>
                  <w:b/>
                  <w:bCs/>
                  <w:color w:val="0000FF"/>
                </w:rPr>
                <w:t>o</w:t>
              </w:r>
              <w:r>
                <w:rPr>
                  <w:rStyle w:val="Hyperlink"/>
                  <w:rFonts w:eastAsia="Times New Roman"/>
                  <w:b/>
                  <w:bCs/>
                  <w:color w:val="0000FF"/>
                </w:rPr>
                <w:t xml:space="preserve"> oversight’ of suburban poker machine dens</w:t>
              </w:r>
            </w:hyperlink>
            <w:r>
              <w:rPr>
                <w:rFonts w:eastAsia="Times New Roman"/>
                <w:lang w:eastAsia="en-AU"/>
              </w:rPr>
              <w:t>  -  The Western Weekender  - Alex Mitchell, AAP  -  June 16, 2025</w:t>
            </w:r>
          </w:p>
        </w:tc>
      </w:tr>
      <w:tr w:rsidR="00AD32B2" w14:paraId="79122927" w14:textId="77777777" w:rsidTr="00AD32B2">
        <w:trPr>
          <w:tblCellSpacing w:w="15" w:type="dxa"/>
        </w:trPr>
        <w:tc>
          <w:tcPr>
            <w:tcW w:w="4986" w:type="pct"/>
            <w:tcMar>
              <w:top w:w="15" w:type="dxa"/>
              <w:left w:w="15" w:type="dxa"/>
              <w:bottom w:w="15" w:type="dxa"/>
              <w:right w:w="15" w:type="dxa"/>
            </w:tcMar>
            <w:vAlign w:val="center"/>
            <w:hideMark/>
          </w:tcPr>
          <w:p w14:paraId="6AD49983" w14:textId="3AB4A483" w:rsidR="00AD32B2" w:rsidRDefault="00514192" w:rsidP="004E11EA">
            <w:pPr>
              <w:shd w:val="clear" w:color="auto" w:fill="FFFFFF"/>
              <w:spacing w:before="100" w:beforeAutospacing="1" w:after="100" w:afterAutospacing="1"/>
              <w:rPr>
                <w:rFonts w:eastAsia="Times New Roman"/>
                <w:lang w:eastAsia="en-AU"/>
              </w:rPr>
            </w:pPr>
            <w:hyperlink r:id="rId31" w:history="1">
              <w:r w:rsidR="00AD32B2">
                <w:rPr>
                  <w:rStyle w:val="Hyperlink"/>
                  <w:rFonts w:eastAsia="Times New Roman"/>
                  <w:b/>
                  <w:bCs/>
                  <w:color w:val="0000FF"/>
                </w:rPr>
                <w:t>Super Fun Pre-School Activities on the Lower</w:t>
              </w:r>
              <w:r w:rsidR="00B27DAE">
                <w:rPr>
                  <w:rStyle w:val="Hyperlink"/>
                  <w:rFonts w:eastAsia="Times New Roman"/>
                  <w:b/>
                  <w:bCs/>
                  <w:color w:val="0000FF"/>
                </w:rPr>
                <w:t> </w:t>
              </w:r>
              <w:r w:rsidR="00AD32B2">
                <w:rPr>
                  <w:rStyle w:val="Hyperlink"/>
                  <w:rFonts w:eastAsia="Times New Roman"/>
                  <w:b/>
                  <w:bCs/>
                  <w:color w:val="0000FF"/>
                </w:rPr>
                <w:t>North</w:t>
              </w:r>
              <w:r w:rsidR="00B27DAE">
                <w:rPr>
                  <w:rStyle w:val="Hyperlink"/>
                  <w:rFonts w:eastAsia="Times New Roman"/>
                  <w:b/>
                  <w:bCs/>
                  <w:color w:val="0000FF"/>
                </w:rPr>
                <w:t> </w:t>
              </w:r>
              <w:r w:rsidR="00AD32B2">
                <w:rPr>
                  <w:rStyle w:val="Hyperlink"/>
                  <w:rFonts w:eastAsia="Times New Roman"/>
                  <w:b/>
                  <w:bCs/>
                  <w:color w:val="0000FF"/>
                </w:rPr>
                <w:t>Shore</w:t>
              </w:r>
            </w:hyperlink>
            <w:r w:rsidR="00B27DAE">
              <w:t xml:space="preserve">       </w:t>
            </w:r>
            <w:r w:rsidR="00AD32B2">
              <w:rPr>
                <w:rFonts w:eastAsia="Times New Roman"/>
                <w:b/>
                <w:bCs/>
                <w:lang w:eastAsia="en-AU"/>
              </w:rPr>
              <w:t xml:space="preserve"> -  </w:t>
            </w:r>
            <w:hyperlink r:id="rId32" w:history="1">
              <w:r w:rsidR="00AD32B2">
                <w:rPr>
                  <w:rStyle w:val="Hyperlink"/>
                  <w:rFonts w:eastAsia="Times New Roman"/>
                  <w:b/>
                  <w:bCs/>
                  <w:color w:val="0000FF"/>
                </w:rPr>
                <w:t>www.willoughbyliving.com.au</w:t>
              </w:r>
            </w:hyperlink>
            <w:r w:rsidR="00AD32B2">
              <w:rPr>
                <w:rFonts w:eastAsia="Times New Roman"/>
                <w:b/>
                <w:bCs/>
                <w:lang w:eastAsia="en-AU"/>
              </w:rPr>
              <w:t>  </w:t>
            </w:r>
            <w:r w:rsidR="004E11EA">
              <w:rPr>
                <w:rFonts w:eastAsia="Times New Roman"/>
                <w:lang w:eastAsia="en-AU"/>
              </w:rPr>
              <w:t> </w:t>
            </w:r>
            <w:r w:rsidR="00AD32B2">
              <w:rPr>
                <w:rFonts w:eastAsia="Times New Roman"/>
                <w:lang w:eastAsia="en-AU"/>
              </w:rPr>
              <w:t>-  July 26, 2023</w:t>
            </w:r>
          </w:p>
        </w:tc>
      </w:tr>
      <w:tr w:rsidR="00AD32B2" w14:paraId="49FE091B" w14:textId="77777777" w:rsidTr="00AD32B2">
        <w:trPr>
          <w:tblCellSpacing w:w="15" w:type="dxa"/>
        </w:trPr>
        <w:tc>
          <w:tcPr>
            <w:tcW w:w="4986" w:type="pct"/>
            <w:tcMar>
              <w:top w:w="15" w:type="dxa"/>
              <w:left w:w="15" w:type="dxa"/>
              <w:bottom w:w="15" w:type="dxa"/>
              <w:right w:w="15" w:type="dxa"/>
            </w:tcMar>
            <w:vAlign w:val="center"/>
            <w:hideMark/>
          </w:tcPr>
          <w:p w14:paraId="48C1B308" w14:textId="575B6485" w:rsidR="00AD32B2" w:rsidRDefault="00AD32B2" w:rsidP="00B27DAE">
            <w:pPr>
              <w:spacing w:before="100" w:beforeAutospacing="1" w:after="100" w:afterAutospacing="1"/>
              <w:rPr>
                <w:rFonts w:eastAsia="Times New Roman"/>
                <w:lang w:eastAsia="en-AU"/>
              </w:rPr>
            </w:pPr>
            <w:r>
              <w:rPr>
                <w:rFonts w:eastAsia="Times New Roman"/>
                <w:b/>
                <w:bCs/>
                <w:color w:val="232323"/>
                <w:lang w:eastAsia="en-AU"/>
              </w:rPr>
              <w:t>'</w:t>
            </w:r>
            <w:hyperlink r:id="rId33" w:history="1">
              <w:r>
                <w:rPr>
                  <w:rStyle w:val="Hyperlink"/>
                  <w:rFonts w:eastAsia="Times New Roman"/>
                  <w:b/>
                  <w:bCs/>
                  <w:color w:val="0000FF"/>
                </w:rPr>
                <w:t>Not a</w:t>
              </w:r>
              <w:r>
                <w:rPr>
                  <w:rStyle w:val="Hyperlink"/>
                  <w:rFonts w:eastAsia="Times New Roman"/>
                  <w:b/>
                  <w:bCs/>
                  <w:color w:val="0000FF"/>
                </w:rPr>
                <w:t xml:space="preserve"> </w:t>
              </w:r>
              <w:r>
                <w:rPr>
                  <w:rStyle w:val="Hyperlink"/>
                  <w:rFonts w:eastAsia="Times New Roman"/>
                  <w:b/>
                  <w:bCs/>
                  <w:color w:val="0000FF"/>
                </w:rPr>
                <w:t>chook raffle’: RSL The billion-dollar institution in crisis</w:t>
              </w:r>
            </w:hyperlink>
            <w:r>
              <w:rPr>
                <w:rFonts w:eastAsia="Times New Roman"/>
                <w:b/>
                <w:bCs/>
                <w:color w:val="232323"/>
                <w:shd w:val="clear" w:color="auto" w:fill="FFFFFF"/>
                <w:lang w:eastAsia="en-AU"/>
              </w:rPr>
              <w:t>  - </w:t>
            </w:r>
            <w:r>
              <w:rPr>
                <w:rFonts w:eastAsia="Times New Roman"/>
                <w:color w:val="232323"/>
                <w:shd w:val="clear" w:color="auto" w:fill="FFFFFF"/>
                <w:lang w:eastAsia="en-AU"/>
              </w:rPr>
              <w:t>SMH  - </w:t>
            </w:r>
            <w:r w:rsidR="00AB165C">
              <w:rPr>
                <w:rFonts w:eastAsia="Times New Roman"/>
                <w:color w:val="232323"/>
                <w:shd w:val="clear" w:color="auto" w:fill="FFFFFF"/>
                <w:lang w:eastAsia="en-AU"/>
              </w:rPr>
              <w:br/>
            </w:r>
            <w:hyperlink r:id="rId34" w:tooltip="Articles by Harriet Alexander" w:history="1">
              <w:r>
                <w:rPr>
                  <w:rStyle w:val="Hyperlink"/>
                  <w:rFonts w:eastAsia="Times New Roman"/>
                  <w:color w:val="0000FF"/>
                  <w:bdr w:val="none" w:sz="0" w:space="0" w:color="auto" w:frame="1"/>
                </w:rPr>
                <w:t>Harriet Alexander</w:t>
              </w:r>
            </w:hyperlink>
            <w:r w:rsidR="00AB165C">
              <w:rPr>
                <w:rFonts w:eastAsia="Times New Roman"/>
                <w:lang w:eastAsia="en-AU"/>
              </w:rPr>
              <w:t> - </w:t>
            </w:r>
            <w:r>
              <w:rPr>
                <w:rFonts w:eastAsia="Times New Roman"/>
                <w:color w:val="232323"/>
                <w:shd w:val="clear" w:color="auto" w:fill="FFFFFF"/>
                <w:lang w:eastAsia="en-AU"/>
              </w:rPr>
              <w:t> 22 Sept  2025</w:t>
            </w:r>
          </w:p>
        </w:tc>
      </w:tr>
      <w:tr w:rsidR="00AD32B2" w14:paraId="4E58545D" w14:textId="77777777" w:rsidTr="00AD32B2">
        <w:trPr>
          <w:tblCellSpacing w:w="15" w:type="dxa"/>
        </w:trPr>
        <w:tc>
          <w:tcPr>
            <w:tcW w:w="4986" w:type="pct"/>
            <w:tcMar>
              <w:top w:w="15" w:type="dxa"/>
              <w:left w:w="15" w:type="dxa"/>
              <w:bottom w:w="15" w:type="dxa"/>
              <w:right w:w="15" w:type="dxa"/>
            </w:tcMar>
            <w:vAlign w:val="center"/>
            <w:hideMark/>
          </w:tcPr>
          <w:p w14:paraId="31B02A6D" w14:textId="38FBA66A" w:rsidR="00AD32B2" w:rsidRDefault="00514192" w:rsidP="00B27DAE">
            <w:pPr>
              <w:shd w:val="clear" w:color="auto" w:fill="FEF9F5"/>
              <w:textAlignment w:val="baseline"/>
              <w:outlineLvl w:val="0"/>
              <w:rPr>
                <w:rFonts w:eastAsia="Times New Roman"/>
                <w:b/>
                <w:bCs/>
                <w:kern w:val="36"/>
                <w:sz w:val="48"/>
                <w:szCs w:val="48"/>
                <w:lang w:eastAsia="en-AU"/>
              </w:rPr>
            </w:pPr>
            <w:hyperlink r:id="rId35" w:history="1">
              <w:r w:rsidR="00AD32B2">
                <w:rPr>
                  <w:rStyle w:val="Hyperlink"/>
                  <w:rFonts w:eastAsia="Times New Roman"/>
                  <w:b/>
                  <w:bCs/>
                  <w:color w:val="0000FF"/>
                </w:rPr>
                <w:t>Australia’s poker machine story started 70 years ago. We were warned of harms from the beginning</w:t>
              </w:r>
            </w:hyperlink>
            <w:r w:rsidR="00AD32B2">
              <w:rPr>
                <w:rFonts w:eastAsia="Times New Roman"/>
                <w:b/>
                <w:bCs/>
                <w:color w:val="121212"/>
                <w:kern w:val="36"/>
                <w:lang w:eastAsia="en-AU"/>
              </w:rPr>
              <w:t>  </w:t>
            </w:r>
            <w:r w:rsidR="00AD32B2">
              <w:rPr>
                <w:rFonts w:eastAsia="Times New Roman"/>
                <w:color w:val="121212"/>
                <w:kern w:val="36"/>
                <w:lang w:eastAsia="en-AU"/>
              </w:rPr>
              <w:t>-  </w:t>
            </w:r>
            <w:r w:rsidR="00AD32B2">
              <w:rPr>
                <w:rFonts w:eastAsia="Times New Roman"/>
                <w:kern w:val="36"/>
                <w:lang w:eastAsia="en-AU"/>
              </w:rPr>
              <w:t>The Guardian  -  Quentin Beresford  -  10 Nov 2025</w:t>
            </w:r>
          </w:p>
        </w:tc>
      </w:tr>
      <w:tr w:rsidR="00AD32B2" w14:paraId="54DCD03C" w14:textId="77777777" w:rsidTr="00AD32B2">
        <w:trPr>
          <w:tblCellSpacing w:w="15" w:type="dxa"/>
        </w:trPr>
        <w:tc>
          <w:tcPr>
            <w:tcW w:w="4986" w:type="pct"/>
            <w:tcMar>
              <w:top w:w="15" w:type="dxa"/>
              <w:left w:w="15" w:type="dxa"/>
              <w:bottom w:w="15" w:type="dxa"/>
              <w:right w:w="15" w:type="dxa"/>
            </w:tcMar>
            <w:vAlign w:val="center"/>
            <w:hideMark/>
          </w:tcPr>
          <w:p w14:paraId="2DA9598A" w14:textId="3A8C06E9" w:rsidR="00AD32B2" w:rsidRDefault="00514192" w:rsidP="00B27DAE">
            <w:pPr>
              <w:rPr>
                <w:rFonts w:eastAsia="Times New Roman"/>
                <w:lang w:eastAsia="en-AU"/>
              </w:rPr>
            </w:pPr>
            <w:hyperlink r:id="rId36" w:history="1">
              <w:r w:rsidR="00AD32B2">
                <w:rPr>
                  <w:rStyle w:val="Hyperlink"/>
                  <w:rFonts w:eastAsia="Times New Roman"/>
                  <w:b/>
                  <w:bCs/>
                  <w:color w:val="0000FF"/>
                </w:rPr>
                <w:t>The elect</w:t>
              </w:r>
              <w:r w:rsidR="00AD32B2">
                <w:rPr>
                  <w:rStyle w:val="Hyperlink"/>
                  <w:rFonts w:eastAsia="Times New Roman"/>
                  <w:b/>
                  <w:bCs/>
                  <w:color w:val="0000FF"/>
                </w:rPr>
                <w:t>i</w:t>
              </w:r>
              <w:r w:rsidR="00AD32B2">
                <w:rPr>
                  <w:rStyle w:val="Hyperlink"/>
                  <w:rFonts w:eastAsia="Times New Roman"/>
                  <w:b/>
                  <w:bCs/>
                  <w:color w:val="0000FF"/>
                </w:rPr>
                <w:t>on promise NSW Labor doesn’t want to talk about  </w:t>
              </w:r>
            </w:hyperlink>
            <w:r w:rsidR="00AD32B2">
              <w:rPr>
                <w:rFonts w:eastAsia="Times New Roman"/>
                <w:lang w:eastAsia="en-AU"/>
              </w:rPr>
              <w:t>-  SMH  -  </w:t>
            </w:r>
            <w:hyperlink r:id="rId37" w:tooltip="Articles by Harriet Alexander" w:history="1">
              <w:r w:rsidR="00AD32B2">
                <w:rPr>
                  <w:rStyle w:val="Hyperlink"/>
                  <w:rFonts w:eastAsia="Times New Roman"/>
                  <w:color w:val="0000FF"/>
                  <w:bdr w:val="none" w:sz="0" w:space="0" w:color="auto" w:frame="1"/>
                </w:rPr>
                <w:t>Harriet Alexander</w:t>
              </w:r>
            </w:hyperlink>
            <w:r w:rsidR="00AD32B2">
              <w:rPr>
                <w:rFonts w:eastAsia="Times New Roman"/>
                <w:lang w:eastAsia="en-AU"/>
              </w:rPr>
              <w:t>  -  2 Feb 2025</w:t>
            </w:r>
          </w:p>
        </w:tc>
      </w:tr>
      <w:tr w:rsidR="00AD32B2" w14:paraId="06668FF8" w14:textId="77777777" w:rsidTr="00AD32B2">
        <w:trPr>
          <w:tblCellSpacing w:w="15" w:type="dxa"/>
        </w:trPr>
        <w:tc>
          <w:tcPr>
            <w:tcW w:w="4986" w:type="pct"/>
            <w:tcMar>
              <w:top w:w="15" w:type="dxa"/>
              <w:left w:w="15" w:type="dxa"/>
              <w:bottom w:w="15" w:type="dxa"/>
              <w:right w:w="15" w:type="dxa"/>
            </w:tcMar>
            <w:vAlign w:val="center"/>
            <w:hideMark/>
          </w:tcPr>
          <w:p w14:paraId="362D641D" w14:textId="0D4B0A12" w:rsidR="00AD32B2" w:rsidRDefault="00514192" w:rsidP="00B27DAE">
            <w:pPr>
              <w:rPr>
                <w:rFonts w:eastAsia="Times New Roman"/>
                <w:sz w:val="22"/>
                <w:szCs w:val="22"/>
                <w:lang w:eastAsia="en-AU"/>
              </w:rPr>
            </w:pPr>
            <w:hyperlink r:id="rId38" w:history="1">
              <w:r w:rsidR="00AD32B2">
                <w:rPr>
                  <w:rStyle w:val="Hyperlink"/>
                  <w:rFonts w:eastAsia="Times New Roman"/>
                  <w:b/>
                  <w:bCs/>
                  <w:color w:val="0000FF"/>
                </w:rPr>
                <w:t>Hard times claims by pokie clubs are breaking our hearts</w:t>
              </w:r>
            </w:hyperlink>
            <w:r w:rsidR="00AD32B2">
              <w:rPr>
                <w:rFonts w:eastAsia="Times New Roman"/>
                <w:lang w:eastAsia="en-AU"/>
              </w:rPr>
              <w:t xml:space="preserve"> - </w:t>
            </w:r>
            <w:r w:rsidR="00AD32B2" w:rsidRPr="00B27DAE">
              <w:rPr>
                <w:rFonts w:ascii="Arial Narrow" w:eastAsia="Times New Roman" w:hAnsi="Arial Narrow"/>
                <w:lang w:eastAsia="en-AU"/>
              </w:rPr>
              <w:t>SMH - EDITORIAL</w:t>
            </w:r>
            <w:r w:rsidR="00B27DAE">
              <w:rPr>
                <w:rFonts w:eastAsia="Times New Roman"/>
                <w:lang w:eastAsia="en-AU"/>
              </w:rPr>
              <w:t xml:space="preserve"> - 1 Sept ‘</w:t>
            </w:r>
            <w:r w:rsidR="00AD32B2">
              <w:rPr>
                <w:rFonts w:eastAsia="Times New Roman"/>
                <w:lang w:eastAsia="en-AU"/>
              </w:rPr>
              <w:t>25</w:t>
            </w:r>
          </w:p>
        </w:tc>
      </w:tr>
      <w:tr w:rsidR="00AD32B2" w14:paraId="525DE041" w14:textId="77777777" w:rsidTr="00AD32B2">
        <w:trPr>
          <w:tblCellSpacing w:w="15" w:type="dxa"/>
        </w:trPr>
        <w:tc>
          <w:tcPr>
            <w:tcW w:w="4986" w:type="pct"/>
            <w:tcMar>
              <w:top w:w="15" w:type="dxa"/>
              <w:left w:w="15" w:type="dxa"/>
              <w:bottom w:w="15" w:type="dxa"/>
              <w:right w:w="15" w:type="dxa"/>
            </w:tcMar>
            <w:vAlign w:val="center"/>
            <w:hideMark/>
          </w:tcPr>
          <w:p w14:paraId="27ADD1FF" w14:textId="77777777" w:rsidR="00AD32B2" w:rsidRDefault="00514192" w:rsidP="00B27DAE">
            <w:pPr>
              <w:rPr>
                <w:rFonts w:eastAsia="Times New Roman"/>
                <w:lang w:eastAsia="en-AU"/>
              </w:rPr>
            </w:pPr>
            <w:hyperlink r:id="rId39" w:history="1">
              <w:r w:rsidR="00AD32B2">
                <w:rPr>
                  <w:rStyle w:val="Hyperlink"/>
                  <w:rFonts w:eastAsia="Times New Roman"/>
                  <w:b/>
                  <w:bCs/>
                  <w:color w:val="0000FF"/>
                </w:rPr>
                <w:t>Coalition casts doubt on Perrottet’s signature gambling policy SMH</w:t>
              </w:r>
            </w:hyperlink>
            <w:r w:rsidR="00AD32B2">
              <w:rPr>
                <w:rFonts w:eastAsia="Times New Roman"/>
                <w:lang w:eastAsia="en-AU"/>
              </w:rPr>
              <w:t> - Alexandra Smith and Harriet Alexander - 2 Dec 2025</w:t>
            </w:r>
          </w:p>
        </w:tc>
      </w:tr>
      <w:tr w:rsidR="00AD32B2" w14:paraId="6684524D" w14:textId="77777777" w:rsidTr="00AD32B2">
        <w:trPr>
          <w:tblCellSpacing w:w="15" w:type="dxa"/>
        </w:trPr>
        <w:tc>
          <w:tcPr>
            <w:tcW w:w="4986" w:type="pct"/>
            <w:tcMar>
              <w:top w:w="15" w:type="dxa"/>
              <w:left w:w="15" w:type="dxa"/>
              <w:bottom w:w="15" w:type="dxa"/>
              <w:right w:w="15" w:type="dxa"/>
            </w:tcMar>
            <w:vAlign w:val="center"/>
            <w:hideMark/>
          </w:tcPr>
          <w:p w14:paraId="7670F56D" w14:textId="096350B3" w:rsidR="00AD32B2" w:rsidRDefault="00514192" w:rsidP="00B27DAE">
            <w:pPr>
              <w:rPr>
                <w:rFonts w:eastAsia="Times New Roman"/>
                <w:lang w:eastAsia="en-AU"/>
              </w:rPr>
            </w:pPr>
            <w:hyperlink r:id="rId40" w:history="1">
              <w:r w:rsidR="00AD32B2">
                <w:rPr>
                  <w:rStyle w:val="Hyperlink"/>
                  <w:rFonts w:eastAsia="Times New Roman"/>
                  <w:b/>
                  <w:bCs/>
                  <w:color w:val="0000FF"/>
                </w:rPr>
                <w:t>Pubs have only a quarter of pokies in NSW. But they pocket almost half the profits</w:t>
              </w:r>
            </w:hyperlink>
            <w:r w:rsidR="00AD32B2">
              <w:rPr>
                <w:rFonts w:eastAsia="Times New Roman"/>
                <w:lang w:eastAsia="en-AU"/>
              </w:rPr>
              <w:t>  -SMH - Harriet Alexander - 8 Jan 2024</w:t>
            </w:r>
          </w:p>
        </w:tc>
      </w:tr>
    </w:tbl>
    <w:p w14:paraId="7D564FFA" w14:textId="77777777" w:rsidR="00AD32B2" w:rsidRPr="00774FF9" w:rsidRDefault="00AD32B2" w:rsidP="00AD32B2">
      <w:pPr>
        <w:rPr>
          <w:color w:val="1F497D" w:themeColor="dark2"/>
          <w:sz w:val="16"/>
          <w:szCs w:val="16"/>
        </w:rPr>
      </w:pPr>
    </w:p>
    <w:p w14:paraId="2900FBE3" w14:textId="63EC5B9F" w:rsidR="00F602D1" w:rsidRDefault="00F602D1" w:rsidP="006F36FA">
      <w:r>
        <w:t>Yours sincerely</w:t>
      </w:r>
    </w:p>
    <w:p w14:paraId="7C71266A" w14:textId="123ABE7D" w:rsidR="00F602D1" w:rsidRDefault="00F602D1" w:rsidP="006F36FA">
      <w:pPr>
        <w:rPr>
          <w:noProof/>
          <w:lang w:eastAsia="en-AU"/>
        </w:rPr>
      </w:pPr>
    </w:p>
    <w:p w14:paraId="72AA6A05" w14:textId="77777777" w:rsidR="00C42F6D" w:rsidRDefault="00C42F6D" w:rsidP="006F36FA">
      <w:pPr>
        <w:rPr>
          <w:noProof/>
          <w:lang w:eastAsia="en-AU"/>
        </w:rPr>
      </w:pPr>
    </w:p>
    <w:p w14:paraId="5BB54E80" w14:textId="77777777" w:rsidR="00C42F6D" w:rsidRDefault="00C42F6D" w:rsidP="006F36FA">
      <w:pPr>
        <w:rPr>
          <w:noProof/>
          <w:lang w:eastAsia="en-AU"/>
        </w:rPr>
      </w:pPr>
    </w:p>
    <w:p w14:paraId="55917E68" w14:textId="77777777" w:rsidR="00C42F6D" w:rsidRDefault="00C42F6D" w:rsidP="006F36FA">
      <w:bookmarkStart w:id="0" w:name="_GoBack"/>
      <w:bookmarkEnd w:id="0"/>
    </w:p>
    <w:p w14:paraId="57FCD1EF" w14:textId="6F067DE8" w:rsidR="00F602D1" w:rsidRPr="006F36FA" w:rsidRDefault="00F602D1" w:rsidP="006F36FA">
      <w:r>
        <w:t>Philip James Johnston</w:t>
      </w:r>
    </w:p>
    <w:sectPr w:rsidR="00F602D1" w:rsidRPr="006F36FA" w:rsidSect="00664297">
      <w:headerReference w:type="default" r:id="rId41"/>
      <w:pgSz w:w="11906" w:h="16838"/>
      <w:pgMar w:top="510" w:right="624" w:bottom="510" w:left="62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D0ED2" w14:textId="77777777" w:rsidR="00514192" w:rsidRDefault="00514192" w:rsidP="006F36FA">
      <w:r>
        <w:separator/>
      </w:r>
    </w:p>
  </w:endnote>
  <w:endnote w:type="continuationSeparator" w:id="0">
    <w:p w14:paraId="416357B4" w14:textId="77777777" w:rsidR="00514192" w:rsidRDefault="00514192" w:rsidP="006F3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Public Sans">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54886" w14:textId="77777777" w:rsidR="00514192" w:rsidRDefault="00514192" w:rsidP="006F36FA">
      <w:r>
        <w:separator/>
      </w:r>
    </w:p>
  </w:footnote>
  <w:footnote w:type="continuationSeparator" w:id="0">
    <w:p w14:paraId="6E34C000" w14:textId="77777777" w:rsidR="00514192" w:rsidRDefault="00514192" w:rsidP="006F36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2410170"/>
      <w:docPartObj>
        <w:docPartGallery w:val="Page Numbers (Top of Page)"/>
        <w:docPartUnique/>
      </w:docPartObj>
    </w:sdtPr>
    <w:sdtEndPr>
      <w:rPr>
        <w:noProof/>
      </w:rPr>
    </w:sdtEndPr>
    <w:sdtContent>
      <w:p w14:paraId="172209ED" w14:textId="24F287CB" w:rsidR="006F36FA" w:rsidRDefault="006F36FA">
        <w:pPr>
          <w:pStyle w:val="Header"/>
          <w:jc w:val="center"/>
        </w:pPr>
        <w:r>
          <w:fldChar w:fldCharType="begin"/>
        </w:r>
        <w:r>
          <w:instrText xml:space="preserve"> PAGE   \* MERGEFORMAT </w:instrText>
        </w:r>
        <w:r>
          <w:fldChar w:fldCharType="separate"/>
        </w:r>
        <w:r w:rsidR="00C42F6D">
          <w:rPr>
            <w:noProof/>
          </w:rPr>
          <w:t>2</w:t>
        </w:r>
        <w:r>
          <w:rPr>
            <w:noProof/>
          </w:rPr>
          <w:fldChar w:fldCharType="end"/>
        </w:r>
      </w:p>
    </w:sdtContent>
  </w:sdt>
  <w:p w14:paraId="0B79812C" w14:textId="77777777" w:rsidR="006F36FA" w:rsidRDefault="006F36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00BBD"/>
    <w:multiLevelType w:val="hybridMultilevel"/>
    <w:tmpl w:val="EBDC024A"/>
    <w:lvl w:ilvl="0" w:tplc="2CFE5E52">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A875C1A"/>
    <w:multiLevelType w:val="hybridMultilevel"/>
    <w:tmpl w:val="33B86460"/>
    <w:lvl w:ilvl="0" w:tplc="B7CC9FE8">
      <w:start w:val="18"/>
      <w:numFmt w:val="bullet"/>
      <w:lvlText w:val=""/>
      <w:lvlJc w:val="left"/>
      <w:pPr>
        <w:ind w:left="720" w:hanging="360"/>
      </w:pPr>
      <w:rPr>
        <w:rFonts w:ascii="Symbol" w:eastAsiaTheme="minorHAnsi" w:hAnsi="Symbol" w:cs="Arial" w:hint="default"/>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85B72B1"/>
    <w:multiLevelType w:val="multilevel"/>
    <w:tmpl w:val="714879DC"/>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CF02B16"/>
    <w:multiLevelType w:val="hybridMultilevel"/>
    <w:tmpl w:val="2A3EF902"/>
    <w:lvl w:ilvl="0" w:tplc="0C090011">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3F364C56"/>
    <w:multiLevelType w:val="hybridMultilevel"/>
    <w:tmpl w:val="866EAD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E5319E1"/>
    <w:multiLevelType w:val="multilevel"/>
    <w:tmpl w:val="109EC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EBB33D5"/>
    <w:multiLevelType w:val="hybridMultilevel"/>
    <w:tmpl w:val="64940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E9B3C8D"/>
    <w:multiLevelType w:val="hybridMultilevel"/>
    <w:tmpl w:val="7C58B9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69FC24A7"/>
    <w:multiLevelType w:val="hybridMultilevel"/>
    <w:tmpl w:val="BADE85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79877CC4"/>
    <w:multiLevelType w:val="hybridMultilevel"/>
    <w:tmpl w:val="D77A0DA0"/>
    <w:lvl w:ilvl="0" w:tplc="0546AD06">
      <w:start w:val="1"/>
      <w:numFmt w:val="decimal"/>
      <w:lvlText w:val="%1."/>
      <w:lvlJc w:val="left"/>
      <w:pPr>
        <w:ind w:left="720" w:hanging="360"/>
      </w:pPr>
      <w:rPr>
        <w:rFonts w:ascii="Arial" w:hAnsi="Arial" w:cs="Aria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9"/>
  </w:num>
  <w:num w:numId="3">
    <w:abstractNumId w:val="6"/>
  </w:num>
  <w:num w:numId="4">
    <w:abstractNumId w:val="8"/>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5"/>
  </w:num>
  <w:num w:numId="7">
    <w:abstractNumId w:val="7"/>
  </w:num>
  <w:num w:numId="8">
    <w:abstractNumId w:val="2"/>
    <w:lvlOverride w:ilvl="0">
      <w:startOverride w:val="1"/>
    </w:lvlOverride>
    <w:lvlOverride w:ilvl="1"/>
    <w:lvlOverride w:ilvl="2"/>
    <w:lvlOverride w:ilvl="3"/>
    <w:lvlOverride w:ilvl="4"/>
    <w:lvlOverride w:ilvl="5"/>
    <w:lvlOverride w:ilvl="6"/>
    <w:lvlOverride w:ilvl="7"/>
    <w:lvlOverride w:ilvl="8"/>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414"/>
    <w:rsid w:val="00022EA0"/>
    <w:rsid w:val="0005527A"/>
    <w:rsid w:val="000A2902"/>
    <w:rsid w:val="001151D5"/>
    <w:rsid w:val="001679CC"/>
    <w:rsid w:val="001B198D"/>
    <w:rsid w:val="001D1528"/>
    <w:rsid w:val="0024072D"/>
    <w:rsid w:val="00256814"/>
    <w:rsid w:val="002B4A83"/>
    <w:rsid w:val="002F3DF1"/>
    <w:rsid w:val="003C2FC9"/>
    <w:rsid w:val="00407157"/>
    <w:rsid w:val="004300A4"/>
    <w:rsid w:val="00432994"/>
    <w:rsid w:val="004C44C8"/>
    <w:rsid w:val="004E11EA"/>
    <w:rsid w:val="00514192"/>
    <w:rsid w:val="005B6658"/>
    <w:rsid w:val="00664297"/>
    <w:rsid w:val="00665414"/>
    <w:rsid w:val="00694694"/>
    <w:rsid w:val="006A1518"/>
    <w:rsid w:val="006D0796"/>
    <w:rsid w:val="006F1524"/>
    <w:rsid w:val="006F36FA"/>
    <w:rsid w:val="00704784"/>
    <w:rsid w:val="00722B25"/>
    <w:rsid w:val="00754D0E"/>
    <w:rsid w:val="00774FF9"/>
    <w:rsid w:val="0079032C"/>
    <w:rsid w:val="007D7D74"/>
    <w:rsid w:val="007E3841"/>
    <w:rsid w:val="00867845"/>
    <w:rsid w:val="008B551A"/>
    <w:rsid w:val="008B5890"/>
    <w:rsid w:val="008D7AD3"/>
    <w:rsid w:val="0091671E"/>
    <w:rsid w:val="00962B8D"/>
    <w:rsid w:val="009719F8"/>
    <w:rsid w:val="009E54D0"/>
    <w:rsid w:val="009E5723"/>
    <w:rsid w:val="00A20443"/>
    <w:rsid w:val="00A23C6D"/>
    <w:rsid w:val="00AA134E"/>
    <w:rsid w:val="00AB165C"/>
    <w:rsid w:val="00AD2589"/>
    <w:rsid w:val="00AD32B2"/>
    <w:rsid w:val="00AE71BA"/>
    <w:rsid w:val="00AF27C9"/>
    <w:rsid w:val="00AF6D15"/>
    <w:rsid w:val="00B27DAE"/>
    <w:rsid w:val="00B35CEA"/>
    <w:rsid w:val="00B72252"/>
    <w:rsid w:val="00B7771E"/>
    <w:rsid w:val="00BB3F63"/>
    <w:rsid w:val="00BE7455"/>
    <w:rsid w:val="00C05951"/>
    <w:rsid w:val="00C2000D"/>
    <w:rsid w:val="00C42F6D"/>
    <w:rsid w:val="00C44C5C"/>
    <w:rsid w:val="00C579CD"/>
    <w:rsid w:val="00CF47FB"/>
    <w:rsid w:val="00D739E3"/>
    <w:rsid w:val="00E25E62"/>
    <w:rsid w:val="00E80968"/>
    <w:rsid w:val="00EB583C"/>
    <w:rsid w:val="00EF3A65"/>
    <w:rsid w:val="00F20A7E"/>
    <w:rsid w:val="00F22CE9"/>
    <w:rsid w:val="00F50366"/>
    <w:rsid w:val="00F602D1"/>
    <w:rsid w:val="00F953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4CF7"/>
  <w15:chartTrackingRefBased/>
  <w15:docId w15:val="{CB2C2973-6BF8-4125-A22B-877FA90A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414"/>
    <w:pPr>
      <w:spacing w:after="0" w:line="240" w:lineRule="auto"/>
    </w:pPr>
  </w:style>
  <w:style w:type="paragraph" w:styleId="Heading1">
    <w:name w:val="heading 1"/>
    <w:basedOn w:val="Normal"/>
    <w:link w:val="Heading1Char"/>
    <w:uiPriority w:val="9"/>
    <w:qFormat/>
    <w:rsid w:val="00665414"/>
    <w:pPr>
      <w:spacing w:before="100" w:beforeAutospacing="1" w:after="100" w:afterAutospacing="1"/>
      <w:outlineLvl w:val="0"/>
    </w:pPr>
    <w:rPr>
      <w:rFonts w:ascii="Times New Roman" w:hAnsi="Times New Roman"/>
      <w:b/>
      <w:bCs/>
      <w:kern w:val="36"/>
      <w:sz w:val="48"/>
      <w:szCs w:val="48"/>
      <w:lang w:eastAsia="en-AU"/>
      <w14:ligatures w14:val="none"/>
    </w:rPr>
  </w:style>
  <w:style w:type="paragraph" w:styleId="Heading2">
    <w:name w:val="heading 2"/>
    <w:basedOn w:val="Normal"/>
    <w:next w:val="Normal"/>
    <w:link w:val="Heading2Char"/>
    <w:uiPriority w:val="9"/>
    <w:semiHidden/>
    <w:unhideWhenUsed/>
    <w:qFormat/>
    <w:rsid w:val="00AD32B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6541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414"/>
    <w:rPr>
      <w:rFonts w:ascii="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semiHidden/>
    <w:rsid w:val="00665414"/>
    <w:rPr>
      <w:rFonts w:asciiTheme="majorHAnsi" w:eastAsiaTheme="majorEastAsia" w:hAnsiTheme="majorHAnsi" w:cstheme="majorBidi"/>
      <w:color w:val="243F60" w:themeColor="accent1" w:themeShade="7F"/>
      <w14:ligatures w14:val="standardContextual"/>
    </w:rPr>
  </w:style>
  <w:style w:type="character" w:styleId="Hyperlink">
    <w:name w:val="Hyperlink"/>
    <w:basedOn w:val="DefaultParagraphFont"/>
    <w:uiPriority w:val="99"/>
    <w:unhideWhenUsed/>
    <w:rsid w:val="00665414"/>
    <w:rPr>
      <w:color w:val="467886"/>
      <w:u w:val="single"/>
    </w:rPr>
  </w:style>
  <w:style w:type="paragraph" w:styleId="NormalWeb">
    <w:name w:val="Normal (Web)"/>
    <w:basedOn w:val="Normal"/>
    <w:uiPriority w:val="99"/>
    <w:unhideWhenUsed/>
    <w:rsid w:val="00665414"/>
    <w:pPr>
      <w:spacing w:before="100" w:beforeAutospacing="1" w:after="100" w:afterAutospacing="1"/>
    </w:pPr>
    <w:rPr>
      <w:rFonts w:ascii="Times New Roman" w:hAnsi="Times New Roman"/>
      <w:lang w:eastAsia="en-AU"/>
      <w14:ligatures w14:val="none"/>
    </w:rPr>
  </w:style>
  <w:style w:type="paragraph" w:styleId="ListParagraph">
    <w:name w:val="List Paragraph"/>
    <w:basedOn w:val="Normal"/>
    <w:uiPriority w:val="34"/>
    <w:qFormat/>
    <w:rsid w:val="008D7AD3"/>
    <w:pPr>
      <w:ind w:left="720"/>
      <w:contextualSpacing/>
    </w:pPr>
  </w:style>
  <w:style w:type="character" w:styleId="CommentReference">
    <w:name w:val="annotation reference"/>
    <w:basedOn w:val="DefaultParagraphFont"/>
    <w:uiPriority w:val="99"/>
    <w:semiHidden/>
    <w:unhideWhenUsed/>
    <w:rsid w:val="00407157"/>
    <w:rPr>
      <w:sz w:val="16"/>
      <w:szCs w:val="16"/>
    </w:rPr>
  </w:style>
  <w:style w:type="paragraph" w:styleId="CommentText">
    <w:name w:val="annotation text"/>
    <w:basedOn w:val="Normal"/>
    <w:link w:val="CommentTextChar"/>
    <w:uiPriority w:val="99"/>
    <w:semiHidden/>
    <w:unhideWhenUsed/>
    <w:rsid w:val="00407157"/>
    <w:rPr>
      <w:sz w:val="20"/>
      <w:szCs w:val="20"/>
    </w:rPr>
  </w:style>
  <w:style w:type="character" w:customStyle="1" w:styleId="CommentTextChar">
    <w:name w:val="Comment Text Char"/>
    <w:basedOn w:val="DefaultParagraphFont"/>
    <w:link w:val="CommentText"/>
    <w:uiPriority w:val="99"/>
    <w:semiHidden/>
    <w:rsid w:val="00407157"/>
    <w:rPr>
      <w:rFonts w:ascii="Aptos" w:hAnsi="Aptos" w:cs="Times New Roman"/>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407157"/>
    <w:rPr>
      <w:b/>
      <w:bCs/>
    </w:rPr>
  </w:style>
  <w:style w:type="character" w:customStyle="1" w:styleId="CommentSubjectChar">
    <w:name w:val="Comment Subject Char"/>
    <w:basedOn w:val="CommentTextChar"/>
    <w:link w:val="CommentSubject"/>
    <w:uiPriority w:val="99"/>
    <w:semiHidden/>
    <w:rsid w:val="00407157"/>
    <w:rPr>
      <w:rFonts w:ascii="Aptos" w:hAnsi="Aptos" w:cs="Times New Roman"/>
      <w:b/>
      <w:bCs/>
      <w:sz w:val="20"/>
      <w:szCs w:val="20"/>
      <w14:ligatures w14:val="standardContextual"/>
    </w:rPr>
  </w:style>
  <w:style w:type="paragraph" w:styleId="BalloonText">
    <w:name w:val="Balloon Text"/>
    <w:basedOn w:val="Normal"/>
    <w:link w:val="BalloonTextChar"/>
    <w:uiPriority w:val="99"/>
    <w:semiHidden/>
    <w:unhideWhenUsed/>
    <w:rsid w:val="004071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157"/>
    <w:rPr>
      <w:rFonts w:ascii="Segoe UI" w:hAnsi="Segoe UI" w:cs="Segoe UI"/>
      <w:sz w:val="18"/>
      <w:szCs w:val="18"/>
      <w14:ligatures w14:val="standardContextual"/>
    </w:rPr>
  </w:style>
  <w:style w:type="character" w:styleId="FollowedHyperlink">
    <w:name w:val="FollowedHyperlink"/>
    <w:basedOn w:val="DefaultParagraphFont"/>
    <w:uiPriority w:val="99"/>
    <w:semiHidden/>
    <w:unhideWhenUsed/>
    <w:rsid w:val="003C2FC9"/>
    <w:rPr>
      <w:color w:val="800080" w:themeColor="followedHyperlink"/>
      <w:u w:val="single"/>
    </w:rPr>
  </w:style>
  <w:style w:type="character" w:customStyle="1" w:styleId="image-caption-text">
    <w:name w:val="image-caption-text"/>
    <w:basedOn w:val="DefaultParagraphFont"/>
    <w:rsid w:val="00962B8D"/>
  </w:style>
  <w:style w:type="character" w:customStyle="1" w:styleId="image-source">
    <w:name w:val="image-source"/>
    <w:basedOn w:val="DefaultParagraphFont"/>
    <w:rsid w:val="00962B8D"/>
  </w:style>
  <w:style w:type="character" w:styleId="Strong">
    <w:name w:val="Strong"/>
    <w:basedOn w:val="DefaultParagraphFont"/>
    <w:uiPriority w:val="22"/>
    <w:qFormat/>
    <w:rsid w:val="006F36FA"/>
    <w:rPr>
      <w:b/>
      <w:bCs/>
    </w:rPr>
  </w:style>
  <w:style w:type="paragraph" w:styleId="Header">
    <w:name w:val="header"/>
    <w:basedOn w:val="Normal"/>
    <w:link w:val="HeaderChar"/>
    <w:uiPriority w:val="99"/>
    <w:unhideWhenUsed/>
    <w:rsid w:val="006F36FA"/>
    <w:pPr>
      <w:tabs>
        <w:tab w:val="center" w:pos="4513"/>
        <w:tab w:val="right" w:pos="9026"/>
      </w:tabs>
    </w:pPr>
  </w:style>
  <w:style w:type="character" w:customStyle="1" w:styleId="HeaderChar">
    <w:name w:val="Header Char"/>
    <w:basedOn w:val="DefaultParagraphFont"/>
    <w:link w:val="Header"/>
    <w:uiPriority w:val="99"/>
    <w:rsid w:val="006F36FA"/>
  </w:style>
  <w:style w:type="paragraph" w:styleId="Footer">
    <w:name w:val="footer"/>
    <w:basedOn w:val="Normal"/>
    <w:link w:val="FooterChar"/>
    <w:uiPriority w:val="99"/>
    <w:unhideWhenUsed/>
    <w:rsid w:val="006F36FA"/>
    <w:pPr>
      <w:tabs>
        <w:tab w:val="center" w:pos="4513"/>
        <w:tab w:val="right" w:pos="9026"/>
      </w:tabs>
    </w:pPr>
  </w:style>
  <w:style w:type="character" w:customStyle="1" w:styleId="FooterChar">
    <w:name w:val="Footer Char"/>
    <w:basedOn w:val="DefaultParagraphFont"/>
    <w:link w:val="Footer"/>
    <w:uiPriority w:val="99"/>
    <w:rsid w:val="006F36FA"/>
  </w:style>
  <w:style w:type="character" w:styleId="Emphasis">
    <w:name w:val="Emphasis"/>
    <w:basedOn w:val="DefaultParagraphFont"/>
    <w:uiPriority w:val="20"/>
    <w:qFormat/>
    <w:rsid w:val="00AD32B2"/>
    <w:rPr>
      <w:i/>
      <w:iCs/>
    </w:rPr>
  </w:style>
  <w:style w:type="character" w:customStyle="1" w:styleId="Heading2Char">
    <w:name w:val="Heading 2 Char"/>
    <w:basedOn w:val="DefaultParagraphFont"/>
    <w:link w:val="Heading2"/>
    <w:uiPriority w:val="9"/>
    <w:semiHidden/>
    <w:rsid w:val="00AD32B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683319">
      <w:bodyDiv w:val="1"/>
      <w:marLeft w:val="0"/>
      <w:marRight w:val="0"/>
      <w:marTop w:val="0"/>
      <w:marBottom w:val="0"/>
      <w:divBdr>
        <w:top w:val="none" w:sz="0" w:space="0" w:color="auto"/>
        <w:left w:val="none" w:sz="0" w:space="0" w:color="auto"/>
        <w:bottom w:val="none" w:sz="0" w:space="0" w:color="auto"/>
        <w:right w:val="none" w:sz="0" w:space="0" w:color="auto"/>
      </w:divBdr>
      <w:divsChild>
        <w:div w:id="474026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7746010">
      <w:bodyDiv w:val="1"/>
      <w:marLeft w:val="0"/>
      <w:marRight w:val="0"/>
      <w:marTop w:val="0"/>
      <w:marBottom w:val="0"/>
      <w:divBdr>
        <w:top w:val="none" w:sz="0" w:space="0" w:color="auto"/>
        <w:left w:val="none" w:sz="0" w:space="0" w:color="auto"/>
        <w:bottom w:val="none" w:sz="0" w:space="0" w:color="auto"/>
        <w:right w:val="none" w:sz="0" w:space="0" w:color="auto"/>
      </w:divBdr>
    </w:div>
    <w:div w:id="856770247">
      <w:bodyDiv w:val="1"/>
      <w:marLeft w:val="0"/>
      <w:marRight w:val="0"/>
      <w:marTop w:val="0"/>
      <w:marBottom w:val="0"/>
      <w:divBdr>
        <w:top w:val="none" w:sz="0" w:space="0" w:color="auto"/>
        <w:left w:val="none" w:sz="0" w:space="0" w:color="auto"/>
        <w:bottom w:val="none" w:sz="0" w:space="0" w:color="auto"/>
        <w:right w:val="none" w:sz="0" w:space="0" w:color="auto"/>
      </w:divBdr>
    </w:div>
    <w:div w:id="858547644">
      <w:bodyDiv w:val="1"/>
      <w:marLeft w:val="0"/>
      <w:marRight w:val="0"/>
      <w:marTop w:val="0"/>
      <w:marBottom w:val="0"/>
      <w:divBdr>
        <w:top w:val="none" w:sz="0" w:space="0" w:color="auto"/>
        <w:left w:val="none" w:sz="0" w:space="0" w:color="auto"/>
        <w:bottom w:val="none" w:sz="0" w:space="0" w:color="auto"/>
        <w:right w:val="none" w:sz="0" w:space="0" w:color="auto"/>
      </w:divBdr>
    </w:div>
    <w:div w:id="1379479004">
      <w:bodyDiv w:val="1"/>
      <w:marLeft w:val="0"/>
      <w:marRight w:val="0"/>
      <w:marTop w:val="0"/>
      <w:marBottom w:val="0"/>
      <w:divBdr>
        <w:top w:val="none" w:sz="0" w:space="0" w:color="auto"/>
        <w:left w:val="none" w:sz="0" w:space="0" w:color="auto"/>
        <w:bottom w:val="none" w:sz="0" w:space="0" w:color="auto"/>
        <w:right w:val="none" w:sz="0" w:space="0" w:color="auto"/>
      </w:divBdr>
    </w:div>
    <w:div w:id="1724983886">
      <w:bodyDiv w:val="1"/>
      <w:marLeft w:val="0"/>
      <w:marRight w:val="0"/>
      <w:marTop w:val="0"/>
      <w:marBottom w:val="0"/>
      <w:divBdr>
        <w:top w:val="none" w:sz="0" w:space="0" w:color="auto"/>
        <w:left w:val="none" w:sz="0" w:space="0" w:color="auto"/>
        <w:bottom w:val="none" w:sz="0" w:space="0" w:color="auto"/>
        <w:right w:val="none" w:sz="0" w:space="0" w:color="auto"/>
      </w:divBdr>
    </w:div>
    <w:div w:id="214279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islation.nsw.gov.au/view/html/inforce/current/act-2001-127" TargetMode="External"/><Relationship Id="rId18" Type="http://schemas.openxmlformats.org/officeDocument/2006/relationships/hyperlink" Target="https://legislation.nsw.gov.au/view/html/inforce/current/act-2001-127" TargetMode="External"/><Relationship Id="rId26" Type="http://schemas.openxmlformats.org/officeDocument/2006/relationships/hyperlink" Target="http://www.Muggaccinos.com/GamblingReform/Greens_NSW_Labor/auditorgeneral_report_confirms.htm" TargetMode="External"/><Relationship Id="rId39" Type="http://schemas.openxmlformats.org/officeDocument/2006/relationships/hyperlink" Target="https://www.smh.com.au/national/nsw/coalition-walks-back-from-perrottet-s-signature-gambling-policy-20251202-p5nk7l.html" TargetMode="External"/><Relationship Id="rId21" Type="http://schemas.openxmlformats.org/officeDocument/2006/relationships/hyperlink" Target="https://www.nsw.gov.au/ministerial-releases/minns-labor-government-acts-on-late-night-gambling-harm" TargetMode="External"/><Relationship Id="rId34" Type="http://schemas.openxmlformats.org/officeDocument/2006/relationships/hyperlink" Target="https://www.smh.com.au/by/harriet-alexander-giiuu0" TargetMode="External"/><Relationship Id="rId42" Type="http://schemas.openxmlformats.org/officeDocument/2006/relationships/fontTable" Target="fontTable.xml"/><Relationship Id="rId7" Type="http://schemas.openxmlformats.org/officeDocument/2006/relationships/hyperlink" Target="mailto:scribepj@bigpond.com" TargetMode="External"/><Relationship Id="rId2" Type="http://schemas.openxmlformats.org/officeDocument/2006/relationships/styles" Target="styles.xml"/><Relationship Id="rId16" Type="http://schemas.openxmlformats.org/officeDocument/2006/relationships/hyperlink" Target="https://muggaccinos.com/GamblingReform/Put_Pokies_in_their_place.htm" TargetMode="External"/><Relationship Id="rId20" Type="http://schemas.openxmlformats.org/officeDocument/2006/relationships/hyperlink" Target="https://www.nsw.gov.au/ministerial-releases/minns-labor-government-acts-on-late-night-gambling-harm" TargetMode="External"/><Relationship Id="rId29" Type="http://schemas.openxmlformats.org/officeDocument/2006/relationships/hyperlink" Target="https://www.smh.com.au/by/jessica-mcsweeney-p5376l"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Gaming+Machines+Act+2001&amp;sca_esv=d340eac8d7c27e5b&amp;sxsrf=AE3TifPW7C8jJaiqorF3OvjbEB6fYWTUDQ%3A1765158269130&amp;source=hp&amp;ei=fS02aeyHBqGhseMPyc-08A4&amp;iflsig=AOw8s4IAAAAAaTY7jQ7XWXkV_OHF9WCICYVlNvgXpot8&amp;oq=nsw+poker+machine+operating+hours&amp;gs_lp=Egdnd3Mtd2l6IiFuc3cgcG9rZXIgbWFjaGluZSBvcGVyYXRpbmcgaG91cnMqAggAMgUQIRigATIFECEYoAFIu4ABUOIIWPhncAF4AJABAJgB1AGgAfosqgEGMC4zMC4zuAEByAEA-AEBmAIioALSLqgCCsICBxAjGCcY6gLCAgcQLhgnGOoCwgIEECMYJ8ICCxAAGIAEGJECGIoFwgIKEC4YgAQYQxiKBcICEBAAGIAEGLEDGEMYgwEYigXCAgsQLhiABBixAxiDAcICCxAAGIAEGLEDGIMBwgIKECMYgAQYJxiKBcICChAAGIAEGEMYigXCAgoQABiABBgUGIcCwgIOEAAYgAQYsQMYgwEYigXCAg0QABiABBixAxgUGIcCwgIIEAAYgAQYsQPCAhEQLhiABBixAxjRAxiDARjHAcICBRAAGIAEwgIGEAAYFhgewgILEAAYgAQYhgMYigXCAgUQABjvBcICCBAAGKIEGIkFwgIHECEYoAEYCsICBBAhGBWYAxXiAwUSATEgQPEFEagXUWqKLaSSBwYxLjMwLjOgB4riAbIHBjAuMzAuM7gHvC7CBwkwLjEzLjIwLjHIB4UBgAgA&amp;sclient=gws-wiz&amp;mstk=AUtExfDZq7lWGcHPG7VvFk3EklADmR2kFxZ3cBoMw_ZME9QHD5e12P_Bv8CVf3G13ZcySR_CtZyzC2DVUh41t3LMAq64iSV1SSXr0FvqpVDZ8x4OOy6xViYcJ9PJ9UZ_AAlJFNnZiFptRAYeptZm7pEeOdqKcLW6rl1EtPTX-KWDfFgBxyM&amp;csui=3&amp;ved=2ahUKEwihj_mF76yRAxXjcvUHHW2rKowQgK4QegQIARAD" TargetMode="External"/><Relationship Id="rId24" Type="http://schemas.openxmlformats.org/officeDocument/2006/relationships/hyperlink" Target="https://www.muggaccinos.com/GamblingReform/Qld/Ratio_poker_machine_Rev_NSW_Victoris_'23-'24.jpg" TargetMode="External"/><Relationship Id="rId32" Type="http://schemas.openxmlformats.org/officeDocument/2006/relationships/hyperlink" Target="http://www.willoughbyliving.com.au" TargetMode="External"/><Relationship Id="rId37" Type="http://schemas.openxmlformats.org/officeDocument/2006/relationships/hyperlink" Target="https://www.smh.com.au/by/harriet-alexander-giiuu0" TargetMode="External"/><Relationship Id="rId40" Type="http://schemas.openxmlformats.org/officeDocument/2006/relationships/hyperlink" Target="https://www.smh.com.au/national/nsw/pubs-have-only-a-quarter-of-pokies-in-nsw-but-they-pocket-almost-half-the-profits-20240104-p5ev5h.html" TargetMode="External"/><Relationship Id="rId5" Type="http://schemas.openxmlformats.org/officeDocument/2006/relationships/footnotes" Target="footnotes.xml"/><Relationship Id="rId15" Type="http://schemas.openxmlformats.org/officeDocument/2006/relationships/hyperlink" Target="https://legislation.nsw.gov.au/view/html/inforce/current/act-2001-127" TargetMode="External"/><Relationship Id="rId23" Type="http://schemas.openxmlformats.org/officeDocument/2006/relationships/hyperlink" Target="https://www.justice.vic.gov.au/safer-communities/gambling/social-costs-of-gambling-to-victoria-2023" TargetMode="External"/><Relationship Id="rId28" Type="http://schemas.openxmlformats.org/officeDocument/2006/relationships/hyperlink" Target="https://www.smh.com.au/by/alexandra-smith-hvf30" TargetMode="External"/><Relationship Id="rId36" Type="http://schemas.openxmlformats.org/officeDocument/2006/relationships/hyperlink" Target="http://www.Muggaccinos.com/GamblingReform/SMH/Election_promise_nsw_Labor_doesnt_want_to_talk_about.htm" TargetMode="External"/><Relationship Id="rId10" Type="http://schemas.openxmlformats.org/officeDocument/2006/relationships/hyperlink" Target="https://www.gambleaware.nsw.gov.au/-/media/files/maths-stage-5-school-resources/doc23-028016-ga_sr_maths_stage5_lesson03_feb24.ashx?rev=53978fa666784a6e87433ec7d54958d3&amp;hash=34680C0D4B127B430638EDDFC1F2B78A" TargetMode="External"/><Relationship Id="rId19" Type="http://schemas.openxmlformats.org/officeDocument/2006/relationships/hyperlink" Target="https://legislation.nsw.gov.au/view/whole/pdf/inforce/2025-05-07/sl-2019-0428" TargetMode="External"/><Relationship Id="rId31" Type="http://schemas.openxmlformats.org/officeDocument/2006/relationships/hyperlink" Target="https://willoughbyliving.com.au/pre-school-activities-lower-north-shore/" TargetMode="External"/><Relationship Id="rId4" Type="http://schemas.openxmlformats.org/officeDocument/2006/relationships/webSettings" Target="webSettings.xml"/><Relationship Id="rId9" Type="http://schemas.openxmlformats.org/officeDocument/2006/relationships/hyperlink" Target="https://www.nsw.gov.au/business-and-economy/liquor-and-gaming/gaming/gaming-machines/tech-standards" TargetMode="External"/><Relationship Id="rId14" Type="http://schemas.openxmlformats.org/officeDocument/2006/relationships/hyperlink" Target="https://www.catefaehrmann.org/greens_bill_to_power_down_the_pokies" TargetMode="External"/><Relationship Id="rId22" Type="http://schemas.openxmlformats.org/officeDocument/2006/relationships/hyperlink" Target="https://www.healthline.com/nutrition/10-reasons-why-good-sleep-is-important" TargetMode="External"/><Relationship Id="rId27" Type="http://schemas.openxmlformats.org/officeDocument/2006/relationships/hyperlink" Target="http://www.Muggaccinos.com/GamblingReform/SMH/Exemptions,Lloopholes,ProblemGamblers.htm" TargetMode="External"/><Relationship Id="rId30" Type="http://schemas.openxmlformats.org/officeDocument/2006/relationships/hyperlink" Target="http://www.Muggaccinos.com/GamblingReform/AAP/Virtually_no_oversight.htm" TargetMode="External"/><Relationship Id="rId35" Type="http://schemas.openxmlformats.org/officeDocument/2006/relationships/hyperlink" Target="http://www.Muggaccinos.com/GamblingReform/Guardian/Australia&#8217;s_poker_machine_story_started_70_years_ago.htm" TargetMode="External"/><Relationship Id="rId43" Type="http://schemas.openxmlformats.org/officeDocument/2006/relationships/theme" Target="theme/theme1.xml"/><Relationship Id="rId8" Type="http://schemas.openxmlformats.org/officeDocument/2006/relationships/hyperlink" Target="https://www.nsw.gov.au/business-and-economy/liquor-and-gaming/gaming/gaming-machines/machine-entitlements-permits" TargetMode="External"/><Relationship Id="rId3" Type="http://schemas.openxmlformats.org/officeDocument/2006/relationships/settings" Target="settings.xml"/><Relationship Id="rId12" Type="http://schemas.openxmlformats.org/officeDocument/2006/relationships/hyperlink" Target="https://www.nsw.gov.au/business-and-economy/liquor-and-gaming/gaming/gaming-machines/machine-entitlements-permits" TargetMode="External"/><Relationship Id="rId17" Type="http://schemas.openxmlformats.org/officeDocument/2006/relationships/hyperlink" Target="https://legislation.nsw.gov.au/view/html/inforce/current/act-2001-127" TargetMode="External"/><Relationship Id="rId25" Type="http://schemas.openxmlformats.org/officeDocument/2006/relationships/hyperlink" Target="https://www.justice.vic.gov.au/safer-communities/gambling/social-costs-of-gambling-to-victoria-2023" TargetMode="External"/><Relationship Id="rId33" Type="http://schemas.openxmlformats.org/officeDocument/2006/relationships/hyperlink" Target="http://www.Muggaccinos.com/GamblingReform/SMH/Not_a_chook_raffle.htm" TargetMode="External"/><Relationship Id="rId38" Type="http://schemas.openxmlformats.org/officeDocument/2006/relationships/hyperlink" Target="https://www.smh.com.au/politics/nsw/hard-times-claims-by-pokie-clubs-are-breaking-our-hearts-20250901-p5mrg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2095</Words>
  <Characters>11946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21</cp:revision>
  <cp:lastPrinted>2025-12-10T22:55:00Z</cp:lastPrinted>
  <dcterms:created xsi:type="dcterms:W3CDTF">2025-12-10T05:11:00Z</dcterms:created>
  <dcterms:modified xsi:type="dcterms:W3CDTF">2025-12-10T22:56:00Z</dcterms:modified>
</cp:coreProperties>
</file>