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E1" w:rsidRPr="00C776E1" w:rsidRDefault="00C776E1" w:rsidP="00C776E1">
      <w:pPr>
        <w:shd w:val="clear" w:color="auto" w:fill="F7F6F6"/>
        <w:spacing w:after="0" w:line="240" w:lineRule="auto"/>
        <w:outlineLvl w:val="1"/>
        <w:rPr>
          <w:rFonts w:ascii="Roboto" w:eastAsia="Times New Roman" w:hAnsi="Roboto" w:cs="Times New Roman"/>
          <w:color w:val="09303B"/>
          <w:sz w:val="48"/>
          <w:szCs w:val="48"/>
          <w:lang w:eastAsia="en-AU"/>
        </w:rPr>
      </w:pPr>
      <w:r>
        <w:rPr>
          <w:rFonts w:ascii="Roboto" w:eastAsia="Times New Roman" w:hAnsi="Roboto" w:cs="Times New Roman"/>
          <w:color w:val="09303B"/>
          <w:sz w:val="48"/>
          <w:szCs w:val="48"/>
          <w:lang w:eastAsia="en-AU"/>
        </w:rPr>
        <w:fldChar w:fldCharType="begin"/>
      </w:r>
      <w:r>
        <w:rPr>
          <w:rFonts w:ascii="Roboto" w:eastAsia="Times New Roman" w:hAnsi="Roboto" w:cs="Times New Roman"/>
          <w:color w:val="09303B"/>
          <w:sz w:val="48"/>
          <w:szCs w:val="48"/>
          <w:lang w:eastAsia="en-AU"/>
        </w:rPr>
        <w:instrText xml:space="preserve"> HYPERLINK "https://www.liquorandgaming.nsw.gov.au/community-and-stakeholders/community-support/self-exclusion-from-the-casino-and-gaming-venues" </w:instrText>
      </w:r>
      <w:r>
        <w:rPr>
          <w:rFonts w:ascii="Roboto" w:eastAsia="Times New Roman" w:hAnsi="Roboto" w:cs="Times New Roman"/>
          <w:color w:val="09303B"/>
          <w:sz w:val="48"/>
          <w:szCs w:val="48"/>
          <w:lang w:eastAsia="en-AU"/>
        </w:rPr>
      </w:r>
      <w:r>
        <w:rPr>
          <w:rFonts w:ascii="Roboto" w:eastAsia="Times New Roman" w:hAnsi="Roboto" w:cs="Times New Roman"/>
          <w:color w:val="09303B"/>
          <w:sz w:val="48"/>
          <w:szCs w:val="48"/>
          <w:lang w:eastAsia="en-AU"/>
        </w:rPr>
        <w:fldChar w:fldCharType="separate"/>
      </w:r>
      <w:r w:rsidRPr="00C776E1">
        <w:rPr>
          <w:rStyle w:val="Hyperlink"/>
          <w:rFonts w:ascii="Roboto" w:eastAsia="Times New Roman" w:hAnsi="Roboto" w:cs="Times New Roman"/>
          <w:sz w:val="48"/>
          <w:szCs w:val="48"/>
          <w:lang w:eastAsia="en-AU"/>
        </w:rPr>
        <w:t>Self-exclusion from the casino and gaming venues</w:t>
      </w:r>
      <w:r>
        <w:rPr>
          <w:rFonts w:ascii="Roboto" w:eastAsia="Times New Roman" w:hAnsi="Roboto" w:cs="Times New Roman"/>
          <w:color w:val="09303B"/>
          <w:sz w:val="48"/>
          <w:szCs w:val="48"/>
          <w:lang w:eastAsia="en-AU"/>
        </w:rPr>
        <w:fldChar w:fldCharType="end"/>
      </w: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People who struggle to control their gambling can ban themselves (enter a self-exclusion agreement) from gaming areas of:</w:t>
      </w:r>
    </w:p>
    <w:p w:rsidR="00C776E1" w:rsidRPr="00C776E1" w:rsidRDefault="00C776E1" w:rsidP="00571579">
      <w:pPr>
        <w:numPr>
          <w:ilvl w:val="0"/>
          <w:numId w:val="1"/>
        </w:numPr>
        <w:shd w:val="clear" w:color="auto" w:fill="F7F6F6"/>
        <w:spacing w:after="0" w:line="240" w:lineRule="auto"/>
        <w:ind w:left="0" w:firstLine="142"/>
        <w:rPr>
          <w:rFonts w:eastAsia="Times New Roman"/>
          <w:color w:val="09303B"/>
          <w:lang w:eastAsia="en-AU"/>
        </w:rPr>
      </w:pPr>
      <w:r w:rsidRPr="00C776E1">
        <w:rPr>
          <w:rFonts w:eastAsia="Times New Roman"/>
          <w:color w:val="09303B"/>
          <w:lang w:eastAsia="en-AU"/>
        </w:rPr>
        <w:t>hotels and clubs​</w:t>
      </w:r>
    </w:p>
    <w:p w:rsidR="00C776E1" w:rsidRPr="00C776E1" w:rsidRDefault="00C776E1" w:rsidP="00571579">
      <w:pPr>
        <w:numPr>
          <w:ilvl w:val="0"/>
          <w:numId w:val="1"/>
        </w:numPr>
        <w:shd w:val="clear" w:color="auto" w:fill="F7F6F6"/>
        <w:spacing w:after="0" w:line="240" w:lineRule="auto"/>
        <w:ind w:left="0" w:firstLine="142"/>
        <w:rPr>
          <w:rFonts w:eastAsia="Times New Roman"/>
          <w:color w:val="09303B"/>
          <w:lang w:eastAsia="en-AU"/>
        </w:rPr>
      </w:pPr>
      <w:proofErr w:type="gramStart"/>
      <w:r w:rsidRPr="00C776E1">
        <w:rPr>
          <w:rFonts w:eastAsia="Times New Roman"/>
          <w:color w:val="09303B"/>
          <w:lang w:eastAsia="en-AU"/>
        </w:rPr>
        <w:t>the</w:t>
      </w:r>
      <w:proofErr w:type="gramEnd"/>
      <w:r w:rsidRPr="00C776E1">
        <w:rPr>
          <w:rFonts w:eastAsia="Times New Roman"/>
          <w:color w:val="09303B"/>
          <w:lang w:eastAsia="en-AU"/>
        </w:rPr>
        <w:t xml:space="preserve"> Star casino.</w:t>
      </w:r>
    </w:p>
    <w:p w:rsidR="00C776E1" w:rsidRPr="00C776E1" w:rsidRDefault="00571579" w:rsidP="00C776E1">
      <w:pPr>
        <w:shd w:val="clear" w:color="auto" w:fill="F7F6F6"/>
        <w:spacing w:after="0" w:line="240" w:lineRule="auto"/>
        <w:rPr>
          <w:rFonts w:eastAsia="Times New Roman"/>
          <w:color w:val="09303B"/>
          <w:lang w:eastAsia="en-AU"/>
        </w:rPr>
      </w:pPr>
      <w:r>
        <w:rPr>
          <w:rFonts w:eastAsia="Times New Roman"/>
          <w:color w:val="09303B"/>
          <w:lang w:eastAsia="en-AU"/>
        </w:rPr>
        <w:br/>
      </w:r>
      <w:r w:rsidR="00C776E1" w:rsidRPr="00C776E1">
        <w:rPr>
          <w:rFonts w:eastAsia="Times New Roman"/>
          <w:color w:val="09303B"/>
          <w:lang w:eastAsia="en-AU"/>
        </w:rPr>
        <w:t>You can also nominate an entire hotel or club for self-exclusion.</w:t>
      </w: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The minimum period for self-exclusion is six months for hotels and clubs and 12 months for the Star casino.</w:t>
      </w:r>
    </w:p>
    <w:p w:rsidR="00C776E1" w:rsidRPr="00C776E1" w:rsidRDefault="00C776E1" w:rsidP="00C776E1">
      <w:pPr>
        <w:shd w:val="clear" w:color="auto" w:fill="F7F6F6"/>
        <w:spacing w:after="0" w:line="240" w:lineRule="auto"/>
        <w:outlineLvl w:val="2"/>
        <w:rPr>
          <w:rFonts w:eastAsia="Times New Roman"/>
          <w:color w:val="0B3744"/>
          <w:sz w:val="14"/>
          <w:szCs w:val="14"/>
          <w:lang w:eastAsia="en-AU"/>
        </w:rPr>
      </w:pPr>
    </w:p>
    <w:p w:rsidR="00C776E1" w:rsidRPr="00C776E1" w:rsidRDefault="00C776E1" w:rsidP="00C776E1">
      <w:pPr>
        <w:shd w:val="clear" w:color="auto" w:fill="F7F6F6"/>
        <w:spacing w:after="0" w:line="240" w:lineRule="auto"/>
        <w:outlineLvl w:val="2"/>
        <w:rPr>
          <w:rFonts w:eastAsia="Times New Roman"/>
          <w:color w:val="0B3744"/>
          <w:sz w:val="33"/>
          <w:szCs w:val="33"/>
          <w:lang w:eastAsia="en-AU"/>
        </w:rPr>
      </w:pPr>
      <w:r w:rsidRPr="00C776E1">
        <w:rPr>
          <w:rFonts w:eastAsia="Times New Roman"/>
          <w:color w:val="0B3744"/>
          <w:sz w:val="33"/>
          <w:szCs w:val="33"/>
          <w:lang w:eastAsia="en-AU"/>
        </w:rPr>
        <w:t>What does the law require?</w:t>
      </w: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In NSW, all gambling venues must offer a self-exclusion scheme. You will find the following information in all areas where there are gaming machines:</w:t>
      </w:r>
    </w:p>
    <w:p w:rsidR="00C776E1" w:rsidRPr="00C776E1" w:rsidRDefault="00C776E1" w:rsidP="00C776E1">
      <w:pPr>
        <w:numPr>
          <w:ilvl w:val="0"/>
          <w:numId w:val="2"/>
        </w:numPr>
        <w:shd w:val="clear" w:color="auto" w:fill="F7F6F6"/>
        <w:spacing w:after="0" w:line="240" w:lineRule="auto"/>
        <w:ind w:left="0" w:firstLine="0"/>
        <w:rPr>
          <w:rFonts w:eastAsia="Times New Roman"/>
          <w:color w:val="09303B"/>
          <w:lang w:eastAsia="en-AU"/>
        </w:rPr>
      </w:pPr>
      <w:r w:rsidRPr="00C776E1">
        <w:rPr>
          <w:rFonts w:eastAsia="Times New Roman"/>
          <w:color w:val="09303B"/>
          <w:lang w:eastAsia="en-AU"/>
        </w:rPr>
        <w:t xml:space="preserve">the name and contact of a </w:t>
      </w:r>
      <w:proofErr w:type="spellStart"/>
      <w:r w:rsidRPr="00C776E1">
        <w:rPr>
          <w:rFonts w:eastAsia="Times New Roman"/>
          <w:color w:val="09303B"/>
          <w:lang w:eastAsia="en-AU"/>
        </w:rPr>
        <w:t>GambleAware</w:t>
      </w:r>
      <w:proofErr w:type="spellEnd"/>
      <w:r w:rsidRPr="00C776E1">
        <w:rPr>
          <w:rFonts w:eastAsia="Times New Roman"/>
          <w:color w:val="09303B"/>
          <w:lang w:eastAsia="en-AU"/>
        </w:rPr>
        <w:t xml:space="preserve"> counselling service</w:t>
      </w:r>
    </w:p>
    <w:p w:rsidR="00C776E1" w:rsidRPr="00C776E1" w:rsidRDefault="00C776E1" w:rsidP="00C776E1">
      <w:pPr>
        <w:numPr>
          <w:ilvl w:val="0"/>
          <w:numId w:val="2"/>
        </w:numPr>
        <w:shd w:val="clear" w:color="auto" w:fill="F7F6F6"/>
        <w:spacing w:after="0" w:line="240" w:lineRule="auto"/>
        <w:ind w:left="0" w:firstLine="0"/>
        <w:rPr>
          <w:rFonts w:eastAsia="Times New Roman"/>
          <w:color w:val="09303B"/>
          <w:lang w:eastAsia="en-AU"/>
        </w:rPr>
      </w:pPr>
      <w:r w:rsidRPr="00C776E1">
        <w:rPr>
          <w:rFonts w:eastAsia="Times New Roman"/>
          <w:color w:val="09303B"/>
          <w:lang w:eastAsia="en-AU"/>
        </w:rPr>
        <w:t>a statement that tells you a self-exclusion scheme is available</w:t>
      </w:r>
    </w:p>
    <w:p w:rsidR="00C776E1" w:rsidRPr="00C776E1" w:rsidRDefault="00C776E1" w:rsidP="00C776E1">
      <w:pPr>
        <w:numPr>
          <w:ilvl w:val="0"/>
          <w:numId w:val="2"/>
        </w:numPr>
        <w:shd w:val="clear" w:color="auto" w:fill="F7F6F6"/>
        <w:spacing w:after="0" w:line="240" w:lineRule="auto"/>
        <w:ind w:left="0" w:firstLine="0"/>
        <w:rPr>
          <w:rFonts w:eastAsia="Times New Roman"/>
          <w:color w:val="09303B"/>
          <w:lang w:eastAsia="en-AU"/>
        </w:rPr>
      </w:pPr>
      <w:proofErr w:type="gramStart"/>
      <w:r w:rsidRPr="00C776E1">
        <w:rPr>
          <w:rFonts w:eastAsia="Times New Roman"/>
          <w:color w:val="09303B"/>
          <w:lang w:eastAsia="en-AU"/>
        </w:rPr>
        <w:t>details</w:t>
      </w:r>
      <w:proofErr w:type="gramEnd"/>
      <w:r w:rsidRPr="00C776E1">
        <w:rPr>
          <w:rFonts w:eastAsia="Times New Roman"/>
          <w:color w:val="09303B"/>
          <w:lang w:eastAsia="en-AU"/>
        </w:rPr>
        <w:t xml:space="preserve"> for the person or organisation who can help you to self-exclude.</w:t>
      </w:r>
    </w:p>
    <w:p w:rsid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If you experience any issues with self-exclusion agreements, you may </w:t>
      </w:r>
      <w:hyperlink r:id="rId5" w:history="1">
        <w:r w:rsidRPr="00571579">
          <w:rPr>
            <w:rFonts w:eastAsia="Times New Roman"/>
            <w:b/>
            <w:bCs/>
            <w:color w:val="0033CC"/>
            <w:u w:val="single"/>
            <w:lang w:eastAsia="en-AU"/>
          </w:rPr>
          <w:t>lodge a complaint here</w:t>
        </w:r>
      </w:hyperlink>
      <w:r w:rsidRPr="00C776E1">
        <w:rPr>
          <w:rFonts w:eastAsia="Times New Roman"/>
          <w:color w:val="09303B"/>
          <w:lang w:eastAsia="en-AU"/>
        </w:rPr>
        <w:t>.</w:t>
      </w:r>
    </w:p>
    <w:p w:rsidR="00C776E1" w:rsidRPr="00C776E1" w:rsidRDefault="00C776E1" w:rsidP="00C776E1">
      <w:pPr>
        <w:shd w:val="clear" w:color="auto" w:fill="F7F6F6"/>
        <w:spacing w:after="0" w:line="240" w:lineRule="auto"/>
        <w:rPr>
          <w:rFonts w:eastAsia="Times New Roman"/>
          <w:color w:val="09303B"/>
          <w:sz w:val="16"/>
          <w:szCs w:val="16"/>
          <w:lang w:eastAsia="en-AU"/>
        </w:rPr>
      </w:pPr>
    </w:p>
    <w:p w:rsidR="00C776E1" w:rsidRPr="00C776E1" w:rsidRDefault="00C776E1" w:rsidP="00C776E1">
      <w:pPr>
        <w:shd w:val="clear" w:color="auto" w:fill="F7F6F6"/>
        <w:spacing w:after="0" w:line="240" w:lineRule="auto"/>
        <w:outlineLvl w:val="2"/>
        <w:rPr>
          <w:rFonts w:eastAsia="Times New Roman"/>
          <w:color w:val="0B3744"/>
          <w:sz w:val="33"/>
          <w:szCs w:val="33"/>
          <w:lang w:eastAsia="en-AU"/>
        </w:rPr>
      </w:pPr>
      <w:r w:rsidRPr="00C776E1">
        <w:rPr>
          <w:rFonts w:eastAsia="Times New Roman"/>
          <w:color w:val="0B3744"/>
          <w:sz w:val="33"/>
          <w:szCs w:val="33"/>
          <w:lang w:eastAsia="en-AU"/>
        </w:rPr>
        <w:t>What are we trying to achieve?</w:t>
      </w: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We want to help individuals who are concerned about their gambling practices by providing them with an option to stop gambling for a set period of time, which will be enforced by the venue.</w:t>
      </w:r>
    </w:p>
    <w:p w:rsid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The law allows venue operators to devise their own scheme to cater for their particular setting and customers. This gives you and the operator flexibility in providing you with the specific support you need to control or stop gambling.</w:t>
      </w:r>
    </w:p>
    <w:p w:rsidR="00C776E1" w:rsidRPr="00C776E1" w:rsidRDefault="00C776E1" w:rsidP="00C776E1">
      <w:pPr>
        <w:shd w:val="clear" w:color="auto" w:fill="F7F6F6"/>
        <w:spacing w:after="0" w:line="240" w:lineRule="auto"/>
        <w:rPr>
          <w:rFonts w:eastAsia="Times New Roman"/>
          <w:color w:val="09303B"/>
          <w:sz w:val="16"/>
          <w:szCs w:val="16"/>
          <w:lang w:eastAsia="en-AU"/>
        </w:rPr>
      </w:pPr>
    </w:p>
    <w:p w:rsidR="00C776E1" w:rsidRPr="00C776E1" w:rsidRDefault="00C776E1" w:rsidP="00C776E1">
      <w:pPr>
        <w:shd w:val="clear" w:color="auto" w:fill="F7F6F6"/>
        <w:spacing w:after="0" w:line="240" w:lineRule="auto"/>
        <w:outlineLvl w:val="1"/>
        <w:rPr>
          <w:rFonts w:eastAsia="Times New Roman"/>
          <w:color w:val="09303B"/>
          <w:sz w:val="48"/>
          <w:szCs w:val="48"/>
          <w:lang w:eastAsia="en-AU"/>
        </w:rPr>
      </w:pPr>
      <w:r w:rsidRPr="00C776E1">
        <w:rPr>
          <w:rFonts w:eastAsia="Times New Roman"/>
          <w:color w:val="09303B"/>
          <w:sz w:val="48"/>
          <w:szCs w:val="48"/>
          <w:lang w:eastAsia="en-AU"/>
        </w:rPr>
        <w:t>Gambling counselling and support services</w:t>
      </w:r>
    </w:p>
    <w:p w:rsid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 xml:space="preserve">Self-exclusion agreements are more effective if you also seek counselling and treatment to help you reduce or stop </w:t>
      </w:r>
      <w:proofErr w:type="gramStart"/>
      <w:r w:rsidRPr="00C776E1">
        <w:rPr>
          <w:rFonts w:eastAsia="Times New Roman"/>
          <w:color w:val="09303B"/>
          <w:lang w:eastAsia="en-AU"/>
        </w:rPr>
        <w:t>your</w:t>
      </w:r>
      <w:proofErr w:type="gramEnd"/>
      <w:r w:rsidRPr="00C776E1">
        <w:rPr>
          <w:rFonts w:eastAsia="Times New Roman"/>
          <w:color w:val="09303B"/>
          <w:lang w:eastAsia="en-AU"/>
        </w:rPr>
        <w:t xml:space="preserve"> gambling.</w:t>
      </w:r>
    </w:p>
    <w:p w:rsidR="00571579" w:rsidRPr="00C776E1" w:rsidRDefault="00571579" w:rsidP="00C776E1">
      <w:pPr>
        <w:shd w:val="clear" w:color="auto" w:fill="F7F6F6"/>
        <w:spacing w:after="0" w:line="240" w:lineRule="auto"/>
        <w:rPr>
          <w:rFonts w:eastAsia="Times New Roman"/>
          <w:color w:val="09303B"/>
          <w:sz w:val="16"/>
          <w:szCs w:val="16"/>
          <w:lang w:eastAsia="en-AU"/>
        </w:rPr>
      </w:pPr>
    </w:p>
    <w:p w:rsidR="00C776E1" w:rsidRPr="00C776E1" w:rsidRDefault="00C776E1" w:rsidP="00C776E1">
      <w:pPr>
        <w:shd w:val="clear" w:color="auto" w:fill="F7F6F6"/>
        <w:spacing w:after="0" w:line="240" w:lineRule="auto"/>
        <w:outlineLvl w:val="2"/>
        <w:rPr>
          <w:rFonts w:eastAsia="Times New Roman"/>
          <w:color w:val="0B3744"/>
          <w:sz w:val="33"/>
          <w:szCs w:val="33"/>
          <w:lang w:eastAsia="en-AU"/>
        </w:rPr>
      </w:pPr>
      <w:r w:rsidRPr="00C776E1">
        <w:rPr>
          <w:rFonts w:eastAsia="Times New Roman"/>
          <w:color w:val="0B3744"/>
          <w:sz w:val="33"/>
          <w:szCs w:val="33"/>
          <w:lang w:eastAsia="en-AU"/>
        </w:rPr>
        <w:t>Gamble Aware NSW - 1800 858 858</w:t>
      </w: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 xml:space="preserve">If you’re based in NSW and have a gambling-related issue or you’re worried about a friend or loved one, </w:t>
      </w:r>
      <w:proofErr w:type="spellStart"/>
      <w:r w:rsidRPr="00C776E1">
        <w:rPr>
          <w:rFonts w:eastAsia="Times New Roman"/>
          <w:color w:val="09303B"/>
          <w:lang w:eastAsia="en-AU"/>
        </w:rPr>
        <w:t>GambleAware</w:t>
      </w:r>
      <w:proofErr w:type="spellEnd"/>
      <w:r w:rsidRPr="00C776E1">
        <w:rPr>
          <w:rFonts w:eastAsia="Times New Roman"/>
          <w:color w:val="09303B"/>
          <w:lang w:eastAsia="en-AU"/>
        </w:rPr>
        <w:t xml:space="preserve"> can help. </w:t>
      </w:r>
      <w:proofErr w:type="spellStart"/>
      <w:r w:rsidRPr="00C776E1">
        <w:rPr>
          <w:rFonts w:eastAsia="Times New Roman"/>
          <w:color w:val="09303B"/>
          <w:lang w:eastAsia="en-AU"/>
        </w:rPr>
        <w:t>GambleAware</w:t>
      </w:r>
      <w:proofErr w:type="spellEnd"/>
      <w:r w:rsidRPr="00C776E1">
        <w:rPr>
          <w:rFonts w:eastAsia="Times New Roman"/>
          <w:color w:val="09303B"/>
          <w:lang w:eastAsia="en-AU"/>
        </w:rPr>
        <w:t xml:space="preserve"> offers free and confidential counselling and professional support services such as financial counselling, </w:t>
      </w:r>
      <w:r w:rsidRPr="00C776E1">
        <w:rPr>
          <w:rFonts w:eastAsia="Times New Roman"/>
          <w:color w:val="09303B"/>
          <w:highlight w:val="yellow"/>
          <w:lang w:eastAsia="en-AU"/>
        </w:rPr>
        <w:t>self-help tools across a range of different locations and modes (in person, over the phone, online).</w:t>
      </w:r>
    </w:p>
    <w:p w:rsidR="00C776E1" w:rsidRDefault="00C776E1" w:rsidP="00C776E1">
      <w:pPr>
        <w:shd w:val="clear" w:color="auto" w:fill="F7F6F6"/>
        <w:spacing w:after="0" w:line="240" w:lineRule="auto"/>
        <w:rPr>
          <w:rFonts w:eastAsia="Times New Roman"/>
          <w:color w:val="09303B"/>
          <w:lang w:eastAsia="en-AU"/>
        </w:rPr>
      </w:pPr>
    </w:p>
    <w:p w:rsidR="00C776E1" w:rsidRP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Learn more on the </w:t>
      </w:r>
      <w:proofErr w:type="spellStart"/>
      <w:r w:rsidRPr="00C776E1">
        <w:rPr>
          <w:rFonts w:eastAsia="Times New Roman"/>
          <w:color w:val="0033CC"/>
          <w:lang w:eastAsia="en-AU"/>
        </w:rPr>
        <w:fldChar w:fldCharType="begin"/>
      </w:r>
      <w:r w:rsidRPr="00C776E1">
        <w:rPr>
          <w:rFonts w:eastAsia="Times New Roman"/>
          <w:color w:val="0033CC"/>
          <w:lang w:eastAsia="en-AU"/>
        </w:rPr>
        <w:instrText xml:space="preserve"> HYPERLINK "https://www.gambleaware.nsw.gov.au/" \t "_blank" </w:instrText>
      </w:r>
      <w:r w:rsidRPr="00C776E1">
        <w:rPr>
          <w:rFonts w:eastAsia="Times New Roman"/>
          <w:color w:val="0033CC"/>
          <w:lang w:eastAsia="en-AU"/>
        </w:rPr>
        <w:fldChar w:fldCharType="separate"/>
      </w:r>
      <w:r w:rsidRPr="00571579">
        <w:rPr>
          <w:rFonts w:eastAsia="Times New Roman"/>
          <w:b/>
          <w:bCs/>
          <w:color w:val="0033CC"/>
          <w:u w:val="single"/>
          <w:lang w:eastAsia="en-AU"/>
        </w:rPr>
        <w:t>GambleAware</w:t>
      </w:r>
      <w:proofErr w:type="spellEnd"/>
      <w:r w:rsidRPr="00571579">
        <w:rPr>
          <w:rFonts w:eastAsia="Times New Roman"/>
          <w:b/>
          <w:bCs/>
          <w:color w:val="0033CC"/>
          <w:u w:val="single"/>
          <w:lang w:eastAsia="en-AU"/>
        </w:rPr>
        <w:t xml:space="preserve"> website</w:t>
      </w:r>
      <w:r w:rsidRPr="00C776E1">
        <w:rPr>
          <w:rFonts w:eastAsia="Times New Roman"/>
          <w:color w:val="0033CC"/>
          <w:lang w:eastAsia="en-AU"/>
        </w:rPr>
        <w:fldChar w:fldCharType="end"/>
      </w:r>
      <w:r w:rsidRPr="00C776E1">
        <w:rPr>
          <w:rFonts w:eastAsia="Times New Roman"/>
          <w:color w:val="09303B"/>
          <w:lang w:eastAsia="en-AU"/>
        </w:rPr>
        <w:t xml:space="preserve"> or call </w:t>
      </w:r>
      <w:proofErr w:type="spellStart"/>
      <w:r w:rsidRPr="00C776E1">
        <w:rPr>
          <w:rFonts w:eastAsia="Times New Roman"/>
          <w:color w:val="09303B"/>
          <w:lang w:eastAsia="en-AU"/>
        </w:rPr>
        <w:t>GambleAware</w:t>
      </w:r>
      <w:proofErr w:type="spellEnd"/>
      <w:r w:rsidRPr="00C776E1">
        <w:rPr>
          <w:rFonts w:eastAsia="Times New Roman"/>
          <w:color w:val="09303B"/>
          <w:lang w:eastAsia="en-AU"/>
        </w:rPr>
        <w:t xml:space="preserve"> on </w:t>
      </w:r>
      <w:hyperlink r:id="rId6" w:tgtFrame="_blank" w:history="1">
        <w:r w:rsidRPr="00C776E1">
          <w:rPr>
            <w:rFonts w:eastAsia="Times New Roman"/>
            <w:b/>
            <w:bCs/>
            <w:color w:val="09303B"/>
            <w:u w:val="single"/>
            <w:lang w:eastAsia="en-AU"/>
          </w:rPr>
          <w:t>1800 858 858</w:t>
        </w:r>
      </w:hyperlink>
      <w:r w:rsidRPr="00C776E1">
        <w:rPr>
          <w:rFonts w:eastAsia="Times New Roman"/>
          <w:color w:val="09303B"/>
          <w:lang w:eastAsia="en-AU"/>
        </w:rPr>
        <w:t> and arrange to talk to a counsellor near you.</w:t>
      </w:r>
      <w:r w:rsidR="00571579">
        <w:rPr>
          <w:rFonts w:eastAsia="Times New Roman"/>
          <w:color w:val="09303B"/>
          <w:lang w:eastAsia="en-AU"/>
        </w:rPr>
        <w:br/>
      </w:r>
    </w:p>
    <w:p w:rsidR="00C776E1" w:rsidRDefault="00C776E1" w:rsidP="00C776E1">
      <w:pPr>
        <w:shd w:val="clear" w:color="auto" w:fill="F7F6F6"/>
        <w:spacing w:after="0" w:line="240" w:lineRule="auto"/>
        <w:rPr>
          <w:rFonts w:eastAsia="Times New Roman"/>
          <w:color w:val="09303B"/>
          <w:lang w:eastAsia="en-AU"/>
        </w:rPr>
      </w:pPr>
      <w:r w:rsidRPr="00C776E1">
        <w:rPr>
          <w:rFonts w:eastAsia="Times New Roman"/>
          <w:color w:val="09303B"/>
          <w:lang w:eastAsia="en-AU"/>
        </w:rPr>
        <w:t>The NSW Government has approved the following organisations as providers of gambling counselling services to hotels and clubs:</w:t>
      </w:r>
    </w:p>
    <w:p w:rsidR="00C776E1" w:rsidRPr="00C776E1" w:rsidRDefault="00C776E1" w:rsidP="00C776E1">
      <w:pPr>
        <w:shd w:val="clear" w:color="auto" w:fill="F7F6F6"/>
        <w:spacing w:after="0" w:line="240" w:lineRule="auto"/>
        <w:rPr>
          <w:rFonts w:eastAsia="Times New Roman"/>
          <w:color w:val="09303B"/>
          <w:sz w:val="16"/>
          <w:szCs w:val="16"/>
          <w:lang w:eastAsia="en-AU"/>
        </w:rPr>
      </w:pPr>
    </w:p>
    <w:p w:rsidR="00C776E1" w:rsidRPr="00C776E1" w:rsidRDefault="00C776E1" w:rsidP="00C776E1">
      <w:pPr>
        <w:numPr>
          <w:ilvl w:val="0"/>
          <w:numId w:val="3"/>
        </w:numPr>
        <w:shd w:val="clear" w:color="auto" w:fill="F7F6F6"/>
        <w:spacing w:after="0" w:line="360" w:lineRule="auto"/>
        <w:ind w:left="0" w:hanging="357"/>
        <w:rPr>
          <w:rFonts w:eastAsia="Times New Roman"/>
          <w:color w:val="0033CC"/>
          <w:sz w:val="26"/>
          <w:szCs w:val="26"/>
          <w:lang w:eastAsia="en-AU"/>
        </w:rPr>
      </w:pPr>
      <w:hyperlink r:id="rId7" w:tgtFrame="_blank" w:history="1">
        <w:proofErr w:type="spellStart"/>
        <w:r w:rsidRPr="00C776E1">
          <w:rPr>
            <w:rFonts w:eastAsia="Times New Roman"/>
            <w:b/>
            <w:bCs/>
            <w:color w:val="0033CC"/>
            <w:sz w:val="26"/>
            <w:szCs w:val="26"/>
            <w:u w:val="single"/>
            <w:lang w:eastAsia="en-AU"/>
          </w:rPr>
          <w:t>GambleAware</w:t>
        </w:r>
        <w:proofErr w:type="spellEnd"/>
        <w:r w:rsidRPr="00C776E1">
          <w:rPr>
            <w:rFonts w:eastAsia="Times New Roman"/>
            <w:b/>
            <w:bCs/>
            <w:color w:val="0033CC"/>
            <w:sz w:val="26"/>
            <w:szCs w:val="26"/>
            <w:u w:val="single"/>
            <w:lang w:eastAsia="en-AU"/>
          </w:rPr>
          <w:t xml:space="preserve"> ser</w:t>
        </w:r>
        <w:bookmarkStart w:id="0" w:name="_GoBack"/>
        <w:bookmarkEnd w:id="0"/>
        <w:r w:rsidRPr="00C776E1">
          <w:rPr>
            <w:rFonts w:eastAsia="Times New Roman"/>
            <w:b/>
            <w:bCs/>
            <w:color w:val="0033CC"/>
            <w:sz w:val="26"/>
            <w:szCs w:val="26"/>
            <w:u w:val="single"/>
            <w:lang w:eastAsia="en-AU"/>
          </w:rPr>
          <w:t>vices</w:t>
        </w:r>
      </w:hyperlink>
    </w:p>
    <w:p w:rsidR="00C776E1" w:rsidRPr="00C776E1" w:rsidRDefault="00C776E1" w:rsidP="00C776E1">
      <w:pPr>
        <w:numPr>
          <w:ilvl w:val="0"/>
          <w:numId w:val="3"/>
        </w:numPr>
        <w:shd w:val="clear" w:color="auto" w:fill="F7F6F6"/>
        <w:spacing w:after="0" w:line="360" w:lineRule="auto"/>
        <w:ind w:left="0" w:hanging="357"/>
        <w:rPr>
          <w:rFonts w:eastAsia="Times New Roman"/>
          <w:color w:val="0033CC"/>
          <w:sz w:val="26"/>
          <w:szCs w:val="26"/>
          <w:lang w:eastAsia="en-AU"/>
        </w:rPr>
      </w:pPr>
      <w:hyperlink r:id="rId8" w:tgtFrame="_blank" w:history="1">
        <w:proofErr w:type="spellStart"/>
        <w:r w:rsidRPr="00C776E1">
          <w:rPr>
            <w:rFonts w:eastAsia="Times New Roman"/>
            <w:b/>
            <w:bCs/>
            <w:color w:val="0033CC"/>
            <w:sz w:val="26"/>
            <w:szCs w:val="26"/>
            <w:u w:val="single"/>
            <w:lang w:eastAsia="en-AU"/>
          </w:rPr>
          <w:t>Betsafe</w:t>
        </w:r>
        <w:proofErr w:type="spellEnd"/>
      </w:hyperlink>
    </w:p>
    <w:p w:rsidR="00704784" w:rsidRDefault="00C776E1" w:rsidP="003C7CDD">
      <w:pPr>
        <w:numPr>
          <w:ilvl w:val="0"/>
          <w:numId w:val="3"/>
        </w:numPr>
        <w:shd w:val="clear" w:color="auto" w:fill="F7F6F6"/>
        <w:spacing w:after="0" w:line="360" w:lineRule="auto"/>
        <w:ind w:left="0" w:hanging="357"/>
      </w:pPr>
      <w:hyperlink r:id="rId9" w:tgtFrame="_blank" w:history="1">
        <w:proofErr w:type="spellStart"/>
        <w:r w:rsidRPr="00571579">
          <w:rPr>
            <w:rFonts w:eastAsia="Times New Roman"/>
            <w:b/>
            <w:bCs/>
            <w:color w:val="0033CC"/>
            <w:sz w:val="26"/>
            <w:szCs w:val="26"/>
            <w:u w:val="single"/>
            <w:lang w:eastAsia="en-AU"/>
          </w:rPr>
          <w:t>ClubSafe</w:t>
        </w:r>
        <w:proofErr w:type="spellEnd"/>
        <w:r w:rsidRPr="00571579">
          <w:rPr>
            <w:rFonts w:eastAsia="Times New Roman"/>
            <w:b/>
            <w:bCs/>
            <w:color w:val="0033CC"/>
            <w:sz w:val="26"/>
            <w:szCs w:val="26"/>
            <w:u w:val="single"/>
            <w:lang w:eastAsia="en-AU"/>
          </w:rPr>
          <w:t> </w:t>
        </w:r>
      </w:hyperlink>
      <w:r w:rsidRPr="00C776E1">
        <w:rPr>
          <w:rFonts w:eastAsia="Times New Roman"/>
          <w:color w:val="09303B"/>
          <w:lang w:eastAsia="en-AU"/>
        </w:rPr>
        <w:t xml:space="preserve">- operated by </w:t>
      </w:r>
      <w:proofErr w:type="spellStart"/>
      <w:r w:rsidRPr="00C776E1">
        <w:rPr>
          <w:rFonts w:eastAsia="Times New Roman"/>
          <w:color w:val="09303B"/>
          <w:lang w:eastAsia="en-AU"/>
        </w:rPr>
        <w:t>ClubsNSW</w:t>
      </w:r>
      <w:proofErr w:type="spellEnd"/>
    </w:p>
    <w:sectPr w:rsidR="00704784" w:rsidSect="00571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234EE"/>
    <w:multiLevelType w:val="multilevel"/>
    <w:tmpl w:val="8D1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26A09"/>
    <w:multiLevelType w:val="multilevel"/>
    <w:tmpl w:val="4EC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82248"/>
    <w:multiLevelType w:val="multilevel"/>
    <w:tmpl w:val="B2E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E1"/>
    <w:rsid w:val="00571579"/>
    <w:rsid w:val="00704784"/>
    <w:rsid w:val="00C776E1"/>
    <w:rsid w:val="00DA4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67490-B8B2-4EB8-A9A6-9DC56660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76E1"/>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paragraph" w:styleId="Heading3">
    <w:name w:val="heading 3"/>
    <w:basedOn w:val="Normal"/>
    <w:link w:val="Heading3Char"/>
    <w:uiPriority w:val="9"/>
    <w:qFormat/>
    <w:rsid w:val="00C776E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6E1"/>
    <w:rPr>
      <w:rFonts w:ascii="Times New Roman" w:eastAsia="Times New Roman" w:hAnsi="Times New Roman" w:cs="Times New Roman"/>
      <w:b/>
      <w:bCs/>
      <w:color w:val="auto"/>
      <w:sz w:val="36"/>
      <w:szCs w:val="36"/>
      <w:lang w:eastAsia="en-AU"/>
    </w:rPr>
  </w:style>
  <w:style w:type="character" w:customStyle="1" w:styleId="Heading3Char">
    <w:name w:val="Heading 3 Char"/>
    <w:basedOn w:val="DefaultParagraphFont"/>
    <w:link w:val="Heading3"/>
    <w:uiPriority w:val="9"/>
    <w:rsid w:val="00C776E1"/>
    <w:rPr>
      <w:rFonts w:ascii="Times New Roman" w:eastAsia="Times New Roman" w:hAnsi="Times New Roman" w:cs="Times New Roman"/>
      <w:b/>
      <w:bCs/>
      <w:color w:val="auto"/>
      <w:sz w:val="27"/>
      <w:szCs w:val="27"/>
      <w:lang w:eastAsia="en-AU"/>
    </w:rPr>
  </w:style>
  <w:style w:type="paragraph" w:styleId="NormalWeb">
    <w:name w:val="Normal (Web)"/>
    <w:basedOn w:val="Normal"/>
    <w:uiPriority w:val="99"/>
    <w:semiHidden/>
    <w:unhideWhenUsed/>
    <w:rsid w:val="00C776E1"/>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Hyperlink">
    <w:name w:val="Hyperlink"/>
    <w:basedOn w:val="DefaultParagraphFont"/>
    <w:uiPriority w:val="99"/>
    <w:unhideWhenUsed/>
    <w:rsid w:val="00C77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safe.com.au/self_exclusion" TargetMode="External"/><Relationship Id="rId3" Type="http://schemas.openxmlformats.org/officeDocument/2006/relationships/settings" Target="settings.xml"/><Relationship Id="rId7" Type="http://schemas.openxmlformats.org/officeDocument/2006/relationships/hyperlink" Target="https://www.gambleaware.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00858858" TargetMode="External"/><Relationship Id="rId11" Type="http://schemas.openxmlformats.org/officeDocument/2006/relationships/theme" Target="theme/theme1.xml"/><Relationship Id="rId5" Type="http://schemas.openxmlformats.org/officeDocument/2006/relationships/hyperlink" Target="https://www.liquorandgaming.nsw.gov.au/community-and-stakeholders/have-your-say/complaints/make-a-compla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ubsnsw.com.au/Services/Clubsafe/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2024-10-25T02:12:00Z</dcterms:created>
  <dcterms:modified xsi:type="dcterms:W3CDTF">2024-10-25T03:19:00Z</dcterms:modified>
</cp:coreProperties>
</file>