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6A" w:rsidRDefault="0089566A" w:rsidP="0089566A">
      <w:pPr>
        <w:rPr>
          <w:rFonts w:ascii="Calibri" w:eastAsia="Times New Roman" w:hAnsi="Calibri" w:cs="Calibri"/>
          <w:sz w:val="22"/>
          <w:szCs w:val="22"/>
          <w:lang w:val="en-US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val="en-US"/>
        </w:rPr>
        <w:t>From:</w:t>
      </w:r>
      <w:r>
        <w:rPr>
          <w:rFonts w:ascii="Calibri" w:eastAsia="Times New Roman" w:hAnsi="Calibri" w:cs="Calibri"/>
          <w:sz w:val="22"/>
          <w:szCs w:val="22"/>
          <w:lang w:val="en-US"/>
        </w:rPr>
        <w:t xml:space="preserve"> Philip Johnston [mailto:scribepj@bigpond.com] </w:t>
      </w:r>
      <w:r>
        <w:rPr>
          <w:rFonts w:ascii="Calibri" w:eastAsia="Times New Roman" w:hAnsi="Calibri" w:cs="Calibri"/>
          <w:sz w:val="22"/>
          <w:szCs w:val="22"/>
          <w:lang w:val="en-US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en-US"/>
        </w:rPr>
        <w:t>Sent:</w:t>
      </w:r>
      <w:r>
        <w:rPr>
          <w:rFonts w:ascii="Calibri" w:eastAsia="Times New Roman" w:hAnsi="Calibri" w:cs="Calibri"/>
          <w:sz w:val="22"/>
          <w:szCs w:val="22"/>
          <w:lang w:val="en-US"/>
        </w:rPr>
        <w:t xml:space="preserve"> Wednesday, 17 December 2025 10:34 AM</w:t>
      </w:r>
      <w:r>
        <w:rPr>
          <w:rFonts w:ascii="Calibri" w:eastAsia="Times New Roman" w:hAnsi="Calibri" w:cs="Calibri"/>
          <w:sz w:val="22"/>
          <w:szCs w:val="22"/>
          <w:lang w:val="en-US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en-US"/>
        </w:rPr>
        <w:t>To:</w:t>
      </w:r>
      <w:r>
        <w:rPr>
          <w:rFonts w:ascii="Calibri" w:eastAsia="Times New Roman" w:hAnsi="Calibri" w:cs="Calibri"/>
          <w:sz w:val="22"/>
          <w:szCs w:val="22"/>
          <w:lang w:val="en-US"/>
        </w:rPr>
        <w:t xml:space="preserve"> 'LG-CE-ContactUs'</w:t>
      </w:r>
      <w:r>
        <w:rPr>
          <w:rFonts w:ascii="Calibri" w:eastAsia="Times New Roman" w:hAnsi="Calibri" w:cs="Calibri"/>
          <w:sz w:val="22"/>
          <w:szCs w:val="22"/>
          <w:lang w:val="en-US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en-US"/>
        </w:rPr>
        <w:t>Subject:</w:t>
      </w:r>
      <w:r>
        <w:rPr>
          <w:rFonts w:ascii="Calibri" w:eastAsia="Times New Roman" w:hAnsi="Calibri" w:cs="Calibri"/>
          <w:sz w:val="22"/>
          <w:szCs w:val="22"/>
          <w:lang w:val="en-US"/>
        </w:rPr>
        <w:t xml:space="preserve"> I request from NSW ILGA separate agg. </w:t>
      </w:r>
      <w:proofErr w:type="gramStart"/>
      <w:r>
        <w:rPr>
          <w:rFonts w:ascii="Calibri" w:eastAsia="Times New Roman" w:hAnsi="Calibri" w:cs="Calibri"/>
          <w:sz w:val="22"/>
          <w:szCs w:val="22"/>
          <w:lang w:val="en-US"/>
        </w:rPr>
        <w:t>summary</w:t>
      </w:r>
      <w:proofErr w:type="gramEnd"/>
      <w:r>
        <w:rPr>
          <w:rFonts w:ascii="Calibri" w:eastAsia="Times New Roman" w:hAnsi="Calibri" w:cs="Calibri"/>
          <w:sz w:val="22"/>
          <w:szCs w:val="22"/>
          <w:lang w:val="en-US"/>
        </w:rPr>
        <w:t xml:space="preserve"> comparative EGM qtly or half yearly revenue/takings data for NSW clubs and separate summary data for NSW hotels - dating back to 2017</w:t>
      </w:r>
    </w:p>
    <w:p w:rsidR="0089566A" w:rsidRPr="0089566A" w:rsidRDefault="0089566A" w:rsidP="0089566A">
      <w:pPr>
        <w:rPr>
          <w:sz w:val="16"/>
          <w:szCs w:val="16"/>
        </w:rPr>
      </w:pP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  <w:lang w:eastAsia="en-US"/>
        </w:rPr>
      </w:pP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Attention:  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 </w:t>
      </w:r>
      <w:r>
        <w:rPr>
          <w:rFonts w:ascii="Arial" w:hAnsi="Arial" w:cs="Arial"/>
          <w:color w:val="44546A"/>
          <w:sz w:val="22"/>
          <w:szCs w:val="22"/>
          <w:lang w:eastAsia="en-US"/>
        </w:rPr>
        <w:t>Sarah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sz w:val="22"/>
          <w:szCs w:val="22"/>
        </w:rPr>
        <w:t>Customer Experience Team, Liquor &amp; Gaming NSW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  </w:t>
      </w:r>
    </w:p>
    <w:p w:rsidR="0089566A" w:rsidRDefault="0089566A" w:rsidP="0089566A">
      <w:pPr>
        <w:rPr>
          <w:rFonts w:ascii="Arial" w:hAnsi="Arial" w:cs="Arial"/>
          <w:color w:val="44546A"/>
          <w:sz w:val="16"/>
          <w:szCs w:val="16"/>
          <w:lang w:eastAsia="en-US"/>
        </w:rPr>
      </w:pP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  <w:lang w:eastAsia="en-US"/>
        </w:rPr>
      </w:pPr>
      <w:r>
        <w:rPr>
          <w:rFonts w:ascii="Arial" w:hAnsi="Arial" w:cs="Arial"/>
          <w:color w:val="44546A"/>
          <w:sz w:val="22"/>
          <w:szCs w:val="22"/>
          <w:lang w:eastAsia="en-US"/>
        </w:rPr>
        <w:t>Below is –</w:t>
      </w: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  <w:lang w:eastAsia="en-US"/>
        </w:rPr>
      </w:pP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*           </w:t>
      </w:r>
      <w:proofErr w:type="gramStart"/>
      <w:r>
        <w:rPr>
          <w:rFonts w:ascii="Arial" w:hAnsi="Arial" w:cs="Arial"/>
          <w:color w:val="44546A"/>
          <w:sz w:val="22"/>
          <w:szCs w:val="22"/>
          <w:lang w:eastAsia="en-US"/>
        </w:rPr>
        <w:t>my</w:t>
      </w:r>
      <w:proofErr w:type="gramEnd"/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email to </w:t>
      </w:r>
      <w:hyperlink r:id="rId5" w:history="1">
        <w:r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contact.us@liquorandgaming.nsw.gov.au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sent 24/11/2025; and </w:t>
      </w: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  <w:lang w:eastAsia="en-US"/>
        </w:rPr>
      </w:pP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*           </w:t>
      </w:r>
      <w:proofErr w:type="gramStart"/>
      <w:r>
        <w:rPr>
          <w:rFonts w:ascii="Arial" w:hAnsi="Arial" w:cs="Arial"/>
          <w:color w:val="44546A"/>
          <w:sz w:val="22"/>
          <w:szCs w:val="22"/>
          <w:lang w:eastAsia="en-US"/>
        </w:rPr>
        <w:t>your</w:t>
      </w:r>
      <w:proofErr w:type="gramEnd"/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response sent 26 Nov 2025,</w:t>
      </w: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  <w:lang w:eastAsia="en-US"/>
        </w:rPr>
      </w:pPr>
      <w:proofErr w:type="gramStart"/>
      <w:r>
        <w:rPr>
          <w:rFonts w:ascii="Arial" w:hAnsi="Arial" w:cs="Arial"/>
          <w:color w:val="44546A"/>
          <w:sz w:val="22"/>
          <w:szCs w:val="22"/>
          <w:lang w:eastAsia="en-US"/>
        </w:rPr>
        <w:t>where</w:t>
      </w:r>
      <w:proofErr w:type="gramEnd"/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I had sought to know the agg. </w:t>
      </w:r>
      <w:proofErr w:type="gramStart"/>
      <w:r>
        <w:rPr>
          <w:rFonts w:ascii="Arial" w:hAnsi="Arial" w:cs="Arial"/>
          <w:color w:val="44546A"/>
          <w:sz w:val="22"/>
          <w:szCs w:val="22"/>
          <w:lang w:eastAsia="en-US"/>
        </w:rPr>
        <w:t>number</w:t>
      </w:r>
      <w:proofErr w:type="gramEnd"/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of poker machines in NSW hotels and NSW clubs in order to determine any rate of increase or decrease.</w:t>
      </w:r>
    </w:p>
    <w:p w:rsidR="0089566A" w:rsidRDefault="0089566A" w:rsidP="0089566A">
      <w:pPr>
        <w:rPr>
          <w:rFonts w:ascii="Arial" w:hAnsi="Arial" w:cs="Arial"/>
          <w:color w:val="44546A"/>
          <w:sz w:val="16"/>
          <w:szCs w:val="16"/>
          <w:lang w:eastAsia="en-US"/>
        </w:rPr>
      </w:pP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  <w:lang w:eastAsia="en-US"/>
        </w:rPr>
      </w:pP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Alas, I found the quantity and complexity of the information at </w:t>
      </w:r>
      <w:hyperlink r:id="rId6" w:history="1">
        <w:r>
          <w:rPr>
            <w:rStyle w:val="Hyperlink"/>
            <w:rFonts w:ascii="Arial" w:hAnsi="Arial" w:cs="Arial"/>
            <w:b/>
            <w:bCs/>
            <w:sz w:val="22"/>
            <w:szCs w:val="22"/>
            <w:lang w:eastAsia="en-US"/>
          </w:rPr>
          <w:t>Gaming Machines Data Reports</w:t>
        </w:r>
      </w:hyperlink>
      <w:r>
        <w:rPr>
          <w:rFonts w:ascii="Arial" w:hAnsi="Arial" w:cs="Arial"/>
          <w:color w:val="44546A"/>
          <w:sz w:val="22"/>
          <w:szCs w:val="22"/>
          <w:lang w:eastAsia="en-US"/>
        </w:rPr>
        <w:t>  difficult to interpret.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 </w:t>
      </w:r>
      <w:r>
        <w:rPr>
          <w:rFonts w:ascii="Arial" w:hAnsi="Arial" w:cs="Arial"/>
          <w:color w:val="44546A"/>
          <w:sz w:val="22"/>
          <w:szCs w:val="22"/>
          <w:lang w:eastAsia="en-US"/>
        </w:rPr>
        <w:t>I appreciate that qtly data from each hotel (with EGMs) and each club in NSW (with EGMs) might be required under statutory regulations.</w:t>
      </w:r>
    </w:p>
    <w:p w:rsidR="0089566A" w:rsidRDefault="0089566A" w:rsidP="0089566A">
      <w:pPr>
        <w:rPr>
          <w:rFonts w:ascii="Arial" w:hAnsi="Arial" w:cs="Arial"/>
          <w:color w:val="44546A"/>
          <w:sz w:val="16"/>
          <w:szCs w:val="16"/>
          <w:lang w:eastAsia="en-US"/>
        </w:rPr>
      </w:pP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  <w:lang w:eastAsia="en-US"/>
        </w:rPr>
      </w:pPr>
      <w:r>
        <w:rPr>
          <w:rFonts w:ascii="Arial" w:hAnsi="Arial" w:cs="Arial"/>
          <w:color w:val="44546A"/>
          <w:sz w:val="22"/>
          <w:szCs w:val="22"/>
          <w:lang w:eastAsia="en-US"/>
        </w:rPr>
        <w:t>I seek to learn from basic summary information by reviewing -</w:t>
      </w:r>
      <w:r>
        <w:rPr>
          <w:rFonts w:ascii="Arial" w:hAnsi="Arial" w:cs="Arial"/>
          <w:color w:val="44546A"/>
          <w:sz w:val="22"/>
          <w:szCs w:val="22"/>
          <w:lang w:eastAsia="en-US"/>
        </w:rPr>
        <w:br/>
        <w:t xml:space="preserve">*           gross agg. Revenue/takings/player losses (not ‘Net Profit’) from agg. </w:t>
      </w:r>
      <w:proofErr w:type="gramStart"/>
      <w:r>
        <w:rPr>
          <w:rFonts w:ascii="Arial" w:hAnsi="Arial" w:cs="Arial"/>
          <w:color w:val="44546A"/>
          <w:sz w:val="22"/>
          <w:szCs w:val="22"/>
          <w:lang w:eastAsia="en-US"/>
        </w:rPr>
        <w:t>poker</w:t>
      </w:r>
      <w:proofErr w:type="gramEnd"/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machines in NSW </w:t>
      </w:r>
      <w:r>
        <w:rPr>
          <w:rFonts w:ascii="Arial" w:hAnsi="Arial" w:cs="Arial"/>
          <w:b/>
          <w:bCs/>
          <w:color w:val="44546A"/>
          <w:sz w:val="22"/>
          <w:szCs w:val="22"/>
          <w:lang w:eastAsia="en-US"/>
        </w:rPr>
        <w:t>clubs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44546A"/>
          <w:sz w:val="22"/>
          <w:szCs w:val="22"/>
          <w:lang w:eastAsia="en-US"/>
        </w:rPr>
        <w:t>–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on</w:t>
      </w:r>
      <w:r>
        <w:rPr>
          <w:rFonts w:ascii="Arial" w:hAnsi="Arial" w:cs="Arial"/>
          <w:color w:val="44546A"/>
          <w:sz w:val="22"/>
          <w:szCs w:val="22"/>
          <w:lang w:eastAsia="en-US"/>
        </w:rPr>
        <w:br/>
        <w:t xml:space="preserve">            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a qtly or half yearly basis, ideally dating back to 1977, and</w:t>
      </w:r>
      <w:r>
        <w:rPr>
          <w:rFonts w:ascii="Arial" w:hAnsi="Arial" w:cs="Arial"/>
          <w:color w:val="44546A"/>
          <w:sz w:val="22"/>
          <w:szCs w:val="22"/>
          <w:lang w:eastAsia="en-US"/>
        </w:rPr>
        <w:br/>
        <w:t xml:space="preserve">*           gross agg. Revenue/takings/player losses (not ‘Net Profit’) from agg. </w:t>
      </w:r>
      <w:proofErr w:type="gramStart"/>
      <w:r>
        <w:rPr>
          <w:rFonts w:ascii="Arial" w:hAnsi="Arial" w:cs="Arial"/>
          <w:color w:val="44546A"/>
          <w:sz w:val="22"/>
          <w:szCs w:val="22"/>
          <w:lang w:eastAsia="en-US"/>
        </w:rPr>
        <w:t>poker</w:t>
      </w:r>
      <w:proofErr w:type="gramEnd"/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machines in NSW </w:t>
      </w:r>
      <w:r>
        <w:rPr>
          <w:rFonts w:ascii="Arial" w:hAnsi="Arial" w:cs="Arial"/>
          <w:b/>
          <w:bCs/>
          <w:color w:val="44546A"/>
          <w:sz w:val="22"/>
          <w:szCs w:val="22"/>
          <w:lang w:eastAsia="en-US"/>
        </w:rPr>
        <w:t>hotels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44546A"/>
          <w:sz w:val="22"/>
          <w:szCs w:val="22"/>
          <w:lang w:eastAsia="en-US"/>
        </w:rPr>
        <w:t>–</w:t>
      </w:r>
      <w:r>
        <w:rPr>
          <w:rFonts w:ascii="Arial" w:hAnsi="Arial" w:cs="Arial"/>
          <w:color w:val="44546A"/>
          <w:sz w:val="22"/>
          <w:szCs w:val="22"/>
          <w:lang w:eastAsia="en-US"/>
        </w:rPr>
        <w:br/>
        <w:t xml:space="preserve">            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on a qtly or half yearly basis, ideally back to 1977</w:t>
      </w: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  <w:lang w:eastAsia="en-US"/>
        </w:rPr>
      </w:pPr>
      <w:proofErr w:type="gramStart"/>
      <w:r>
        <w:rPr>
          <w:rFonts w:ascii="Arial" w:hAnsi="Arial" w:cs="Arial"/>
          <w:color w:val="44546A"/>
          <w:sz w:val="22"/>
          <w:szCs w:val="22"/>
          <w:lang w:eastAsia="en-US"/>
        </w:rPr>
        <w:t>if</w:t>
      </w:r>
      <w:proofErr w:type="gramEnd"/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agg. </w:t>
      </w:r>
      <w:proofErr w:type="gramStart"/>
      <w:r>
        <w:rPr>
          <w:rFonts w:ascii="Arial" w:hAnsi="Arial" w:cs="Arial"/>
          <w:color w:val="44546A"/>
          <w:sz w:val="22"/>
          <w:szCs w:val="22"/>
          <w:lang w:eastAsia="en-US"/>
        </w:rPr>
        <w:t>poker</w:t>
      </w:r>
      <w:proofErr w:type="gramEnd"/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machine revenues/takings have increased, stabilised or reduced over recent years.</w:t>
      </w:r>
    </w:p>
    <w:p w:rsidR="0089566A" w:rsidRDefault="0089566A" w:rsidP="0089566A">
      <w:pPr>
        <w:rPr>
          <w:rFonts w:ascii="Arial" w:hAnsi="Arial" w:cs="Arial"/>
          <w:color w:val="44546A"/>
          <w:sz w:val="16"/>
          <w:szCs w:val="16"/>
          <w:lang w:eastAsia="en-US"/>
        </w:rPr>
      </w:pP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  <w:lang w:eastAsia="en-US"/>
        </w:rPr>
      </w:pPr>
      <w:r>
        <w:rPr>
          <w:rFonts w:ascii="Arial" w:hAnsi="Arial" w:cs="Arial"/>
          <w:color w:val="44546A"/>
          <w:sz w:val="22"/>
          <w:szCs w:val="22"/>
          <w:lang w:eastAsia="en-US"/>
        </w:rPr>
        <w:t>I am not seeking any poker machine Revenue/takings data from any individual clubs or hotels.  Or from poker machines at the two casinos in Sydney.</w:t>
      </w:r>
    </w:p>
    <w:p w:rsidR="0089566A" w:rsidRDefault="0089566A" w:rsidP="0089566A">
      <w:pPr>
        <w:rPr>
          <w:rFonts w:ascii="Arial" w:hAnsi="Arial" w:cs="Arial"/>
          <w:color w:val="44546A"/>
          <w:sz w:val="16"/>
          <w:szCs w:val="16"/>
          <w:lang w:eastAsia="en-US"/>
        </w:rPr>
      </w:pPr>
    </w:p>
    <w:p w:rsidR="0089566A" w:rsidRDefault="0089566A" w:rsidP="0089566A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I seek to learn if the concerns over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poker machine losses</w:t>
      </w:r>
      <w:r>
        <w:rPr>
          <w:rFonts w:ascii="Arial" w:hAnsi="Arial" w:cs="Arial"/>
          <w:sz w:val="22"/>
          <w:szCs w:val="22"/>
          <w:lang w:eastAsia="en-US"/>
        </w:rPr>
        <w:t xml:space="preserve"> across NSW (raised by The Wesley Mission, NSW Greens, Tim Costello, several journalists and others) are impacting to reduce Revenues/takings or not.</w:t>
      </w:r>
    </w:p>
    <w:p w:rsidR="0089566A" w:rsidRDefault="0089566A" w:rsidP="0089566A">
      <w:pPr>
        <w:rPr>
          <w:rFonts w:ascii="Arial" w:hAnsi="Arial" w:cs="Arial"/>
          <w:sz w:val="16"/>
          <w:szCs w:val="16"/>
          <w:lang w:eastAsia="en-US"/>
        </w:rPr>
      </w:pP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  <w:lang w:eastAsia="en-US"/>
        </w:rPr>
      </w:pPr>
      <w:hyperlink r:id="rId7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REFERENCE ARTICLES, REPORTS, LEGISLATION AND DOCUMENTS</w:t>
        </w:r>
      </w:hyperlink>
      <w:r>
        <w:rPr>
          <w:rFonts w:ascii="Arial" w:hAnsi="Arial" w:cs="Arial"/>
          <w:color w:val="44546A"/>
        </w:rPr>
        <w:t xml:space="preserve"> 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is a bibliography of well over 100 documents that this writer has reviewed over recent years/months due to his concern over the economic and social damage caused by excessive losses at Electronic Gaming Machines in NSW clubs and hotels.  I created a separate htm file and colour background pertinent information for many of the 100+ documents, so that I would better absorb their content. </w:t>
      </w:r>
    </w:p>
    <w:p w:rsidR="0089566A" w:rsidRDefault="0089566A" w:rsidP="0089566A">
      <w:pPr>
        <w:rPr>
          <w:rFonts w:ascii="Arial" w:hAnsi="Arial" w:cs="Arial"/>
          <w:color w:val="44546A"/>
          <w:sz w:val="16"/>
          <w:szCs w:val="16"/>
          <w:lang w:eastAsia="en-US"/>
        </w:rPr>
      </w:pP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</w:rPr>
      </w:pPr>
      <w:r>
        <w:rPr>
          <w:rFonts w:ascii="Arial" w:hAnsi="Arial" w:cs="Arial"/>
          <w:color w:val="44546A"/>
          <w:sz w:val="22"/>
          <w:szCs w:val="22"/>
          <w:lang w:eastAsia="en-US"/>
        </w:rPr>
        <w:t>1</w:t>
      </w:r>
      <w:r>
        <w:rPr>
          <w:rFonts w:ascii="Arial" w:hAnsi="Arial" w:cs="Arial"/>
          <w:color w:val="44546A"/>
          <w:sz w:val="22"/>
          <w:szCs w:val="22"/>
          <w:vertAlign w:val="superscript"/>
          <w:lang w:eastAsia="en-US"/>
        </w:rPr>
        <w:t>st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 Attachment is my letter addressed to the </w:t>
      </w:r>
      <w:r>
        <w:rPr>
          <w:rFonts w:ascii="Arial" w:hAnsi="Arial" w:cs="Arial"/>
          <w:color w:val="22272B"/>
          <w:sz w:val="22"/>
          <w:szCs w:val="22"/>
        </w:rPr>
        <w:t xml:space="preserve">Chairperson and the Deputy Chairperson of NSW </w:t>
      </w:r>
      <w:r>
        <w:rPr>
          <w:rFonts w:ascii="Arial" w:hAnsi="Arial" w:cs="Arial"/>
          <w:sz w:val="22"/>
          <w:szCs w:val="22"/>
        </w:rPr>
        <w:t xml:space="preserve">Independent Liquor &amp; Gaming Authority dated 17 Dec 2025 (3 pgs) that I expect to email and post to each of them very shortly.  </w:t>
      </w:r>
      <w:r>
        <w:rPr>
          <w:rFonts w:ascii="Arial" w:hAnsi="Arial" w:cs="Arial"/>
          <w:color w:val="44546A"/>
          <w:sz w:val="22"/>
          <w:szCs w:val="22"/>
        </w:rPr>
        <w:t>ILGA is the “</w:t>
      </w:r>
      <w:r>
        <w:rPr>
          <w:rFonts w:ascii="Cambria" w:hAnsi="Cambria"/>
          <w:color w:val="44546A"/>
        </w:rPr>
        <w:t>independent statutory decision-maker responsible for gaming machines in NSW</w:t>
      </w:r>
      <w:r>
        <w:rPr>
          <w:rFonts w:ascii="Arial" w:hAnsi="Arial" w:cs="Arial"/>
          <w:color w:val="44546A"/>
          <w:sz w:val="22"/>
          <w:szCs w:val="22"/>
        </w:rPr>
        <w:t>.”</w:t>
      </w:r>
    </w:p>
    <w:p w:rsidR="0089566A" w:rsidRDefault="0089566A" w:rsidP="0089566A">
      <w:pPr>
        <w:rPr>
          <w:rFonts w:ascii="Arial" w:hAnsi="Arial" w:cs="Arial"/>
          <w:color w:val="44546A"/>
          <w:sz w:val="16"/>
          <w:szCs w:val="16"/>
        </w:rPr>
      </w:pPr>
    </w:p>
    <w:p w:rsidR="0089566A" w:rsidRDefault="0089566A" w:rsidP="008956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44546A"/>
          <w:sz w:val="22"/>
          <w:szCs w:val="22"/>
        </w:rPr>
        <w:t xml:space="preserve">The quarterly agg. </w:t>
      </w:r>
      <w:proofErr w:type="gramStart"/>
      <w:r>
        <w:rPr>
          <w:rFonts w:ascii="Arial" w:hAnsi="Arial" w:cs="Arial"/>
          <w:color w:val="44546A"/>
          <w:sz w:val="22"/>
          <w:szCs w:val="22"/>
        </w:rPr>
        <w:t>comparative</w:t>
      </w:r>
      <w:proofErr w:type="gramEnd"/>
      <w:r>
        <w:rPr>
          <w:rFonts w:ascii="Arial" w:hAnsi="Arial" w:cs="Arial"/>
          <w:color w:val="44546A"/>
          <w:sz w:val="22"/>
          <w:szCs w:val="22"/>
        </w:rPr>
        <w:t xml:space="preserve"> information that I seek to be published at </w:t>
      </w:r>
      <w:hyperlink r:id="rId8" w:history="1"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Gaming machine data reports</w:t>
        </w:r>
      </w:hyperlink>
      <w:r>
        <w:rPr>
          <w:rFonts w:ascii="Arial" w:hAnsi="Arial" w:cs="Arial"/>
          <w:color w:val="44546A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 xml:space="preserve">much less complex data than presently published there.  My request merely focuses on ‘gross revenues/takings’ derived from (presently 88,000 </w:t>
      </w:r>
      <w:r>
        <w:rPr>
          <w:rFonts w:ascii="Arial" w:hAnsi="Arial" w:cs="Arial"/>
          <w:i/>
          <w:iCs/>
          <w:sz w:val="22"/>
          <w:szCs w:val="22"/>
        </w:rPr>
        <w:t>circa</w:t>
      </w:r>
      <w:r>
        <w:rPr>
          <w:rFonts w:ascii="Arial" w:hAnsi="Arial" w:cs="Arial"/>
          <w:sz w:val="22"/>
          <w:szCs w:val="22"/>
        </w:rPr>
        <w:t xml:space="preserve">) poker machines spread across licensed clubs and some hotels in </w:t>
      </w:r>
      <w:proofErr w:type="gramStart"/>
      <w:r>
        <w:rPr>
          <w:rFonts w:ascii="Arial" w:hAnsi="Arial" w:cs="Arial"/>
          <w:sz w:val="22"/>
          <w:szCs w:val="22"/>
        </w:rPr>
        <w:t>NSW . </w:t>
      </w:r>
      <w:proofErr w:type="gramEnd"/>
      <w:r>
        <w:rPr>
          <w:rFonts w:ascii="Arial" w:hAnsi="Arial" w:cs="Arial"/>
          <w:sz w:val="22"/>
          <w:szCs w:val="22"/>
        </w:rPr>
        <w:t xml:space="preserve"> Hopefully the summary comparative agg. </w:t>
      </w:r>
      <w:proofErr w:type="gramStart"/>
      <w:r>
        <w:rPr>
          <w:rFonts w:ascii="Arial" w:hAnsi="Arial" w:cs="Arial"/>
          <w:sz w:val="22"/>
          <w:szCs w:val="22"/>
        </w:rPr>
        <w:t>revenue</w:t>
      </w:r>
      <w:proofErr w:type="gramEnd"/>
      <w:r>
        <w:rPr>
          <w:rFonts w:ascii="Arial" w:hAnsi="Arial" w:cs="Arial"/>
          <w:sz w:val="22"/>
          <w:szCs w:val="22"/>
        </w:rPr>
        <w:t xml:space="preserve"> data that my 1</w:t>
      </w:r>
      <w:r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Attachment letter to </w:t>
      </w:r>
      <w:r>
        <w:rPr>
          <w:rFonts w:ascii="Arial" w:hAnsi="Arial" w:cs="Arial"/>
          <w:color w:val="44546A"/>
          <w:sz w:val="22"/>
          <w:szCs w:val="22"/>
          <w:lang w:eastAsia="en-US"/>
        </w:rPr>
        <w:t xml:space="preserve">the </w:t>
      </w:r>
      <w:r>
        <w:rPr>
          <w:rFonts w:ascii="Arial" w:hAnsi="Arial" w:cs="Arial"/>
          <w:color w:val="22272B"/>
          <w:sz w:val="22"/>
          <w:szCs w:val="22"/>
        </w:rPr>
        <w:t>Chairperson and the Deputy Chairperson of NSW ILGA</w:t>
      </w:r>
      <w:r>
        <w:rPr>
          <w:rFonts w:ascii="Arial" w:hAnsi="Arial" w:cs="Arial"/>
          <w:sz w:val="22"/>
          <w:szCs w:val="22"/>
        </w:rPr>
        <w:t xml:space="preserve"> requests will date back to 2017.</w:t>
      </w:r>
    </w:p>
    <w:p w:rsidR="0089566A" w:rsidRDefault="0089566A" w:rsidP="0089566A">
      <w:pPr>
        <w:rPr>
          <w:rFonts w:ascii="Arial" w:hAnsi="Arial" w:cs="Arial"/>
          <w:sz w:val="16"/>
          <w:szCs w:val="16"/>
        </w:rPr>
      </w:pPr>
    </w:p>
    <w:p w:rsidR="0089566A" w:rsidRDefault="0089566A" w:rsidP="008956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 1</w:t>
      </w:r>
      <w:r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Attachment letter seeks NSW ILGA to include in its detailed Excel worksheets at </w:t>
      </w:r>
      <w:hyperlink r:id="rId9" w:history="1"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Gaming data reports</w:t>
        </w:r>
      </w:hyperlink>
      <w:r>
        <w:rPr>
          <w:rFonts w:ascii="Arial" w:hAnsi="Arial" w:cs="Arial"/>
          <w:sz w:val="22"/>
          <w:szCs w:val="22"/>
        </w:rPr>
        <w:t xml:space="preserve"> –</w:t>
      </w:r>
    </w:p>
    <w:p w:rsidR="0089566A" w:rsidRDefault="0089566A" w:rsidP="0089566A">
      <w:pPr>
        <w:pStyle w:val="ListParagraph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‘agg. revenue/takings amount’ for all poker machines in -</w:t>
      </w:r>
      <w:r>
        <w:rPr>
          <w:rFonts w:ascii="Arial" w:hAnsi="Arial" w:cs="Arial"/>
          <w:sz w:val="22"/>
          <w:szCs w:val="22"/>
        </w:rPr>
        <w:br/>
        <w:t>*           NSW clubs; and separately for all</w:t>
      </w:r>
      <w:r>
        <w:rPr>
          <w:rFonts w:ascii="Arial" w:hAnsi="Arial" w:cs="Arial"/>
          <w:sz w:val="22"/>
          <w:szCs w:val="22"/>
        </w:rPr>
        <w:br/>
        <w:t xml:space="preserve">*           poker machines in NSW hotels; and </w:t>
      </w:r>
    </w:p>
    <w:p w:rsidR="0089566A" w:rsidRDefault="0089566A" w:rsidP="0089566A">
      <w:pPr>
        <w:pStyle w:val="ListParagraph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quarterly </w:t>
      </w:r>
      <w:hyperlink r:id="rId10" w:history="1"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‘stacked line chart’ in Excel</w:t>
        </w:r>
      </w:hyperlink>
      <w:r>
        <w:rPr>
          <w:rFonts w:ascii="Arial" w:hAnsi="Arial" w:cs="Arial"/>
          <w:sz w:val="22"/>
          <w:szCs w:val="22"/>
        </w:rPr>
        <w:t xml:space="preserve"> for the ‘agg. </w:t>
      </w:r>
      <w:proofErr w:type="gramStart"/>
      <w:r>
        <w:rPr>
          <w:rFonts w:ascii="Arial" w:hAnsi="Arial" w:cs="Arial"/>
          <w:sz w:val="22"/>
          <w:szCs w:val="22"/>
        </w:rPr>
        <w:t>revenue/takings</w:t>
      </w:r>
      <w:proofErr w:type="gramEnd"/>
      <w:r>
        <w:rPr>
          <w:rFonts w:ascii="Arial" w:hAnsi="Arial" w:cs="Arial"/>
          <w:sz w:val="22"/>
          <w:szCs w:val="22"/>
        </w:rPr>
        <w:t xml:space="preserve"> amount’ from all licensed clubs EGMs and separately for all EGMs in NSW hotels. - Two shifting horizontal agg. Revenue/takings lines on same graph, </w:t>
      </w:r>
    </w:p>
    <w:p w:rsidR="0089566A" w:rsidRDefault="0089566A" w:rsidP="008956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that I, and others, can easily learn if the total amount of poker machine losses at NSW Clubs and NSW Hotels has reduced through the efforts of </w:t>
      </w:r>
      <w:r>
        <w:rPr>
          <w:rFonts w:ascii="Arial" w:hAnsi="Arial" w:cs="Arial"/>
          <w:sz w:val="22"/>
          <w:szCs w:val="22"/>
          <w:lang w:eastAsia="en-US"/>
        </w:rPr>
        <w:t>The Wesley Mission, NSW Greens, Tim Costello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‘et al’</w:t>
      </w:r>
      <w:r>
        <w:rPr>
          <w:rFonts w:ascii="Arial" w:hAnsi="Arial" w:cs="Arial"/>
          <w:sz w:val="22"/>
          <w:szCs w:val="22"/>
        </w:rPr>
        <w:t>.</w:t>
      </w:r>
    </w:p>
    <w:p w:rsidR="0089566A" w:rsidRDefault="0089566A" w:rsidP="0089566A">
      <w:pPr>
        <w:rPr>
          <w:rFonts w:ascii="Arial" w:hAnsi="Arial" w:cs="Arial"/>
          <w:sz w:val="16"/>
          <w:szCs w:val="16"/>
        </w:rPr>
      </w:pPr>
    </w:p>
    <w:p w:rsidR="0089566A" w:rsidRDefault="0089566A" w:rsidP="008956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and 3</w:t>
      </w:r>
      <w:r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Attachments (referred to in 1</w:t>
      </w:r>
      <w:r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Attachment) may assist explain a) and b) just above,</w:t>
      </w:r>
    </w:p>
    <w:p w:rsidR="0089566A" w:rsidRDefault="0089566A" w:rsidP="0089566A">
      <w:pPr>
        <w:rPr>
          <w:rFonts w:ascii="Arial" w:hAnsi="Arial" w:cs="Arial"/>
          <w:color w:val="44546A"/>
          <w:sz w:val="12"/>
          <w:szCs w:val="12"/>
          <w:lang w:eastAsia="en-US"/>
        </w:rPr>
      </w:pP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</w:rPr>
      </w:pPr>
      <w:hyperlink r:id="rId11" w:history="1">
        <w:r>
          <w:rPr>
            <w:rStyle w:val="Hyperlink"/>
            <w:rFonts w:ascii="Aptos" w:hAnsi="Aptos"/>
            <w:b/>
            <w:bCs/>
            <w:color w:val="0563C1"/>
            <w:sz w:val="26"/>
            <w:szCs w:val="26"/>
          </w:rPr>
          <w:t xml:space="preserve">Social costs of gambling to Victoria 2023 </w:t>
        </w:r>
      </w:hyperlink>
      <w:r>
        <w:rPr>
          <w:rFonts w:ascii="Arial" w:hAnsi="Arial" w:cs="Arial"/>
          <w:color w:val="44546A"/>
          <w:sz w:val="22"/>
          <w:szCs w:val="22"/>
        </w:rPr>
        <w:t>estimates that 8 associated costs from poker machines to residents in Victoria in 2023 was  $14.1 billion – that is $14,100,000,000 in a single 12 months.</w:t>
      </w:r>
    </w:p>
    <w:p w:rsidR="0089566A" w:rsidRDefault="0089566A" w:rsidP="0089566A">
      <w:pPr>
        <w:rPr>
          <w:rFonts w:ascii="Arial" w:hAnsi="Arial" w:cs="Arial"/>
          <w:color w:val="44546A"/>
          <w:sz w:val="16"/>
          <w:szCs w:val="16"/>
        </w:rPr>
      </w:pP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</w:rPr>
      </w:pPr>
      <w:r>
        <w:rPr>
          <w:rFonts w:ascii="Arial" w:hAnsi="Arial" w:cs="Arial"/>
          <w:color w:val="44546A"/>
          <w:sz w:val="22"/>
          <w:szCs w:val="22"/>
        </w:rPr>
        <w:t>Sarah, </w:t>
      </w:r>
      <w:r>
        <w:rPr>
          <w:rFonts w:ascii="Arial" w:hAnsi="Arial" w:cs="Arial"/>
          <w:color w:val="44546A"/>
          <w:sz w:val="22"/>
          <w:szCs w:val="22"/>
        </w:rPr>
        <w:t xml:space="preserve">I welcome an email acknowledgment of this email. However, I understand that you may have to await a response (to my attached letter) from ILGA’s Chairperson and Deputy Chairperson. </w:t>
      </w:r>
    </w:p>
    <w:p w:rsidR="0089566A" w:rsidRDefault="0089566A" w:rsidP="0089566A">
      <w:pPr>
        <w:rPr>
          <w:rFonts w:ascii="Arial" w:hAnsi="Arial" w:cs="Arial"/>
          <w:color w:val="44546A"/>
          <w:sz w:val="22"/>
          <w:szCs w:val="22"/>
        </w:rPr>
      </w:pPr>
    </w:p>
    <w:p w:rsidR="00704784" w:rsidRDefault="0089566A">
      <w:r>
        <w:rPr>
          <w:rFonts w:ascii="Arial" w:hAnsi="Arial" w:cs="Arial"/>
          <w:b/>
          <w:bCs/>
          <w:color w:val="000000"/>
          <w:sz w:val="20"/>
          <w:szCs w:val="20"/>
        </w:rPr>
        <w:t>Phil Johnston aka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hyperlink r:id="rId12" w:history="1">
        <w:r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Bank Teller</w:t>
        </w:r>
      </w:hyperlink>
      <w:bookmarkStart w:id="0" w:name="_GoBack"/>
      <w:bookmarkEnd w:id="0"/>
    </w:p>
    <w:sectPr w:rsidR="00704784" w:rsidSect="0089566A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60CA0"/>
    <w:multiLevelType w:val="hybridMultilevel"/>
    <w:tmpl w:val="034271A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6A"/>
    <w:rsid w:val="00030068"/>
    <w:rsid w:val="000E114F"/>
    <w:rsid w:val="00704784"/>
    <w:rsid w:val="0089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4FF5C-401A-4E09-98C3-AFA720EE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66A"/>
    <w:rPr>
      <w:rFonts w:ascii="Times New Roman" w:hAnsi="Times New Roman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56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56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w.gov.au/business-and-economy/liquor-and-gaming/gaming/gaming-machine-data-repor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ggaccinos.com/GamblingReform/Put_Pokies_in_their_place.htm" TargetMode="External"/><Relationship Id="rId12" Type="http://schemas.openxmlformats.org/officeDocument/2006/relationships/hyperlink" Target="http://www.muggaccinos.com/ChoresnCrew/Scribe/Scrib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w.gov.au/business-and-economy/liquor-and-gaming/gaming/gaming-machine-data-reports" TargetMode="External"/><Relationship Id="rId11" Type="http://schemas.openxmlformats.org/officeDocument/2006/relationships/hyperlink" Target="https://www.justice.vic.gov.au/safer-communities/gambling/social-costs-of-gambling-to-victoria-2023" TargetMode="External"/><Relationship Id="rId5" Type="http://schemas.openxmlformats.org/officeDocument/2006/relationships/hyperlink" Target="mailto:contact.us@liquorandgaming.nsw.gov.au" TargetMode="External"/><Relationship Id="rId10" Type="http://schemas.openxmlformats.org/officeDocument/2006/relationships/hyperlink" Target="https://macabacus.com/blog/create-line-chart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w.gov.au/business-and-economy/liquor-and-gaming/gaming/gaming-machine-data-repor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2025-12-18T00:38:00Z</dcterms:created>
  <dcterms:modified xsi:type="dcterms:W3CDTF">2025-12-18T00:46:00Z</dcterms:modified>
</cp:coreProperties>
</file>