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5A5" w:rsidRPr="009265A5" w:rsidRDefault="009265A5" w:rsidP="009265A5">
      <w:pPr>
        <w:textAlignment w:val="baseline"/>
        <w:rPr>
          <w:rFonts w:ascii="Arial Narrow" w:eastAsia="Times New Roman" w:hAnsi="Arial Narrow"/>
          <w:b/>
          <w:bCs/>
          <w:color w:val="383838"/>
          <w:kern w:val="36"/>
          <w:sz w:val="40"/>
          <w:szCs w:val="40"/>
          <w:lang w:eastAsia="en-AU"/>
        </w:rPr>
      </w:pPr>
      <w:r w:rsidRPr="009265A5">
        <w:rPr>
          <w:rFonts w:ascii="Arial Narrow" w:eastAsia="Times New Roman" w:hAnsi="Arial Narrow"/>
          <w:b/>
          <w:bCs/>
          <w:color w:val="383838"/>
          <w:kern w:val="36"/>
          <w:sz w:val="40"/>
          <w:szCs w:val="40"/>
          <w:bdr w:val="none" w:sz="0" w:space="0" w:color="auto" w:frame="1"/>
          <w:lang w:eastAsia="en-AU"/>
        </w:rPr>
        <w:t>‘A billion</w:t>
      </w:r>
      <w:r w:rsidRPr="009265A5">
        <w:rPr>
          <w:rFonts w:ascii="Arial Narrow" w:eastAsia="Times New Roman" w:hAnsi="Arial Narrow"/>
          <w:b/>
          <w:bCs/>
          <w:color w:val="383838"/>
          <w:kern w:val="36"/>
          <w:sz w:val="40"/>
          <w:szCs w:val="40"/>
          <w:bdr w:val="none" w:sz="0" w:space="0" w:color="auto" w:frame="1"/>
          <w:lang w:eastAsia="en-AU"/>
        </w:rPr>
        <w:noBreakHyphen/>
        <w:t>dollar empire of harm’: how gambling took over Australia</w:t>
      </w:r>
    </w:p>
    <w:p w:rsidR="009265A5" w:rsidRPr="009265A5" w:rsidRDefault="009265A5" w:rsidP="009265A5">
      <w:pPr>
        <w:textAlignment w:val="baseline"/>
        <w:rPr>
          <w:rFonts w:ascii="Times New Roman" w:eastAsia="Times New Roman" w:hAnsi="Times New Roman" w:cs="Times New Roman"/>
          <w:sz w:val="20"/>
          <w:szCs w:val="20"/>
          <w:lang w:eastAsia="en-AU"/>
        </w:rPr>
      </w:pPr>
      <w:r w:rsidRPr="009265A5">
        <w:rPr>
          <w:rFonts w:ascii="Times New Roman" w:eastAsia="Times New Roman" w:hAnsi="Times New Roman" w:cs="Times New Roman"/>
          <w:sz w:val="32"/>
          <w:szCs w:val="32"/>
          <w:lang w:eastAsia="en-AU"/>
        </w:rPr>
        <w:t xml:space="preserve">The </w:t>
      </w:r>
      <w:r w:rsidR="003C3FE4">
        <w:rPr>
          <w:rFonts w:ascii="Times New Roman" w:eastAsia="Times New Roman" w:hAnsi="Times New Roman" w:cs="Times New Roman"/>
          <w:sz w:val="32"/>
          <w:szCs w:val="32"/>
          <w:lang w:eastAsia="en-AU"/>
        </w:rPr>
        <w:t>Conversation</w:t>
      </w:r>
      <w:bookmarkStart w:id="0" w:name="_GoBack"/>
      <w:bookmarkEnd w:id="0"/>
      <w:r w:rsidRPr="009265A5">
        <w:rPr>
          <w:rFonts w:ascii="Times New Roman" w:eastAsia="Times New Roman" w:hAnsi="Times New Roman" w:cs="Times New Roman"/>
          <w:sz w:val="32"/>
          <w:szCs w:val="32"/>
          <w:lang w:eastAsia="en-AU"/>
        </w:rPr>
        <w:t xml:space="preserve">  -  March 5, 2026</w:t>
      </w:r>
      <w:r>
        <w:rPr>
          <w:rFonts w:ascii="Times New Roman" w:eastAsia="Times New Roman" w:hAnsi="Times New Roman" w:cs="Times New Roman"/>
          <w:sz w:val="32"/>
          <w:szCs w:val="32"/>
          <w:lang w:eastAsia="en-AU"/>
        </w:rPr>
        <w:t xml:space="preserve">  </w:t>
      </w:r>
      <w:proofErr w:type="spellStart"/>
      <w:r w:rsidRPr="009265A5">
        <w:rPr>
          <w:rFonts w:ascii="Times New Roman" w:eastAsia="Times New Roman" w:hAnsi="Times New Roman" w:cs="Times New Roman"/>
          <w:color w:val="212121"/>
          <w:sz w:val="28"/>
          <w:szCs w:val="28"/>
          <w:bdr w:val="none" w:sz="0" w:space="0" w:color="auto" w:frame="1"/>
          <w:lang w:eastAsia="en-AU"/>
        </w:rPr>
        <w:t>Joakim</w:t>
      </w:r>
      <w:proofErr w:type="spellEnd"/>
      <w:r w:rsidRPr="009265A5">
        <w:rPr>
          <w:rFonts w:ascii="Times New Roman" w:eastAsia="Times New Roman" w:hAnsi="Times New Roman" w:cs="Times New Roman"/>
          <w:color w:val="212121"/>
          <w:sz w:val="28"/>
          <w:szCs w:val="28"/>
          <w:bdr w:val="none" w:sz="0" w:space="0" w:color="auto" w:frame="1"/>
          <w:lang w:eastAsia="en-AU"/>
        </w:rPr>
        <w:t xml:space="preserve"> </w:t>
      </w:r>
      <w:proofErr w:type="spellStart"/>
      <w:r w:rsidRPr="009265A5">
        <w:rPr>
          <w:rFonts w:ascii="Times New Roman" w:eastAsia="Times New Roman" w:hAnsi="Times New Roman" w:cs="Times New Roman"/>
          <w:color w:val="212121"/>
          <w:sz w:val="28"/>
          <w:szCs w:val="28"/>
          <w:bdr w:val="none" w:sz="0" w:space="0" w:color="auto" w:frame="1"/>
          <w:lang w:eastAsia="en-AU"/>
        </w:rPr>
        <w:t>Honkasalo</w:t>
      </w:r>
      <w:proofErr w:type="spellEnd"/>
      <w:r w:rsidRPr="009265A5">
        <w:rPr>
          <w:rFonts w:ascii="Times New Roman" w:eastAsia="Times New Roman" w:hAnsi="Times New Roman" w:cs="Times New Roman"/>
          <w:color w:val="212121"/>
          <w:sz w:val="28"/>
          <w:szCs w:val="28"/>
          <w:bdr w:val="none" w:sz="0" w:space="0" w:color="auto" w:frame="1"/>
          <w:lang w:eastAsia="en-AU"/>
        </w:rPr>
        <w:t>/</w:t>
      </w:r>
      <w:proofErr w:type="spellStart"/>
      <w:r w:rsidRPr="009265A5">
        <w:rPr>
          <w:rFonts w:ascii="Times New Roman" w:eastAsia="Times New Roman" w:hAnsi="Times New Roman" w:cs="Times New Roman"/>
          <w:color w:val="212121"/>
          <w:sz w:val="28"/>
          <w:szCs w:val="28"/>
          <w:bdr w:val="none" w:sz="0" w:space="0" w:color="auto" w:frame="1"/>
          <w:lang w:eastAsia="en-AU"/>
        </w:rPr>
        <w:t>Unsplash</w:t>
      </w:r>
      <w:proofErr w:type="spellEnd"/>
    </w:p>
    <w:p w:rsidR="009265A5" w:rsidRPr="009265A5" w:rsidRDefault="009265A5" w:rsidP="009265A5">
      <w:pPr>
        <w:spacing w:line="270" w:lineRule="atLeast"/>
        <w:textAlignment w:val="baseline"/>
        <w:rPr>
          <w:rFonts w:eastAsia="Times New Roman"/>
          <w:color w:val="FFFFFF"/>
          <w:sz w:val="20"/>
          <w:szCs w:val="20"/>
          <w:lang w:eastAsia="en-AU"/>
        </w:rPr>
      </w:pPr>
      <w:r w:rsidRPr="009265A5">
        <w:rPr>
          <w:rFonts w:eastAsia="Times New Roman"/>
          <w:color w:val="FFFFFF"/>
          <w:sz w:val="20"/>
          <w:szCs w:val="20"/>
          <w:lang w:eastAsia="en-AU"/>
        </w:rPr>
        <w:t xml:space="preserve">Share </w:t>
      </w:r>
      <w:proofErr w:type="spellStart"/>
      <w:r w:rsidRPr="009265A5">
        <w:rPr>
          <w:rFonts w:eastAsia="Times New Roman"/>
          <w:color w:val="FFFFFF"/>
          <w:sz w:val="20"/>
          <w:szCs w:val="20"/>
          <w:lang w:eastAsia="en-AU"/>
        </w:rPr>
        <w:t>articlent</w:t>
      </w:r>
      <w:proofErr w:type="spellEnd"/>
      <w:r w:rsidRPr="009265A5">
        <w:rPr>
          <w:rFonts w:eastAsia="Times New Roman"/>
          <w:color w:val="FFFFFF"/>
          <w:sz w:val="20"/>
          <w:szCs w:val="20"/>
          <w:lang w:eastAsia="en-AU"/>
        </w:rPr>
        <w:t xml:space="preserve"> article</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I started my research into gambling and its adverse effects in 2014. At the time, Australia’s annual gambling losses were </w:t>
      </w:r>
      <w:hyperlink r:id="rId5" w:history="1">
        <w:proofErr w:type="gramStart"/>
        <w:r w:rsidRPr="009265A5">
          <w:rPr>
            <w:rFonts w:ascii="Times New Roman" w:eastAsia="Times New Roman" w:hAnsi="Times New Roman" w:cs="Times New Roman"/>
            <w:color w:val="4B4B4E"/>
            <w:sz w:val="27"/>
            <w:szCs w:val="27"/>
            <w:u w:val="single"/>
            <w:lang w:eastAsia="en-AU"/>
          </w:rPr>
          <w:t>A$</w:t>
        </w:r>
        <w:proofErr w:type="gramEnd"/>
        <w:r w:rsidRPr="009265A5">
          <w:rPr>
            <w:rFonts w:ascii="Times New Roman" w:eastAsia="Times New Roman" w:hAnsi="Times New Roman" w:cs="Times New Roman"/>
            <w:color w:val="4B4B4E"/>
            <w:sz w:val="27"/>
            <w:szCs w:val="27"/>
            <w:u w:val="single"/>
            <w:lang w:eastAsia="en-AU"/>
          </w:rPr>
          <w:t>21 billion</w:t>
        </w:r>
      </w:hyperlink>
      <w:r w:rsidRPr="009265A5">
        <w:rPr>
          <w:rFonts w:ascii="Times New Roman" w:eastAsia="Times New Roman" w:hAnsi="Times New Roman" w:cs="Times New Roman"/>
          <w:color w:val="000000"/>
          <w:sz w:val="27"/>
          <w:szCs w:val="27"/>
          <w:lang w:eastAsia="en-AU"/>
        </w:rPr>
        <w:t>. Today, they are </w:t>
      </w:r>
      <w:hyperlink r:id="rId6" w:history="1">
        <w:r w:rsidRPr="009265A5">
          <w:rPr>
            <w:rFonts w:ascii="Times New Roman" w:eastAsia="Times New Roman" w:hAnsi="Times New Roman" w:cs="Times New Roman"/>
            <w:color w:val="4B4B4E"/>
            <w:sz w:val="27"/>
            <w:szCs w:val="27"/>
            <w:u w:val="single"/>
            <w:lang w:eastAsia="en-AU"/>
          </w:rPr>
          <w:t>$31.5 billion</w:t>
        </w:r>
      </w:hyperlink>
      <w:r w:rsidRPr="009265A5">
        <w:rPr>
          <w:rFonts w:ascii="Times New Roman" w:eastAsia="Times New Roman" w:hAnsi="Times New Roman" w:cs="Times New Roman"/>
          <w:color w:val="000000"/>
          <w:sz w:val="27"/>
          <w:szCs w:val="27"/>
          <w:lang w:eastAsia="en-AU"/>
        </w:rPr>
        <w:t>.</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A decade ago, per-capita annual gambling expenditure was around $1,200 per adult. The latest data has the </w:t>
      </w:r>
      <w:hyperlink r:id="rId7" w:history="1">
        <w:r w:rsidRPr="009265A5">
          <w:rPr>
            <w:rFonts w:ascii="Times New Roman" w:eastAsia="Times New Roman" w:hAnsi="Times New Roman" w:cs="Times New Roman"/>
            <w:color w:val="4B4B4E"/>
            <w:sz w:val="27"/>
            <w:szCs w:val="27"/>
            <w:u w:val="single"/>
            <w:lang w:eastAsia="en-AU"/>
          </w:rPr>
          <w:t>annual per-capita expenditure jumping to $1,527</w:t>
        </w:r>
      </w:hyperlink>
      <w:r w:rsidRPr="009265A5">
        <w:rPr>
          <w:rFonts w:ascii="Times New Roman" w:eastAsia="Times New Roman" w:hAnsi="Times New Roman" w:cs="Times New Roman"/>
          <w:color w:val="000000"/>
          <w:sz w:val="27"/>
          <w:szCs w:val="27"/>
          <w:lang w:eastAsia="en-AU"/>
        </w:rPr>
        <w:t>. In New South Wales and the Northern Territory, it’s </w:t>
      </w:r>
      <w:hyperlink r:id="rId8" w:history="1">
        <w:r w:rsidRPr="009265A5">
          <w:rPr>
            <w:rFonts w:ascii="Times New Roman" w:eastAsia="Times New Roman" w:hAnsi="Times New Roman" w:cs="Times New Roman"/>
            <w:color w:val="4B4B4E"/>
            <w:sz w:val="27"/>
            <w:szCs w:val="27"/>
            <w:u w:val="single"/>
            <w:lang w:eastAsia="en-AU"/>
          </w:rPr>
          <w:t>$2,007 and $1,871 respectively</w:t>
        </w:r>
      </w:hyperlink>
      <w:r w:rsidRPr="009265A5">
        <w:rPr>
          <w:rFonts w:ascii="Times New Roman" w:eastAsia="Times New Roman" w:hAnsi="Times New Roman" w:cs="Times New Roman"/>
          <w:color w:val="000000"/>
          <w:sz w:val="27"/>
          <w:szCs w:val="27"/>
          <w:lang w:eastAsia="en-AU"/>
        </w:rPr>
        <w:t>.</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There has been a threefold increase in expenditure on gambling advertising, from a reported </w:t>
      </w:r>
      <w:hyperlink r:id="rId9" w:history="1">
        <w:r w:rsidRPr="009265A5">
          <w:rPr>
            <w:rFonts w:ascii="Times New Roman" w:eastAsia="Times New Roman" w:hAnsi="Times New Roman" w:cs="Times New Roman"/>
            <w:color w:val="4B4B4E"/>
            <w:sz w:val="27"/>
            <w:szCs w:val="27"/>
            <w:u w:val="single"/>
            <w:lang w:eastAsia="en-AU"/>
          </w:rPr>
          <w:t>$89.7 million in 2011</w:t>
        </w:r>
      </w:hyperlink>
      <w:r w:rsidRPr="009265A5">
        <w:rPr>
          <w:rFonts w:ascii="Times New Roman" w:eastAsia="Times New Roman" w:hAnsi="Times New Roman" w:cs="Times New Roman"/>
          <w:color w:val="000000"/>
          <w:sz w:val="27"/>
          <w:szCs w:val="27"/>
          <w:lang w:eastAsia="en-AU"/>
        </w:rPr>
        <w:t> to a peak of </w:t>
      </w:r>
      <w:hyperlink r:id="rId10" w:history="1">
        <w:r w:rsidRPr="009265A5">
          <w:rPr>
            <w:rFonts w:ascii="Times New Roman" w:eastAsia="Times New Roman" w:hAnsi="Times New Roman" w:cs="Times New Roman"/>
            <w:color w:val="4B4B4E"/>
            <w:sz w:val="27"/>
            <w:szCs w:val="27"/>
            <w:u w:val="single"/>
            <w:lang w:eastAsia="en-AU"/>
          </w:rPr>
          <w:t>$300 million in 2022</w:t>
        </w:r>
      </w:hyperlink>
      <w:r w:rsidRPr="009265A5">
        <w:rPr>
          <w:rFonts w:ascii="Times New Roman" w:eastAsia="Times New Roman" w:hAnsi="Times New Roman" w:cs="Times New Roman"/>
          <w:color w:val="000000"/>
          <w:sz w:val="27"/>
          <w:szCs w:val="27"/>
          <w:lang w:eastAsia="en-AU"/>
        </w:rPr>
        <w:t>, before falling to </w:t>
      </w:r>
      <w:hyperlink r:id="rId11" w:history="1">
        <w:r w:rsidRPr="009265A5">
          <w:rPr>
            <w:rFonts w:ascii="Times New Roman" w:eastAsia="Times New Roman" w:hAnsi="Times New Roman" w:cs="Times New Roman"/>
            <w:color w:val="4B4B4E"/>
            <w:sz w:val="27"/>
            <w:szCs w:val="27"/>
            <w:u w:val="single"/>
            <w:lang w:eastAsia="en-AU"/>
          </w:rPr>
          <w:t>almost $188 million in 2024</w:t>
        </w:r>
      </w:hyperlink>
      <w:r w:rsidRPr="009265A5">
        <w:rPr>
          <w:rFonts w:ascii="Times New Roman" w:eastAsia="Times New Roman" w:hAnsi="Times New Roman" w:cs="Times New Roman"/>
          <w:color w:val="000000"/>
          <w:sz w:val="27"/>
          <w:szCs w:val="27"/>
          <w:lang w:eastAsia="en-AU"/>
        </w:rPr>
        <w:t>.</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The social and economic cost of gambling in Victoria alone is said to be a staggering </w:t>
      </w:r>
      <w:hyperlink r:id="rId12" w:history="1">
        <w:r w:rsidRPr="009265A5">
          <w:rPr>
            <w:rFonts w:ascii="Times New Roman" w:eastAsia="Times New Roman" w:hAnsi="Times New Roman" w:cs="Times New Roman"/>
            <w:color w:val="4B4B4E"/>
            <w:sz w:val="27"/>
            <w:szCs w:val="27"/>
            <w:u w:val="single"/>
            <w:lang w:eastAsia="en-AU"/>
          </w:rPr>
          <w:t>$14.1 billion annually</w:t>
        </w:r>
      </w:hyperlink>
      <w:r w:rsidRPr="009265A5">
        <w:rPr>
          <w:rFonts w:ascii="Times New Roman" w:eastAsia="Times New Roman" w:hAnsi="Times New Roman" w:cs="Times New Roman"/>
          <w:color w:val="000000"/>
          <w:sz w:val="27"/>
          <w:szCs w:val="27"/>
          <w:lang w:eastAsia="en-AU"/>
        </w:rPr>
        <w:t>, more than double the 2014 estimate. These costs include, but are not limited to, adverse impacts on family finances, mental health, relationships, productivity and suicide. They are largely driven by poker machines and the rise of online gambling.</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In a relatively short time – less than 50 years – commercial gambling has become deeply entrenched in Australia, establishing a shameful legacy of social and financial harm across our communities.</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How did we arrive at this juncture, when the social and financial effects were not only foreseeable but, some might argue, entirely avoidable?</w:t>
      </w:r>
    </w:p>
    <w:p w:rsidR="009265A5" w:rsidRPr="009265A5" w:rsidRDefault="009265A5" w:rsidP="009265A5">
      <w:pPr>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i/>
          <w:iCs/>
          <w:color w:val="000000"/>
          <w:sz w:val="27"/>
          <w:szCs w:val="27"/>
          <w:bdr w:val="none" w:sz="0" w:space="0" w:color="auto" w:frame="1"/>
          <w:lang w:eastAsia="en-AU"/>
        </w:rPr>
        <w:t>Review: Hooked: Inside the Murky World of Australia’s Gambling Industry – Quentin Beresford (</w:t>
      </w:r>
      <w:proofErr w:type="spellStart"/>
      <w:r w:rsidRPr="009265A5">
        <w:rPr>
          <w:rFonts w:ascii="Times New Roman" w:eastAsia="Times New Roman" w:hAnsi="Times New Roman" w:cs="Times New Roman"/>
          <w:i/>
          <w:iCs/>
          <w:color w:val="000000"/>
          <w:sz w:val="27"/>
          <w:szCs w:val="27"/>
          <w:bdr w:val="none" w:sz="0" w:space="0" w:color="auto" w:frame="1"/>
          <w:lang w:eastAsia="en-AU"/>
        </w:rPr>
        <w:t>NewSouth</w:t>
      </w:r>
      <w:proofErr w:type="spellEnd"/>
      <w:r w:rsidRPr="009265A5">
        <w:rPr>
          <w:rFonts w:ascii="Times New Roman" w:eastAsia="Times New Roman" w:hAnsi="Times New Roman" w:cs="Times New Roman"/>
          <w:i/>
          <w:iCs/>
          <w:color w:val="000000"/>
          <w:sz w:val="27"/>
          <w:szCs w:val="27"/>
          <w:bdr w:val="none" w:sz="0" w:space="0" w:color="auto" w:frame="1"/>
          <w:lang w:eastAsia="en-AU"/>
        </w:rPr>
        <w:t>)</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Pr>
          <w:rFonts w:ascii="Times New Roman" w:eastAsia="Times New Roman" w:hAnsi="Times New Roman" w:cs="Times New Roman"/>
          <w:color w:val="000000"/>
          <w:sz w:val="27"/>
          <w:szCs w:val="27"/>
          <w:lang w:eastAsia="en-AU"/>
        </w:rPr>
        <w:br/>
      </w:r>
      <w:r w:rsidRPr="009265A5">
        <w:rPr>
          <w:rFonts w:ascii="Times New Roman" w:eastAsia="Times New Roman" w:hAnsi="Times New Roman" w:cs="Times New Roman"/>
          <w:color w:val="000000"/>
          <w:sz w:val="27"/>
          <w:szCs w:val="27"/>
          <w:lang w:eastAsia="en-AU"/>
        </w:rPr>
        <w:t>Quentin Beresford’s </w:t>
      </w:r>
      <w:hyperlink r:id="rId13" w:history="1">
        <w:proofErr w:type="gramStart"/>
        <w:r w:rsidRPr="009265A5">
          <w:rPr>
            <w:rFonts w:ascii="Times New Roman" w:eastAsia="Times New Roman" w:hAnsi="Times New Roman" w:cs="Times New Roman"/>
            <w:color w:val="4B4B4E"/>
            <w:sz w:val="27"/>
            <w:szCs w:val="27"/>
            <w:u w:val="single"/>
            <w:lang w:eastAsia="en-AU"/>
          </w:rPr>
          <w:t>Hooked</w:t>
        </w:r>
        <w:proofErr w:type="gramEnd"/>
        <w:r w:rsidRPr="009265A5">
          <w:rPr>
            <w:rFonts w:ascii="Times New Roman" w:eastAsia="Times New Roman" w:hAnsi="Times New Roman" w:cs="Times New Roman"/>
            <w:color w:val="4B4B4E"/>
            <w:sz w:val="27"/>
            <w:szCs w:val="27"/>
            <w:u w:val="single"/>
            <w:lang w:eastAsia="en-AU"/>
          </w:rPr>
          <w:t>: Inside the Murky World of Australia’s Gambling Industry</w:t>
        </w:r>
      </w:hyperlink>
      <w:r w:rsidRPr="009265A5">
        <w:rPr>
          <w:rFonts w:ascii="Times New Roman" w:eastAsia="Times New Roman" w:hAnsi="Times New Roman" w:cs="Times New Roman"/>
          <w:color w:val="000000"/>
          <w:sz w:val="27"/>
          <w:szCs w:val="27"/>
          <w:lang w:eastAsia="en-AU"/>
        </w:rPr>
        <w:t> makes a concerted effort to answer this question. Beresford blends investigative analysis with accessible storytelling, making the work both deeply informative and profoundly unsettling. His historical lens adds depth and nuance to the discussion.</w:t>
      </w:r>
    </w:p>
    <w:p w:rsid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To uncover the stories and unravel the complex machinery of commercial gambling, Beresford draws on an extensive array of media sources and academic research. He also incorporates interviews with leading gambling reform advocates, such as Baptist minister Tim Costello and academic Charles Livingstone, who have dedicated decades to this cause, and politicians championing reform, including independent federal MPs Andrew Wilkie and Kate Chaney.</w:t>
      </w:r>
    </w:p>
    <w:p w:rsidR="009265A5" w:rsidRDefault="009265A5" w:rsidP="009265A5">
      <w:pPr>
        <w:spacing w:after="270"/>
        <w:textAlignment w:val="baseline"/>
        <w:rPr>
          <w:rFonts w:ascii="Times New Roman" w:eastAsia="Times New Roman" w:hAnsi="Times New Roman" w:cs="Times New Roman"/>
          <w:color w:val="000000"/>
          <w:sz w:val="27"/>
          <w:szCs w:val="27"/>
          <w:lang w:eastAsia="en-AU"/>
        </w:rPr>
      </w:pP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noProof/>
          <w:color w:val="4B4B4E"/>
          <w:sz w:val="27"/>
          <w:szCs w:val="27"/>
          <w:lang w:eastAsia="en-AU"/>
        </w:rPr>
        <w:lastRenderedPageBreak/>
        <w:drawing>
          <wp:inline distT="0" distB="0" distL="0" distR="0" wp14:anchorId="3EE44C8F" wp14:editId="5759E895">
            <wp:extent cx="2259330" cy="3468370"/>
            <wp:effectExtent l="0" t="0" r="7620" b="0"/>
            <wp:docPr id="6" name="Picture 6" descr="https://images.theconversation.com/files/711126/original/file-20260107-56-cwepwp.jpg?ixlib=rb-4.1.0&amp;q=45&amp;auto=format&amp;w=237&amp;fit=clip">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s.theconversation.com/files/711126/original/file-20260107-56-cwepwp.jpg?ixlib=rb-4.1.0&amp;q=45&amp;auto=format&amp;w=237&amp;fit=clip">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59330" cy="3468370"/>
                    </a:xfrm>
                    <a:prstGeom prst="rect">
                      <a:avLst/>
                    </a:prstGeom>
                    <a:noFill/>
                    <a:ln>
                      <a:noFill/>
                    </a:ln>
                  </pic:spPr>
                </pic:pic>
              </a:graphicData>
            </a:graphic>
          </wp:inline>
        </w:drawing>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Beresford unpacks the inner workings of Australia’s commercial gambling ecosystem. He traces its evolution from the initial infiltration of poker machines in NSW community clubs in the mid-1950s to the current day, when gambling operators saturate media with marketing and promotions.</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Examining the evolution of commercial gambling into a billion</w:t>
      </w:r>
      <w:r w:rsidRPr="009265A5">
        <w:rPr>
          <w:rFonts w:ascii="Times New Roman" w:eastAsia="Times New Roman" w:hAnsi="Times New Roman" w:cs="Times New Roman"/>
          <w:color w:val="000000"/>
          <w:sz w:val="27"/>
          <w:szCs w:val="27"/>
          <w:lang w:eastAsia="en-AU"/>
        </w:rPr>
        <w:noBreakHyphen/>
        <w:t>dollar industry of harm, Beresford shows how the sector has amassed significant power and influence. He highlights the manipulative business and political practices that have enabled the industry’s unparalleled dominance in Australia, alongside weak regulatory oversight and a lack of political will to reform the sector.</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Despite a </w:t>
      </w:r>
      <w:hyperlink r:id="rId16" w:history="1">
        <w:r w:rsidRPr="009265A5">
          <w:rPr>
            <w:rFonts w:ascii="Times New Roman" w:eastAsia="Times New Roman" w:hAnsi="Times New Roman" w:cs="Times New Roman"/>
            <w:color w:val="4B4B4E"/>
            <w:sz w:val="27"/>
            <w:szCs w:val="27"/>
            <w:u w:val="single"/>
            <w:lang w:eastAsia="en-AU"/>
          </w:rPr>
          <w:t>federal inquiry into problem gambling</w:t>
        </w:r>
      </w:hyperlink>
      <w:r w:rsidRPr="009265A5">
        <w:rPr>
          <w:rFonts w:ascii="Times New Roman" w:eastAsia="Times New Roman" w:hAnsi="Times New Roman" w:cs="Times New Roman"/>
          <w:color w:val="000000"/>
          <w:sz w:val="27"/>
          <w:szCs w:val="27"/>
          <w:lang w:eastAsia="en-AU"/>
        </w:rPr>
        <w:t xml:space="preserve"> in 2023 and </w:t>
      </w:r>
      <w:proofErr w:type="spellStart"/>
      <w:r w:rsidRPr="009265A5">
        <w:rPr>
          <w:rFonts w:ascii="Times New Roman" w:eastAsia="Times New Roman" w:hAnsi="Times New Roman" w:cs="Times New Roman"/>
          <w:color w:val="000000"/>
          <w:sz w:val="27"/>
          <w:szCs w:val="27"/>
          <w:lang w:eastAsia="en-AU"/>
        </w:rPr>
        <w:t>and</w:t>
      </w:r>
      <w:proofErr w:type="spellEnd"/>
      <w:r w:rsidRPr="009265A5">
        <w:rPr>
          <w:rFonts w:ascii="Times New Roman" w:eastAsia="Times New Roman" w:hAnsi="Times New Roman" w:cs="Times New Roman"/>
          <w:color w:val="000000"/>
          <w:sz w:val="27"/>
          <w:szCs w:val="27"/>
          <w:lang w:eastAsia="en-AU"/>
        </w:rPr>
        <w:t xml:space="preserve"> a planned private members bill from independent MP Monique Ryan designed to “</w:t>
      </w:r>
      <w:hyperlink r:id="rId17" w:history="1">
        <w:r w:rsidRPr="009265A5">
          <w:rPr>
            <w:rFonts w:ascii="Times New Roman" w:eastAsia="Times New Roman" w:hAnsi="Times New Roman" w:cs="Times New Roman"/>
            <w:color w:val="4B4B4E"/>
            <w:sz w:val="27"/>
            <w:szCs w:val="27"/>
            <w:u w:val="single"/>
            <w:lang w:eastAsia="en-AU"/>
          </w:rPr>
          <w:t>treat gambling harm as a public health issue</w:t>
        </w:r>
      </w:hyperlink>
      <w:r w:rsidRPr="009265A5">
        <w:rPr>
          <w:rFonts w:ascii="Times New Roman" w:eastAsia="Times New Roman" w:hAnsi="Times New Roman" w:cs="Times New Roman"/>
          <w:color w:val="000000"/>
          <w:sz w:val="27"/>
          <w:szCs w:val="27"/>
          <w:lang w:eastAsia="en-AU"/>
        </w:rPr>
        <w:t>”, the Albanese government has so far </w:t>
      </w:r>
      <w:hyperlink r:id="rId18" w:history="1">
        <w:r w:rsidRPr="009265A5">
          <w:rPr>
            <w:rFonts w:ascii="Times New Roman" w:eastAsia="Times New Roman" w:hAnsi="Times New Roman" w:cs="Times New Roman"/>
            <w:color w:val="4B4B4E"/>
            <w:sz w:val="27"/>
            <w:szCs w:val="27"/>
            <w:u w:val="single"/>
            <w:lang w:eastAsia="en-AU"/>
          </w:rPr>
          <w:t>resisted calls to crack down on gambling</w:t>
        </w:r>
      </w:hyperlink>
      <w:r w:rsidRPr="009265A5">
        <w:rPr>
          <w:rFonts w:ascii="Times New Roman" w:eastAsia="Times New Roman" w:hAnsi="Times New Roman" w:cs="Times New Roman"/>
          <w:color w:val="000000"/>
          <w:sz w:val="27"/>
          <w:szCs w:val="27"/>
          <w:lang w:eastAsia="en-AU"/>
        </w:rPr>
        <w:t>.</w:t>
      </w:r>
    </w:p>
    <w:p w:rsidR="009265A5" w:rsidRPr="009265A5" w:rsidRDefault="009265A5" w:rsidP="009265A5">
      <w:pPr>
        <w:spacing w:after="180"/>
        <w:textAlignment w:val="baseline"/>
        <w:outlineLvl w:val="1"/>
        <w:rPr>
          <w:rFonts w:ascii="Times New Roman" w:eastAsia="Times New Roman" w:hAnsi="Times New Roman" w:cs="Times New Roman"/>
          <w:b/>
          <w:bCs/>
          <w:color w:val="000000"/>
          <w:sz w:val="35"/>
          <w:szCs w:val="35"/>
          <w:lang w:eastAsia="en-AU"/>
        </w:rPr>
      </w:pPr>
      <w:r w:rsidRPr="009265A5">
        <w:rPr>
          <w:rFonts w:ascii="Times New Roman" w:eastAsia="Times New Roman" w:hAnsi="Times New Roman" w:cs="Times New Roman"/>
          <w:b/>
          <w:bCs/>
          <w:color w:val="000000"/>
          <w:sz w:val="35"/>
          <w:szCs w:val="35"/>
          <w:lang w:eastAsia="en-AU"/>
        </w:rPr>
        <w:t>Rise of the one-armed bandits</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Throughout Hooked, Beresford reveals how gambling operators, together with interconnected sectors, including professional sport codes, advertisers, broadcasters, hotels and clubs, reap substantial financial rewards from gambling.</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This gambling ecosystem is rightly characterised as predatory and powerful. Its collective influence is reinforced by strong ties to political parties, politicians and key decision-makers, who consistently prioritise profits over public health. States and territories addicted to gambling taxes only add to the failure to prioritise community wellbeing.</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The early chapters of the book are devoted to the pokies and how these original one-armed bandits came to take over the community club sector with little, if any, real scrutiny of their potential to damage individuals and the wider community.</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Beresford argues pokies did not spread accidentally or organically, but through deliberate policy choices that prioritised revenue, mass entertainment and club expansion, while ignoring early warnings about addiction and social harm.</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lastRenderedPageBreak/>
        <w:t xml:space="preserve">Pokies were introduced against a backdrop of </w:t>
      </w:r>
      <w:proofErr w:type="spellStart"/>
      <w:r w:rsidRPr="009265A5">
        <w:rPr>
          <w:rFonts w:ascii="Times New Roman" w:eastAsia="Times New Roman" w:hAnsi="Times New Roman" w:cs="Times New Roman"/>
          <w:color w:val="000000"/>
          <w:sz w:val="27"/>
          <w:szCs w:val="27"/>
          <w:lang w:eastAsia="en-AU"/>
        </w:rPr>
        <w:t>postwar</w:t>
      </w:r>
      <w:proofErr w:type="spellEnd"/>
      <w:r w:rsidRPr="009265A5">
        <w:rPr>
          <w:rFonts w:ascii="Times New Roman" w:eastAsia="Times New Roman" w:hAnsi="Times New Roman" w:cs="Times New Roman"/>
          <w:color w:val="000000"/>
          <w:sz w:val="27"/>
          <w:szCs w:val="27"/>
          <w:lang w:eastAsia="en-AU"/>
        </w:rPr>
        <w:t xml:space="preserve"> social change. Rapid suburban expansion meant many new communities lacked social amenities. A mandated six o’clock closing time turned pubs into sites of binge drinking rather than sociability. Community clubs were seen as a solution.</w:t>
      </w:r>
    </w:p>
    <w:p w:rsid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The key political driver was the NSW Labor government led by </w:t>
      </w:r>
      <w:hyperlink r:id="rId19" w:history="1">
        <w:r w:rsidRPr="009265A5">
          <w:rPr>
            <w:rFonts w:ascii="Times New Roman" w:eastAsia="Times New Roman" w:hAnsi="Times New Roman" w:cs="Times New Roman"/>
            <w:color w:val="4B4B4E"/>
            <w:sz w:val="27"/>
            <w:szCs w:val="27"/>
            <w:u w:val="single"/>
            <w:lang w:eastAsia="en-AU"/>
          </w:rPr>
          <w:t>John Joseph Cahill</w:t>
        </w:r>
      </w:hyperlink>
      <w:r w:rsidRPr="009265A5">
        <w:rPr>
          <w:rFonts w:ascii="Times New Roman" w:eastAsia="Times New Roman" w:hAnsi="Times New Roman" w:cs="Times New Roman"/>
          <w:color w:val="000000"/>
          <w:sz w:val="27"/>
          <w:szCs w:val="27"/>
          <w:lang w:eastAsia="en-AU"/>
        </w:rPr>
        <w:t>. In 1954, its liberalisation of club licensing laws saw a dramatic increase in the number of registered clubs. This was the crucial first step that allowed pokies to spread. Clubs quickly multiplied across suburbs and regional towns. In 1954, there were 398 registered clubs; by 1956, the number had </w:t>
      </w:r>
      <w:hyperlink r:id="rId20" w:history="1">
        <w:r w:rsidRPr="009265A5">
          <w:rPr>
            <w:rFonts w:ascii="Times New Roman" w:eastAsia="Times New Roman" w:hAnsi="Times New Roman" w:cs="Times New Roman"/>
            <w:color w:val="4B4B4E"/>
            <w:sz w:val="27"/>
            <w:szCs w:val="27"/>
            <w:u w:val="single"/>
            <w:lang w:eastAsia="en-AU"/>
          </w:rPr>
          <w:t>more than doubled to 928</w:t>
        </w:r>
      </w:hyperlink>
      <w:r w:rsidRPr="009265A5">
        <w:rPr>
          <w:rFonts w:ascii="Times New Roman" w:eastAsia="Times New Roman" w:hAnsi="Times New Roman" w:cs="Times New Roman"/>
          <w:color w:val="000000"/>
          <w:sz w:val="27"/>
          <w:szCs w:val="27"/>
          <w:lang w:eastAsia="en-AU"/>
        </w:rPr>
        <w:t>.</w:t>
      </w:r>
    </w:p>
    <w:p w:rsidR="009265A5" w:rsidRPr="009265A5" w:rsidRDefault="009265A5" w:rsidP="009265A5">
      <w:pPr>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noProof/>
          <w:color w:val="000000"/>
          <w:sz w:val="27"/>
          <w:szCs w:val="27"/>
          <w:lang w:eastAsia="en-AU"/>
        </w:rPr>
        <w:drawing>
          <wp:inline distT="0" distB="0" distL="0" distR="0" wp14:anchorId="7876092F" wp14:editId="634B4CFA">
            <wp:extent cx="2644959" cy="3326642"/>
            <wp:effectExtent l="0" t="0" r="3175" b="7620"/>
            <wp:docPr id="5" name="Picture 5" descr="https://images.theconversation.com/files/721207/original/file-20260302-57-qn1m4q.jpg?ixlib=rb-4.1.0&amp;q=45&amp;auto=format&amp;w=237&amp;fit=c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s.theconversation.com/files/721207/original/file-20260302-57-qn1m4q.jpg?ixlib=rb-4.1.0&amp;q=45&amp;auto=format&amp;w=237&amp;fit=cli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51798" cy="3335243"/>
                    </a:xfrm>
                    <a:prstGeom prst="rect">
                      <a:avLst/>
                    </a:prstGeom>
                    <a:noFill/>
                    <a:ln>
                      <a:noFill/>
                    </a:ln>
                  </pic:spPr>
                </pic:pic>
              </a:graphicData>
            </a:graphic>
          </wp:inline>
        </w:drawing>
      </w:r>
    </w:p>
    <w:p w:rsidR="009265A5" w:rsidRPr="009265A5" w:rsidRDefault="009265A5" w:rsidP="009265A5">
      <w:pPr>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0"/>
          <w:szCs w:val="20"/>
          <w:bdr w:val="none" w:sz="0" w:space="0" w:color="auto" w:frame="1"/>
          <w:lang w:eastAsia="en-AU"/>
        </w:rPr>
        <w:t>NSW premier John Joseph Cahill liberalised club licensing laws in 1954.</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In 1956, poker machines were legalised in NSW for exclusive use in registered clubs. Hotels and pubs were excluded. The bill was introduced by </w:t>
      </w:r>
      <w:hyperlink r:id="rId22" w:history="1">
        <w:r w:rsidRPr="009265A5">
          <w:rPr>
            <w:rFonts w:ascii="Times New Roman" w:eastAsia="Times New Roman" w:hAnsi="Times New Roman" w:cs="Times New Roman"/>
            <w:color w:val="4B4B4E"/>
            <w:sz w:val="27"/>
            <w:szCs w:val="27"/>
            <w:u w:val="single"/>
            <w:lang w:eastAsia="en-AU"/>
          </w:rPr>
          <w:t>C.A. “Gus” Kelly</w:t>
        </w:r>
      </w:hyperlink>
      <w:r w:rsidRPr="009265A5">
        <w:rPr>
          <w:rFonts w:ascii="Times New Roman" w:eastAsia="Times New Roman" w:hAnsi="Times New Roman" w:cs="Times New Roman"/>
          <w:color w:val="000000"/>
          <w:sz w:val="27"/>
          <w:szCs w:val="27"/>
          <w:lang w:eastAsia="en-AU"/>
        </w:rPr>
        <w:t>, Minister for Cooperative Societies, who justified pokies with the blunt claim that Australians loved gambling. This action transformed clubs into powerful gambling venues almost overnight.</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 xml:space="preserve">This was not framed as a gambling expansion, but as a way to fund clubs beyond beer sales and a </w:t>
      </w:r>
      <w:proofErr w:type="gramStart"/>
      <w:r w:rsidRPr="009265A5">
        <w:rPr>
          <w:rFonts w:ascii="Times New Roman" w:eastAsia="Times New Roman" w:hAnsi="Times New Roman" w:cs="Times New Roman"/>
          <w:color w:val="000000"/>
          <w:sz w:val="27"/>
          <w:szCs w:val="27"/>
          <w:lang w:eastAsia="en-AU"/>
        </w:rPr>
        <w:t>means</w:t>
      </w:r>
      <w:proofErr w:type="gramEnd"/>
      <w:r w:rsidRPr="009265A5">
        <w:rPr>
          <w:rFonts w:ascii="Times New Roman" w:eastAsia="Times New Roman" w:hAnsi="Times New Roman" w:cs="Times New Roman"/>
          <w:color w:val="000000"/>
          <w:sz w:val="27"/>
          <w:szCs w:val="27"/>
          <w:lang w:eastAsia="en-AU"/>
        </w:rPr>
        <w:t xml:space="preserve"> of supporting working-class leisure. It was a politically palatable form of gambling, because clubs were “not for profit”. Beresford shows that this masked the real motivation: it created a dependable revenue stream for clubs and government.</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Other states would gradually follow the lead of NSW. By the late 1990s, pokies were </w:t>
      </w:r>
      <w:hyperlink r:id="rId23" w:history="1">
        <w:r w:rsidRPr="009265A5">
          <w:rPr>
            <w:rFonts w:ascii="Times New Roman" w:eastAsia="Times New Roman" w:hAnsi="Times New Roman" w:cs="Times New Roman"/>
            <w:color w:val="4B4B4E"/>
            <w:sz w:val="27"/>
            <w:szCs w:val="27"/>
            <w:u w:val="single"/>
            <w:lang w:eastAsia="en-AU"/>
          </w:rPr>
          <w:t>legal in all Australian states and territories</w:t>
        </w:r>
      </w:hyperlink>
      <w:r w:rsidRPr="009265A5">
        <w:rPr>
          <w:rFonts w:ascii="Times New Roman" w:eastAsia="Times New Roman" w:hAnsi="Times New Roman" w:cs="Times New Roman"/>
          <w:color w:val="000000"/>
          <w:sz w:val="27"/>
          <w:szCs w:val="27"/>
          <w:lang w:eastAsia="en-AU"/>
        </w:rPr>
        <w:t>; only in Western Australia are they confined to casinos.</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Ironically, the “not for profit” status of clubs accelerated pokies’ growth. The clubs could not distribute their profits, so the gambling revenue was reinvested in bigger buildings, more machines and more amenities, creating a self-reinforcing cycle. More machines = more revenue = more expansion = more gamblers.</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Beresford argues that clubs subordinated their social mission to economic interests, becoming gambling enterprises in all but name. They quickly recognised the political influence they wielded through their large memberships. By the 1960s, NSW clubs had become a powerful political lobby.</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Beresford concludes that pokies were imposed on communities, particularly in working-class areas, despite weak public support. Community opposition </w:t>
      </w:r>
      <w:hyperlink r:id="rId24" w:history="1">
        <w:r w:rsidRPr="009265A5">
          <w:rPr>
            <w:rFonts w:ascii="Times New Roman" w:eastAsia="Times New Roman" w:hAnsi="Times New Roman" w:cs="Times New Roman"/>
            <w:color w:val="4B4B4E"/>
            <w:sz w:val="27"/>
            <w:szCs w:val="27"/>
            <w:u w:val="single"/>
            <w:lang w:eastAsia="en-AU"/>
          </w:rPr>
          <w:t>existed from the beginning</w:t>
        </w:r>
      </w:hyperlink>
      <w:r w:rsidRPr="009265A5">
        <w:rPr>
          <w:rFonts w:ascii="Times New Roman" w:eastAsia="Times New Roman" w:hAnsi="Times New Roman" w:cs="Times New Roman"/>
          <w:color w:val="000000"/>
          <w:sz w:val="27"/>
          <w:szCs w:val="27"/>
          <w:lang w:eastAsia="en-AU"/>
        </w:rPr>
        <w:t xml:space="preserve">. Surveys in the </w:t>
      </w:r>
      <w:r w:rsidRPr="009265A5">
        <w:rPr>
          <w:rFonts w:ascii="Times New Roman" w:eastAsia="Times New Roman" w:hAnsi="Times New Roman" w:cs="Times New Roman"/>
          <w:color w:val="000000"/>
          <w:sz w:val="27"/>
          <w:szCs w:val="27"/>
          <w:lang w:eastAsia="en-AU"/>
        </w:rPr>
        <w:lastRenderedPageBreak/>
        <w:t>1950s showed most people opposed pokies. Churches, retailers, women’s groups and some politicians warned of harm. Even many gamblers supported banning the machines.</w:t>
      </w:r>
    </w:p>
    <w:p w:rsidR="009265A5" w:rsidRPr="009265A5" w:rsidRDefault="009265A5" w:rsidP="009265A5">
      <w:pPr>
        <w:spacing w:after="180"/>
        <w:textAlignment w:val="baseline"/>
        <w:outlineLvl w:val="1"/>
        <w:rPr>
          <w:rFonts w:ascii="Times New Roman" w:eastAsia="Times New Roman" w:hAnsi="Times New Roman" w:cs="Times New Roman"/>
          <w:b/>
          <w:bCs/>
          <w:color w:val="000000"/>
          <w:sz w:val="35"/>
          <w:szCs w:val="35"/>
          <w:lang w:eastAsia="en-AU"/>
        </w:rPr>
      </w:pPr>
      <w:r w:rsidRPr="009265A5">
        <w:rPr>
          <w:rFonts w:ascii="Times New Roman" w:eastAsia="Times New Roman" w:hAnsi="Times New Roman" w:cs="Times New Roman"/>
          <w:b/>
          <w:bCs/>
          <w:color w:val="000000"/>
          <w:sz w:val="35"/>
          <w:szCs w:val="35"/>
          <w:lang w:eastAsia="en-AU"/>
        </w:rPr>
        <w:t>Policy failures</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A key appeal of Hooked lies in Beresford’s talent for compelling storytelling. He brings the political and social history of gambling vividly to life. The book contains stories of criminality and downright underhandedness which, at times, feel as if you are inside the fabricated plot of a crime novel.</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Beresford colourfully recounts stories of corruption, guided by a keen eye for detail. These include, for example, an examination of the </w:t>
      </w:r>
      <w:hyperlink r:id="rId25" w:history="1">
        <w:r w:rsidRPr="009265A5">
          <w:rPr>
            <w:rFonts w:ascii="Times New Roman" w:eastAsia="Times New Roman" w:hAnsi="Times New Roman" w:cs="Times New Roman"/>
            <w:color w:val="4B4B4E"/>
            <w:sz w:val="27"/>
            <w:szCs w:val="27"/>
            <w:u w:val="single"/>
            <w:lang w:eastAsia="en-AU"/>
          </w:rPr>
          <w:t>allegations of bribery and manipulation</w:t>
        </w:r>
      </w:hyperlink>
      <w:r w:rsidRPr="009265A5">
        <w:rPr>
          <w:rFonts w:ascii="Times New Roman" w:eastAsia="Times New Roman" w:hAnsi="Times New Roman" w:cs="Times New Roman"/>
          <w:color w:val="000000"/>
          <w:sz w:val="27"/>
          <w:szCs w:val="27"/>
          <w:lang w:eastAsia="en-AU"/>
        </w:rPr>
        <w:t> surrounding the establishment in 1973 of Wrest Point Casino in Hobart. There are stories from NSW of </w:t>
      </w:r>
      <w:hyperlink r:id="rId26" w:history="1">
        <w:r w:rsidRPr="009265A5">
          <w:rPr>
            <w:rFonts w:ascii="Times New Roman" w:eastAsia="Times New Roman" w:hAnsi="Times New Roman" w:cs="Times New Roman"/>
            <w:color w:val="4B4B4E"/>
            <w:sz w:val="27"/>
            <w:szCs w:val="27"/>
            <w:u w:val="single"/>
            <w:lang w:eastAsia="en-AU"/>
          </w:rPr>
          <w:t>illegal casinos and baccarat schools</w:t>
        </w:r>
      </w:hyperlink>
      <w:r w:rsidRPr="009265A5">
        <w:rPr>
          <w:rFonts w:ascii="Times New Roman" w:eastAsia="Times New Roman" w:hAnsi="Times New Roman" w:cs="Times New Roman"/>
          <w:color w:val="000000"/>
          <w:sz w:val="27"/>
          <w:szCs w:val="27"/>
          <w:lang w:eastAsia="en-AU"/>
        </w:rPr>
        <w:t> flourishing under police and political protection. In Queensland, gambling-related corruption was formalised into a system known as “</w:t>
      </w:r>
      <w:hyperlink r:id="rId27" w:history="1">
        <w:r w:rsidRPr="009265A5">
          <w:rPr>
            <w:rFonts w:ascii="Times New Roman" w:eastAsia="Times New Roman" w:hAnsi="Times New Roman" w:cs="Times New Roman"/>
            <w:color w:val="4B4B4E"/>
            <w:sz w:val="27"/>
            <w:szCs w:val="27"/>
            <w:u w:val="single"/>
            <w:lang w:eastAsia="en-AU"/>
          </w:rPr>
          <w:t>The Joke</w:t>
        </w:r>
      </w:hyperlink>
      <w:r w:rsidRPr="009265A5">
        <w:rPr>
          <w:rFonts w:ascii="Times New Roman" w:eastAsia="Times New Roman" w:hAnsi="Times New Roman" w:cs="Times New Roman"/>
          <w:color w:val="000000"/>
          <w:sz w:val="27"/>
          <w:szCs w:val="27"/>
          <w:lang w:eastAsia="en-AU"/>
        </w:rPr>
        <w:t>”, with senior police acting as “bagmen” collecting and distributing bribes from illegal casinos, bookmakers and massage parlours.</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Early in Hooked, Beresford asks: “How did clubs grow so big, so unaccountable and so powerful?” In short, the blame is placed on governments and their “gross failure of public policy”. As the various modes of commercial gambling are addressed, the response is invariably the same.</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How did online and sports betting operators build and sustain a predatory, profit-at-any-cost business model? Failed public policy.</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How did casinos go unchecked for so long, despite allegations of </w:t>
      </w:r>
      <w:hyperlink r:id="rId28" w:history="1">
        <w:r w:rsidRPr="009265A5">
          <w:rPr>
            <w:rFonts w:ascii="Times New Roman" w:eastAsia="Times New Roman" w:hAnsi="Times New Roman" w:cs="Times New Roman"/>
            <w:color w:val="4B4B4E"/>
            <w:sz w:val="27"/>
            <w:szCs w:val="27"/>
            <w:u w:val="single"/>
            <w:lang w:eastAsia="en-AU"/>
          </w:rPr>
          <w:t>money laundering</w:t>
        </w:r>
      </w:hyperlink>
      <w:r w:rsidRPr="009265A5">
        <w:rPr>
          <w:rFonts w:ascii="Times New Roman" w:eastAsia="Times New Roman" w:hAnsi="Times New Roman" w:cs="Times New Roman"/>
          <w:color w:val="000000"/>
          <w:sz w:val="27"/>
          <w:szCs w:val="27"/>
          <w:lang w:eastAsia="en-AU"/>
        </w:rPr>
        <w:t> and, in one case, </w:t>
      </w:r>
      <w:hyperlink r:id="rId29" w:history="1">
        <w:r w:rsidRPr="009265A5">
          <w:rPr>
            <w:rFonts w:ascii="Times New Roman" w:eastAsia="Times New Roman" w:hAnsi="Times New Roman" w:cs="Times New Roman"/>
            <w:color w:val="4B4B4E"/>
            <w:sz w:val="27"/>
            <w:szCs w:val="27"/>
            <w:u w:val="single"/>
            <w:lang w:eastAsia="en-AU"/>
          </w:rPr>
          <w:t>sex trafficking</w:t>
        </w:r>
      </w:hyperlink>
      <w:r w:rsidRPr="009265A5">
        <w:rPr>
          <w:rFonts w:ascii="Times New Roman" w:eastAsia="Times New Roman" w:hAnsi="Times New Roman" w:cs="Times New Roman"/>
          <w:color w:val="000000"/>
          <w:sz w:val="27"/>
          <w:szCs w:val="27"/>
          <w:lang w:eastAsia="en-AU"/>
        </w:rPr>
        <w:t>? Failed public policy.</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After harrowing evidence of </w:t>
      </w:r>
      <w:hyperlink r:id="rId30" w:history="1">
        <w:r w:rsidRPr="009265A5">
          <w:rPr>
            <w:rFonts w:ascii="Times New Roman" w:eastAsia="Times New Roman" w:hAnsi="Times New Roman" w:cs="Times New Roman"/>
            <w:color w:val="4B4B4E"/>
            <w:sz w:val="27"/>
            <w:szCs w:val="27"/>
            <w:u w:val="single"/>
            <w:lang w:eastAsia="en-AU"/>
          </w:rPr>
          <w:t>animal neglect</w:t>
        </w:r>
      </w:hyperlink>
      <w:r w:rsidRPr="009265A5">
        <w:rPr>
          <w:rFonts w:ascii="Times New Roman" w:eastAsia="Times New Roman" w:hAnsi="Times New Roman" w:cs="Times New Roman"/>
          <w:color w:val="000000"/>
          <w:sz w:val="27"/>
          <w:szCs w:val="27"/>
          <w:lang w:eastAsia="en-AU"/>
        </w:rPr>
        <w:t> surfaced and prompted an almost immediate industry shutdown, how did NSW greyhound racing get the green light to rebuild and grow to be even more powerful? Failed public policy.</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Hooked describes how sports and gambling have become deeply intertwined. Major sport codes, such as the Australian Football League (AFL) and the National Rugby League (NRL), have negotiated </w:t>
      </w:r>
      <w:hyperlink r:id="rId31" w:history="1">
        <w:r w:rsidRPr="009265A5">
          <w:rPr>
            <w:rFonts w:ascii="Times New Roman" w:eastAsia="Times New Roman" w:hAnsi="Times New Roman" w:cs="Times New Roman"/>
            <w:color w:val="4B4B4E"/>
            <w:sz w:val="27"/>
            <w:szCs w:val="27"/>
            <w:u w:val="single"/>
            <w:lang w:eastAsia="en-AU"/>
          </w:rPr>
          <w:t>substantial commercial agreements with betting companies</w:t>
        </w:r>
      </w:hyperlink>
      <w:r w:rsidRPr="009265A5">
        <w:rPr>
          <w:rFonts w:ascii="Times New Roman" w:eastAsia="Times New Roman" w:hAnsi="Times New Roman" w:cs="Times New Roman"/>
          <w:color w:val="000000"/>
          <w:sz w:val="27"/>
          <w:szCs w:val="27"/>
          <w:lang w:eastAsia="en-AU"/>
        </w:rPr>
        <w:t>. How has this happened? Again, failed public policy.</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While Hooked is rich in detail, some readers may argue the critique of commercial gambling and government somewhat one-sided. Given the scale of harm documented, however, Beresford’s stance in my view is justified.</w:t>
      </w:r>
    </w:p>
    <w:p w:rsidR="009265A5" w:rsidRDefault="009265A5" w:rsidP="009265A5">
      <w:pPr>
        <w:textAlignment w:val="baseline"/>
        <w:rPr>
          <w:rFonts w:ascii="Times New Roman" w:eastAsia="Times New Roman" w:hAnsi="Times New Roman" w:cs="Times New Roman"/>
          <w:color w:val="000000"/>
          <w:sz w:val="20"/>
          <w:szCs w:val="20"/>
          <w:bdr w:val="none" w:sz="0" w:space="0" w:color="auto" w:frame="1"/>
          <w:lang w:eastAsia="en-AU"/>
        </w:rPr>
      </w:pPr>
      <w:r w:rsidRPr="009265A5">
        <w:rPr>
          <w:rFonts w:ascii="Times New Roman" w:eastAsia="Times New Roman" w:hAnsi="Times New Roman" w:cs="Times New Roman"/>
          <w:noProof/>
          <w:color w:val="000000"/>
          <w:sz w:val="27"/>
          <w:szCs w:val="27"/>
          <w:lang w:eastAsia="en-AU"/>
        </w:rPr>
        <w:lastRenderedPageBreak/>
        <w:drawing>
          <wp:inline distT="0" distB="0" distL="0" distR="0" wp14:anchorId="790AE5F4" wp14:editId="3224B5A1">
            <wp:extent cx="2259330" cy="3392805"/>
            <wp:effectExtent l="0" t="0" r="7620" b="0"/>
            <wp:docPr id="4" name="Picture 4" descr="https://images.theconversation.com/files/711131/original/file-20260107-56-hlc5xw.jpg?ixlib=rb-4.1.0&amp;q=45&amp;auto=format&amp;w=237&amp;fit=c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ages.theconversation.com/files/711131/original/file-20260107-56-hlc5xw.jpg?ixlib=rb-4.1.0&amp;q=45&amp;auto=format&amp;w=237&amp;fit=cli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59330" cy="3392805"/>
                    </a:xfrm>
                    <a:prstGeom prst="rect">
                      <a:avLst/>
                    </a:prstGeom>
                    <a:noFill/>
                    <a:ln>
                      <a:noFill/>
                    </a:ln>
                  </pic:spPr>
                </pic:pic>
              </a:graphicData>
            </a:graphic>
          </wp:inline>
        </w:drawing>
      </w:r>
    </w:p>
    <w:p w:rsidR="009265A5" w:rsidRPr="009265A5" w:rsidRDefault="009265A5" w:rsidP="009265A5">
      <w:pPr>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0"/>
          <w:szCs w:val="20"/>
          <w:bdr w:val="none" w:sz="0" w:space="0" w:color="auto" w:frame="1"/>
          <w:lang w:eastAsia="en-AU"/>
        </w:rPr>
        <w:t>Quentin Beresford.</w:t>
      </w:r>
      <w:r w:rsidRPr="009265A5">
        <w:rPr>
          <w:rFonts w:ascii="Times New Roman" w:eastAsia="Times New Roman" w:hAnsi="Times New Roman" w:cs="Times New Roman"/>
          <w:color w:val="000000"/>
          <w:sz w:val="27"/>
          <w:szCs w:val="27"/>
          <w:lang w:eastAsia="en-AU"/>
        </w:rPr>
        <w:t> </w:t>
      </w:r>
      <w:proofErr w:type="spellStart"/>
      <w:r w:rsidRPr="009265A5">
        <w:rPr>
          <w:rFonts w:ascii="Times New Roman" w:eastAsia="Times New Roman" w:hAnsi="Times New Roman" w:cs="Times New Roman"/>
          <w:color w:val="212121"/>
          <w:sz w:val="20"/>
          <w:szCs w:val="20"/>
          <w:bdr w:val="none" w:sz="0" w:space="0" w:color="auto" w:frame="1"/>
          <w:lang w:eastAsia="en-AU"/>
        </w:rPr>
        <w:fldChar w:fldCharType="begin"/>
      </w:r>
      <w:r w:rsidRPr="009265A5">
        <w:rPr>
          <w:rFonts w:ascii="Times New Roman" w:eastAsia="Times New Roman" w:hAnsi="Times New Roman" w:cs="Times New Roman"/>
          <w:color w:val="212121"/>
          <w:sz w:val="20"/>
          <w:szCs w:val="20"/>
          <w:bdr w:val="none" w:sz="0" w:space="0" w:color="auto" w:frame="1"/>
          <w:lang w:eastAsia="en-AU"/>
        </w:rPr>
        <w:instrText xml:space="preserve"> HYPERLINK "https://unsw.press/authors/quentin-beresford/" </w:instrText>
      </w:r>
      <w:r w:rsidRPr="009265A5">
        <w:rPr>
          <w:rFonts w:ascii="Times New Roman" w:eastAsia="Times New Roman" w:hAnsi="Times New Roman" w:cs="Times New Roman"/>
          <w:color w:val="212121"/>
          <w:sz w:val="20"/>
          <w:szCs w:val="20"/>
          <w:bdr w:val="none" w:sz="0" w:space="0" w:color="auto" w:frame="1"/>
          <w:lang w:eastAsia="en-AU"/>
        </w:rPr>
        <w:fldChar w:fldCharType="separate"/>
      </w:r>
      <w:r w:rsidRPr="009265A5">
        <w:rPr>
          <w:rFonts w:ascii="Times New Roman" w:eastAsia="Times New Roman" w:hAnsi="Times New Roman" w:cs="Times New Roman"/>
          <w:color w:val="212121"/>
          <w:sz w:val="20"/>
          <w:szCs w:val="20"/>
          <w:u w:val="single"/>
          <w:bdr w:val="none" w:sz="0" w:space="0" w:color="auto" w:frame="1"/>
          <w:lang w:eastAsia="en-AU"/>
        </w:rPr>
        <w:t>NewSouth</w:t>
      </w:r>
      <w:proofErr w:type="spellEnd"/>
      <w:r w:rsidRPr="009265A5">
        <w:rPr>
          <w:rFonts w:ascii="Times New Roman" w:eastAsia="Times New Roman" w:hAnsi="Times New Roman" w:cs="Times New Roman"/>
          <w:color w:val="212121"/>
          <w:sz w:val="20"/>
          <w:szCs w:val="20"/>
          <w:bdr w:val="none" w:sz="0" w:space="0" w:color="auto" w:frame="1"/>
          <w:lang w:eastAsia="en-AU"/>
        </w:rPr>
        <w:fldChar w:fldCharType="end"/>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One minor criticism (perhaps revealing my own research instincts) is the book’s reliance on media reporting as a primary source. While some original research is acknowledged, much of the work of highly regarded gambling scholars is engaged with indirectly, via media accounts rather than through direct citation. That said, this is likely a deliberate and effective strategy, broadening the book’s appeal well beyond an academic readership.</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Hooked provides a faithful and compelling account of how power, unfettered greed and poor policy decisions have enabled gambling’s unhealthy expansion.</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The solutions Beresford proposes, such as tighter regulatory controls via a national legislative agenda, total bans on gambling advertising, mandatory pre-commitment systems and banning political donations from gambling companies, have been circling for decades. They are sensible, well evidenced and should not be considered overly optimistic. Changes are needed.</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At some point, the presiding governments in every state and territory, along with our national leaders, must accept that it is time to break the chokehold commercial gambling has on this country and relinquish their </w:t>
      </w:r>
      <w:hyperlink r:id="rId33" w:history="1">
        <w:r w:rsidRPr="009265A5">
          <w:rPr>
            <w:rFonts w:ascii="Times New Roman" w:eastAsia="Times New Roman" w:hAnsi="Times New Roman" w:cs="Times New Roman"/>
            <w:color w:val="4B4B4E"/>
            <w:sz w:val="27"/>
            <w:szCs w:val="27"/>
            <w:u w:val="single"/>
            <w:lang w:eastAsia="en-AU"/>
          </w:rPr>
          <w:t>addiction to gambling taxation</w:t>
        </w:r>
      </w:hyperlink>
      <w:r w:rsidRPr="009265A5">
        <w:rPr>
          <w:rFonts w:ascii="Times New Roman" w:eastAsia="Times New Roman" w:hAnsi="Times New Roman" w:cs="Times New Roman"/>
          <w:color w:val="000000"/>
          <w:sz w:val="27"/>
          <w:szCs w:val="27"/>
          <w:lang w:eastAsia="en-AU"/>
        </w:rPr>
        <w:t>. Placing the health and wellbeing of Australians must be at the forefront of much needed (and wanted) gambling reform.</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Hooked is essential reading for policymakers, educators and anyone concerned about the intersection of corporate power and social wellbeing. It shines a light on an issue often hidden behind glossy advertising and political spin. It urges Australians to confront the true cost of gambling.</w:t>
      </w:r>
    </w:p>
    <w:p w:rsidR="009265A5" w:rsidRPr="009265A5" w:rsidRDefault="009265A5" w:rsidP="009265A5">
      <w:pPr>
        <w:numPr>
          <w:ilvl w:val="0"/>
          <w:numId w:val="1"/>
        </w:numPr>
        <w:ind w:left="2235"/>
        <w:textAlignment w:val="baseline"/>
        <w:rPr>
          <w:rFonts w:eastAsia="Times New Roman"/>
          <w:color w:val="000000"/>
          <w:sz w:val="20"/>
          <w:szCs w:val="20"/>
          <w:lang w:eastAsia="en-AU"/>
        </w:rPr>
      </w:pPr>
      <w:hyperlink r:id="rId34" w:history="1">
        <w:r w:rsidRPr="009265A5">
          <w:rPr>
            <w:rFonts w:eastAsia="Times New Roman"/>
            <w:b/>
            <w:bCs/>
            <w:color w:val="4B4B4E"/>
            <w:sz w:val="17"/>
            <w:szCs w:val="17"/>
            <w:u w:val="single"/>
            <w:shd w:val="clear" w:color="auto" w:fill="F2F2F3"/>
            <w:lang w:eastAsia="en-AU"/>
          </w:rPr>
          <w:t>Gambling</w:t>
        </w:r>
      </w:hyperlink>
    </w:p>
    <w:p w:rsidR="009265A5" w:rsidRPr="009265A5" w:rsidRDefault="009265A5" w:rsidP="009265A5">
      <w:pPr>
        <w:numPr>
          <w:ilvl w:val="0"/>
          <w:numId w:val="1"/>
        </w:numPr>
        <w:ind w:left="2235"/>
        <w:textAlignment w:val="baseline"/>
        <w:rPr>
          <w:rFonts w:eastAsia="Times New Roman"/>
          <w:color w:val="000000"/>
          <w:sz w:val="20"/>
          <w:szCs w:val="20"/>
          <w:lang w:eastAsia="en-AU"/>
        </w:rPr>
      </w:pPr>
      <w:hyperlink r:id="rId35" w:history="1">
        <w:r w:rsidRPr="009265A5">
          <w:rPr>
            <w:rFonts w:eastAsia="Times New Roman"/>
            <w:b/>
            <w:bCs/>
            <w:color w:val="4B4B4E"/>
            <w:sz w:val="17"/>
            <w:szCs w:val="17"/>
            <w:u w:val="single"/>
            <w:shd w:val="clear" w:color="auto" w:fill="F2F2F3"/>
            <w:lang w:eastAsia="en-AU"/>
          </w:rPr>
          <w:t>Non-fiction</w:t>
        </w:r>
      </w:hyperlink>
    </w:p>
    <w:p w:rsidR="009265A5" w:rsidRPr="009265A5" w:rsidRDefault="009265A5" w:rsidP="009265A5">
      <w:pPr>
        <w:numPr>
          <w:ilvl w:val="0"/>
          <w:numId w:val="1"/>
        </w:numPr>
        <w:ind w:left="2235"/>
        <w:textAlignment w:val="baseline"/>
        <w:rPr>
          <w:rFonts w:eastAsia="Times New Roman"/>
          <w:color w:val="000000"/>
          <w:sz w:val="20"/>
          <w:szCs w:val="20"/>
          <w:lang w:eastAsia="en-AU"/>
        </w:rPr>
      </w:pPr>
      <w:hyperlink r:id="rId36" w:history="1">
        <w:r w:rsidRPr="009265A5">
          <w:rPr>
            <w:rFonts w:eastAsia="Times New Roman"/>
            <w:b/>
            <w:bCs/>
            <w:color w:val="4B4B4E"/>
            <w:sz w:val="17"/>
            <w:szCs w:val="17"/>
            <w:u w:val="single"/>
            <w:shd w:val="clear" w:color="auto" w:fill="F2F2F3"/>
            <w:lang w:eastAsia="en-AU"/>
          </w:rPr>
          <w:t>Book reviews</w:t>
        </w:r>
      </w:hyperlink>
    </w:p>
    <w:p w:rsidR="009265A5" w:rsidRPr="009265A5" w:rsidRDefault="009265A5" w:rsidP="009265A5">
      <w:pPr>
        <w:numPr>
          <w:ilvl w:val="0"/>
          <w:numId w:val="1"/>
        </w:numPr>
        <w:ind w:left="2235"/>
        <w:textAlignment w:val="baseline"/>
        <w:rPr>
          <w:rFonts w:eastAsia="Times New Roman"/>
          <w:color w:val="000000"/>
          <w:sz w:val="20"/>
          <w:szCs w:val="20"/>
          <w:lang w:eastAsia="en-AU"/>
        </w:rPr>
      </w:pPr>
      <w:hyperlink r:id="rId37" w:history="1">
        <w:r w:rsidRPr="009265A5">
          <w:rPr>
            <w:rFonts w:eastAsia="Times New Roman"/>
            <w:b/>
            <w:bCs/>
            <w:color w:val="4B4B4E"/>
            <w:sz w:val="17"/>
            <w:szCs w:val="17"/>
            <w:u w:val="single"/>
            <w:shd w:val="clear" w:color="auto" w:fill="F2F2F3"/>
            <w:lang w:eastAsia="en-AU"/>
          </w:rPr>
          <w:t>Gambling harm</w:t>
        </w:r>
      </w:hyperlink>
    </w:p>
    <w:p w:rsidR="009265A5" w:rsidRPr="009265A5" w:rsidRDefault="009265A5" w:rsidP="009265A5">
      <w:pPr>
        <w:pBdr>
          <w:bottom w:val="single" w:sz="6" w:space="4" w:color="auto"/>
        </w:pBdr>
        <w:spacing w:after="180" w:line="270" w:lineRule="atLeast"/>
        <w:textAlignment w:val="baseline"/>
        <w:outlineLvl w:val="2"/>
        <w:rPr>
          <w:rFonts w:eastAsia="Times New Roman"/>
          <w:b/>
          <w:bCs/>
          <w:color w:val="000000"/>
          <w:sz w:val="17"/>
          <w:szCs w:val="17"/>
          <w:lang w:eastAsia="en-AU"/>
        </w:rPr>
      </w:pPr>
      <w:r w:rsidRPr="009265A5">
        <w:rPr>
          <w:rFonts w:eastAsia="Times New Roman"/>
          <w:b/>
          <w:bCs/>
          <w:color w:val="000000"/>
          <w:sz w:val="17"/>
          <w:szCs w:val="17"/>
          <w:lang w:eastAsia="en-AU"/>
        </w:rPr>
        <w:t>Author</w:t>
      </w:r>
    </w:p>
    <w:p w:rsidR="009265A5" w:rsidRPr="009265A5" w:rsidRDefault="009265A5" w:rsidP="009265A5">
      <w:pPr>
        <w:numPr>
          <w:ilvl w:val="0"/>
          <w:numId w:val="2"/>
        </w:numPr>
        <w:ind w:left="0"/>
        <w:textAlignment w:val="baseline"/>
        <w:rPr>
          <w:rFonts w:eastAsia="Times New Roman"/>
          <w:color w:val="000000"/>
          <w:sz w:val="18"/>
          <w:szCs w:val="18"/>
          <w:lang w:eastAsia="en-AU"/>
        </w:rPr>
      </w:pPr>
      <w:hyperlink r:id="rId38" w:history="1">
        <w:r w:rsidRPr="009265A5">
          <w:rPr>
            <w:rFonts w:eastAsia="Times New Roman"/>
            <w:b/>
            <w:bCs/>
            <w:noProof/>
            <w:color w:val="085D91"/>
            <w:sz w:val="18"/>
            <w:szCs w:val="18"/>
            <w:lang w:eastAsia="en-AU"/>
          </w:rPr>
          <w:drawing>
            <wp:inline distT="0" distB="0" distL="0" distR="0">
              <wp:extent cx="1949712" cy="1949712"/>
              <wp:effectExtent l="0" t="0" r="0" b="0"/>
              <wp:docPr id="3" name="Picture 3" descr="https://storage.theconversation.com/9yu7qw30gtl9hrxmcuwx9phawwl5">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orage.theconversation.com/9yu7qw30gtl9hrxmcuwx9phawwl5">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51872" cy="1951872"/>
                      </a:xfrm>
                      <a:prstGeom prst="rect">
                        <a:avLst/>
                      </a:prstGeom>
                      <a:noFill/>
                      <a:ln>
                        <a:noFill/>
                      </a:ln>
                    </pic:spPr>
                  </pic:pic>
                </a:graphicData>
              </a:graphic>
            </wp:inline>
          </w:drawing>
        </w:r>
        <w:r>
          <w:rPr>
            <w:rFonts w:eastAsia="Times New Roman"/>
            <w:color w:val="000000"/>
            <w:sz w:val="18"/>
            <w:szCs w:val="18"/>
            <w:lang w:eastAsia="en-AU"/>
          </w:rPr>
          <w:br/>
        </w:r>
        <w:r w:rsidRPr="009265A5">
          <w:rPr>
            <w:rFonts w:eastAsia="Times New Roman"/>
            <w:b/>
            <w:bCs/>
            <w:color w:val="085D91"/>
            <w:sz w:val="18"/>
            <w:szCs w:val="18"/>
            <w:bdr w:val="none" w:sz="0" w:space="0" w:color="auto" w:frame="1"/>
            <w:lang w:eastAsia="en-AU"/>
          </w:rPr>
          <w:t>Dr Louise Francis</w:t>
        </w:r>
      </w:hyperlink>
    </w:p>
    <w:p w:rsidR="009265A5" w:rsidRPr="009265A5" w:rsidRDefault="009265A5" w:rsidP="009265A5">
      <w:pPr>
        <w:ind w:left="900"/>
        <w:textAlignment w:val="baseline"/>
        <w:rPr>
          <w:rFonts w:eastAsia="Times New Roman"/>
          <w:color w:val="4B4B4E"/>
          <w:sz w:val="17"/>
          <w:szCs w:val="17"/>
          <w:lang w:eastAsia="en-AU"/>
        </w:rPr>
      </w:pPr>
      <w:r w:rsidRPr="009265A5">
        <w:rPr>
          <w:rFonts w:eastAsia="Times New Roman"/>
          <w:color w:val="4B4B4E"/>
          <w:sz w:val="17"/>
          <w:szCs w:val="17"/>
          <w:lang w:eastAsia="en-AU"/>
        </w:rPr>
        <w:t>Lecturer, Health Promotion, Curtin University</w:t>
      </w:r>
    </w:p>
    <w:p w:rsidR="009265A5" w:rsidRPr="009265A5" w:rsidRDefault="009265A5" w:rsidP="009265A5">
      <w:pPr>
        <w:pBdr>
          <w:bottom w:val="single" w:sz="6" w:space="4" w:color="auto"/>
        </w:pBdr>
        <w:spacing w:after="180" w:line="270" w:lineRule="atLeast"/>
        <w:textAlignment w:val="baseline"/>
        <w:outlineLvl w:val="2"/>
        <w:rPr>
          <w:rFonts w:eastAsia="Times New Roman"/>
          <w:b/>
          <w:bCs/>
          <w:color w:val="000000"/>
          <w:sz w:val="17"/>
          <w:szCs w:val="17"/>
          <w:lang w:eastAsia="en-AU"/>
        </w:rPr>
      </w:pPr>
      <w:r w:rsidRPr="009265A5">
        <w:rPr>
          <w:rFonts w:eastAsia="Times New Roman"/>
          <w:b/>
          <w:bCs/>
          <w:color w:val="000000"/>
          <w:sz w:val="17"/>
          <w:szCs w:val="17"/>
          <w:lang w:eastAsia="en-AU"/>
        </w:rPr>
        <w:t>Disclosure statement</w:t>
      </w:r>
    </w:p>
    <w:p w:rsidR="009265A5" w:rsidRPr="009265A5" w:rsidRDefault="009265A5" w:rsidP="009265A5">
      <w:pPr>
        <w:textAlignment w:val="baseline"/>
        <w:rPr>
          <w:rFonts w:eastAsia="Times New Roman"/>
          <w:color w:val="000000"/>
          <w:sz w:val="22"/>
          <w:szCs w:val="22"/>
          <w:lang w:eastAsia="en-AU"/>
        </w:rPr>
      </w:pPr>
      <w:r w:rsidRPr="009265A5">
        <w:rPr>
          <w:rFonts w:eastAsia="Times New Roman"/>
          <w:color w:val="000000"/>
          <w:sz w:val="22"/>
          <w:szCs w:val="22"/>
          <w:bdr w:val="none" w:sz="0" w:space="0" w:color="auto" w:frame="1"/>
          <w:lang w:eastAsia="en-AU"/>
        </w:rPr>
        <w:t xml:space="preserve">Dr Louise Francis has contributed to projects that have received funding from government and non-government organisations for research into multiple aspects of gambling, including regulatory reform and existing harm prevention practices. These organisations include </w:t>
      </w:r>
      <w:proofErr w:type="spellStart"/>
      <w:r w:rsidRPr="009265A5">
        <w:rPr>
          <w:rFonts w:eastAsia="Times New Roman"/>
          <w:color w:val="000000"/>
          <w:sz w:val="22"/>
          <w:szCs w:val="22"/>
          <w:bdr w:val="none" w:sz="0" w:space="0" w:color="auto" w:frame="1"/>
          <w:lang w:eastAsia="en-AU"/>
        </w:rPr>
        <w:t>Healthway</w:t>
      </w:r>
      <w:proofErr w:type="spellEnd"/>
      <w:r w:rsidRPr="009265A5">
        <w:rPr>
          <w:rFonts w:eastAsia="Times New Roman"/>
          <w:color w:val="000000"/>
          <w:sz w:val="22"/>
          <w:szCs w:val="22"/>
          <w:bdr w:val="none" w:sz="0" w:space="0" w:color="auto" w:frame="1"/>
          <w:lang w:eastAsia="en-AU"/>
        </w:rPr>
        <w:t>; FARE Foundation for Alcohol Research &amp; Education; Royal Society of Public Health; Anglican Church Southern Queensland; Municipal Association of Victoria. Louise is a member of the Public Health Association of Australia and Australian Health Promotion Association.</w:t>
      </w:r>
    </w:p>
    <w:p w:rsidR="009265A5" w:rsidRPr="009265A5" w:rsidRDefault="009265A5" w:rsidP="009265A5">
      <w:pPr>
        <w:pBdr>
          <w:bottom w:val="single" w:sz="6" w:space="4" w:color="auto"/>
        </w:pBdr>
        <w:spacing w:after="180" w:line="270" w:lineRule="atLeast"/>
        <w:textAlignment w:val="baseline"/>
        <w:outlineLvl w:val="2"/>
        <w:rPr>
          <w:rFonts w:eastAsia="Times New Roman"/>
          <w:b/>
          <w:bCs/>
          <w:color w:val="000000"/>
          <w:sz w:val="17"/>
          <w:szCs w:val="17"/>
          <w:lang w:eastAsia="en-AU"/>
        </w:rPr>
      </w:pPr>
      <w:r w:rsidRPr="009265A5">
        <w:rPr>
          <w:rFonts w:eastAsia="Times New Roman"/>
          <w:b/>
          <w:bCs/>
          <w:color w:val="000000"/>
          <w:sz w:val="17"/>
          <w:szCs w:val="17"/>
          <w:lang w:eastAsia="en-AU"/>
        </w:rPr>
        <w:t>Partners</w:t>
      </w:r>
    </w:p>
    <w:p w:rsidR="009265A5" w:rsidRPr="009265A5" w:rsidRDefault="009265A5" w:rsidP="009265A5">
      <w:pPr>
        <w:spacing w:after="270"/>
        <w:jc w:val="center"/>
        <w:textAlignment w:val="baseline"/>
        <w:rPr>
          <w:rFonts w:eastAsia="Times New Roman"/>
          <w:color w:val="000000"/>
          <w:sz w:val="17"/>
          <w:szCs w:val="17"/>
          <w:lang w:eastAsia="en-AU"/>
        </w:rPr>
      </w:pPr>
      <w:r w:rsidRPr="009265A5">
        <w:rPr>
          <w:rFonts w:eastAsia="Times New Roman"/>
          <w:noProof/>
          <w:color w:val="085D91"/>
          <w:sz w:val="17"/>
          <w:szCs w:val="17"/>
          <w:lang w:eastAsia="en-AU"/>
        </w:rPr>
        <mc:AlternateContent>
          <mc:Choice Requires="wps">
            <w:drawing>
              <wp:inline distT="0" distB="0" distL="0" distR="0">
                <wp:extent cx="302260" cy="302260"/>
                <wp:effectExtent l="0" t="0" r="0" b="0"/>
                <wp:docPr id="2" name="Rectangle 2" descr="Curtin University">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B7A82D" id="Rectangle 2" o:spid="_x0000_s1026" alt="Curtin University" href="https://theconversation.com/institutions/curtin-university-873"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" o:button="t" filled="f" stroked="f">
                <v:fill o:detectmouseclick="t"/>
                <o:lock v:ext="edit" aspectratio="t"/>
                <w10:anchorlock/>
              </v:rect>
            </w:pict>
          </mc:Fallback>
        </mc:AlternateContent>
      </w:r>
    </w:p>
    <w:p w:rsidR="009265A5" w:rsidRPr="009265A5" w:rsidRDefault="009265A5" w:rsidP="009265A5">
      <w:pPr>
        <w:pBdr>
          <w:bottom w:val="single" w:sz="6" w:space="9" w:color="auto"/>
        </w:pBdr>
        <w:spacing w:after="180"/>
        <w:textAlignment w:val="baseline"/>
        <w:rPr>
          <w:rFonts w:eastAsia="Times New Roman"/>
          <w:color w:val="000000"/>
          <w:sz w:val="17"/>
          <w:szCs w:val="17"/>
          <w:lang w:eastAsia="en-AU"/>
        </w:rPr>
      </w:pPr>
      <w:hyperlink r:id="rId41" w:history="1">
        <w:r w:rsidRPr="009265A5">
          <w:rPr>
            <w:rFonts w:eastAsia="Times New Roman"/>
            <w:color w:val="085D91"/>
            <w:sz w:val="17"/>
            <w:szCs w:val="17"/>
            <w:u w:val="single"/>
            <w:lang w:eastAsia="en-AU"/>
          </w:rPr>
          <w:t>Curtin University</w:t>
        </w:r>
      </w:hyperlink>
      <w:r w:rsidRPr="009265A5">
        <w:rPr>
          <w:rFonts w:eastAsia="Times New Roman"/>
          <w:color w:val="000000"/>
          <w:sz w:val="17"/>
          <w:szCs w:val="17"/>
          <w:lang w:eastAsia="en-AU"/>
        </w:rPr>
        <w:t> provides funding as a member of The Conversation AU.</w:t>
      </w:r>
    </w:p>
    <w:p w:rsidR="009265A5" w:rsidRPr="009265A5" w:rsidRDefault="009265A5" w:rsidP="009265A5">
      <w:pPr>
        <w:spacing w:after="270"/>
        <w:textAlignment w:val="baseline"/>
        <w:rPr>
          <w:rFonts w:eastAsia="Times New Roman"/>
          <w:color w:val="000000"/>
          <w:sz w:val="17"/>
          <w:szCs w:val="17"/>
          <w:lang w:eastAsia="en-AU"/>
        </w:rPr>
      </w:pPr>
      <w:hyperlink r:id="rId42" w:history="1">
        <w:r w:rsidRPr="009265A5">
          <w:rPr>
            <w:rFonts w:eastAsia="Times New Roman"/>
            <w:color w:val="085D91"/>
            <w:sz w:val="17"/>
            <w:szCs w:val="17"/>
            <w:u w:val="single"/>
            <w:lang w:eastAsia="en-AU"/>
          </w:rPr>
          <w:t>View all partners</w:t>
        </w:r>
      </w:hyperlink>
    </w:p>
    <w:p w:rsidR="009265A5" w:rsidRPr="009265A5" w:rsidRDefault="009265A5" w:rsidP="009265A5">
      <w:pPr>
        <w:pBdr>
          <w:bottom w:val="single" w:sz="6" w:space="4" w:color="auto"/>
        </w:pBdr>
        <w:spacing w:after="180" w:line="270" w:lineRule="atLeast"/>
        <w:textAlignment w:val="baseline"/>
        <w:outlineLvl w:val="2"/>
        <w:rPr>
          <w:rFonts w:eastAsia="Times New Roman"/>
          <w:b/>
          <w:bCs/>
          <w:color w:val="000000"/>
          <w:sz w:val="17"/>
          <w:szCs w:val="17"/>
          <w:lang w:eastAsia="en-AU"/>
        </w:rPr>
      </w:pPr>
      <w:proofErr w:type="spellStart"/>
      <w:r w:rsidRPr="009265A5">
        <w:rPr>
          <w:rFonts w:eastAsia="Times New Roman"/>
          <w:b/>
          <w:bCs/>
          <w:color w:val="000000"/>
          <w:sz w:val="17"/>
          <w:szCs w:val="17"/>
          <w:lang w:eastAsia="en-AU"/>
        </w:rPr>
        <w:t>DOI</w:t>
      </w:r>
      <w:proofErr w:type="spellEnd"/>
    </w:p>
    <w:p w:rsidR="009265A5" w:rsidRPr="009265A5" w:rsidRDefault="009265A5" w:rsidP="009265A5">
      <w:pPr>
        <w:spacing w:after="270"/>
        <w:textAlignment w:val="baseline"/>
        <w:rPr>
          <w:rFonts w:eastAsia="Times New Roman"/>
          <w:color w:val="000000"/>
          <w:sz w:val="17"/>
          <w:szCs w:val="17"/>
          <w:lang w:eastAsia="en-AU"/>
        </w:rPr>
      </w:pPr>
      <w:hyperlink r:id="rId43" w:history="1">
        <w:r w:rsidRPr="009265A5">
          <w:rPr>
            <w:rFonts w:eastAsia="Times New Roman"/>
            <w:color w:val="085D91"/>
            <w:sz w:val="17"/>
            <w:szCs w:val="17"/>
            <w:u w:val="single"/>
            <w:lang w:eastAsia="en-AU"/>
          </w:rPr>
          <w:t>https://doi.org/10.64628/AA.44hw7my49</w:t>
        </w:r>
      </w:hyperlink>
    </w:p>
    <w:p w:rsidR="009265A5" w:rsidRPr="009265A5" w:rsidRDefault="009265A5" w:rsidP="009265A5">
      <w:pPr>
        <w:textAlignment w:val="baseline"/>
        <w:rPr>
          <w:rFonts w:eastAsia="Times New Roman"/>
          <w:color w:val="383838"/>
          <w:sz w:val="17"/>
          <w:szCs w:val="17"/>
          <w:lang w:eastAsia="en-AU"/>
        </w:rPr>
      </w:pPr>
      <w:r w:rsidRPr="009265A5">
        <w:rPr>
          <w:rFonts w:eastAsia="Times New Roman"/>
          <w:noProof/>
          <w:color w:val="383838"/>
          <w:sz w:val="17"/>
          <w:szCs w:val="17"/>
          <w:lang w:eastAsia="en-AU"/>
        </w:rPr>
        <mc:AlternateContent>
          <mc:Choice Requires="wps">
            <w:drawing>
              <wp:inline distT="0" distB="0" distL="0" distR="0">
                <wp:extent cx="302260" cy="302260"/>
                <wp:effectExtent l="0" t="0" r="0" b="0"/>
                <wp:docPr id="1" name="Rectangle 1" descr="CC BY 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0CC287" id="Rectangle 1" o:spid="_x0000_s1026" alt="CC BY ND"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" filled="f" stroked="f">
                <o:lock v:ext="edit" aspectratio="t"/>
                <w10:anchorlock/>
              </v:rect>
            </w:pict>
          </mc:Fallback>
        </mc:AlternateContent>
      </w:r>
    </w:p>
    <w:sectPr w:rsidR="009265A5" w:rsidRPr="009265A5" w:rsidSect="009265A5">
      <w:pgSz w:w="11906" w:h="16838"/>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D71012"/>
    <w:multiLevelType w:val="multilevel"/>
    <w:tmpl w:val="8D768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84204A9"/>
    <w:multiLevelType w:val="multilevel"/>
    <w:tmpl w:val="11E0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5A5"/>
    <w:rsid w:val="000E114F"/>
    <w:rsid w:val="003C3FE4"/>
    <w:rsid w:val="00704784"/>
    <w:rsid w:val="009265A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4F1511-BB36-4041-8459-3281979C3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A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265A5"/>
    <w:pPr>
      <w:spacing w:before="100" w:beforeAutospacing="1" w:after="100" w:afterAutospacing="1"/>
      <w:outlineLvl w:val="0"/>
    </w:pPr>
    <w:rPr>
      <w:rFonts w:ascii="Times New Roman" w:eastAsia="Times New Roman" w:hAnsi="Times New Roman" w:cs="Times New Roman"/>
      <w:b/>
      <w:bCs/>
      <w:kern w:val="36"/>
      <w:sz w:val="48"/>
      <w:szCs w:val="48"/>
      <w:lang w:eastAsia="en-AU"/>
    </w:rPr>
  </w:style>
  <w:style w:type="paragraph" w:styleId="Heading2">
    <w:name w:val="heading 2"/>
    <w:basedOn w:val="Normal"/>
    <w:link w:val="Heading2Char"/>
    <w:uiPriority w:val="9"/>
    <w:qFormat/>
    <w:rsid w:val="009265A5"/>
    <w:pPr>
      <w:spacing w:before="100" w:beforeAutospacing="1" w:after="100" w:afterAutospacing="1"/>
      <w:outlineLvl w:val="1"/>
    </w:pPr>
    <w:rPr>
      <w:rFonts w:ascii="Times New Roman" w:eastAsia="Times New Roman" w:hAnsi="Times New Roman" w:cs="Times New Roman"/>
      <w:b/>
      <w:bCs/>
      <w:sz w:val="36"/>
      <w:szCs w:val="36"/>
      <w:lang w:eastAsia="en-AU"/>
    </w:rPr>
  </w:style>
  <w:style w:type="paragraph" w:styleId="Heading3">
    <w:name w:val="heading 3"/>
    <w:basedOn w:val="Normal"/>
    <w:link w:val="Heading3Char"/>
    <w:uiPriority w:val="9"/>
    <w:qFormat/>
    <w:rsid w:val="009265A5"/>
    <w:pPr>
      <w:spacing w:before="100" w:beforeAutospacing="1" w:after="100" w:afterAutospacing="1"/>
      <w:outlineLvl w:val="2"/>
    </w:pPr>
    <w:rPr>
      <w:rFonts w:ascii="Times New Roman" w:eastAsia="Times New Roman" w:hAnsi="Times New Roman" w:cs="Times New Roman"/>
      <w:b/>
      <w:bCs/>
      <w:sz w:val="27"/>
      <w:szCs w:val="27"/>
      <w:lang w:eastAsia="en-AU"/>
    </w:rPr>
  </w:style>
  <w:style w:type="paragraph" w:styleId="Heading6">
    <w:name w:val="heading 6"/>
    <w:basedOn w:val="Normal"/>
    <w:link w:val="Heading6Char"/>
    <w:uiPriority w:val="9"/>
    <w:qFormat/>
    <w:rsid w:val="009265A5"/>
    <w:pPr>
      <w:spacing w:before="100" w:beforeAutospacing="1" w:after="100" w:afterAutospacing="1"/>
      <w:outlineLvl w:val="5"/>
    </w:pPr>
    <w:rPr>
      <w:rFonts w:ascii="Times New Roman" w:eastAsia="Times New Roman" w:hAnsi="Times New Roman" w:cs="Times New Roman"/>
      <w:b/>
      <w:bCs/>
      <w:sz w:val="15"/>
      <w:szCs w:val="15"/>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5A5"/>
    <w:rPr>
      <w:rFonts w:ascii="Times New Roman" w:eastAsia="Times New Roman" w:hAnsi="Times New Roman" w:cs="Times New Roman"/>
      <w:b/>
      <w:bCs/>
      <w:kern w:val="36"/>
      <w:sz w:val="48"/>
      <w:szCs w:val="48"/>
      <w:lang w:eastAsia="en-AU"/>
    </w:rPr>
  </w:style>
  <w:style w:type="character" w:customStyle="1" w:styleId="Heading2Char">
    <w:name w:val="Heading 2 Char"/>
    <w:basedOn w:val="DefaultParagraphFont"/>
    <w:link w:val="Heading2"/>
    <w:uiPriority w:val="9"/>
    <w:rsid w:val="009265A5"/>
    <w:rPr>
      <w:rFonts w:ascii="Times New Roman" w:eastAsia="Times New Roman" w:hAnsi="Times New Roman" w:cs="Times New Roman"/>
      <w:b/>
      <w:bCs/>
      <w:sz w:val="36"/>
      <w:szCs w:val="36"/>
      <w:lang w:eastAsia="en-AU"/>
    </w:rPr>
  </w:style>
  <w:style w:type="character" w:customStyle="1" w:styleId="Heading3Char">
    <w:name w:val="Heading 3 Char"/>
    <w:basedOn w:val="DefaultParagraphFont"/>
    <w:link w:val="Heading3"/>
    <w:uiPriority w:val="9"/>
    <w:rsid w:val="009265A5"/>
    <w:rPr>
      <w:rFonts w:ascii="Times New Roman" w:eastAsia="Times New Roman" w:hAnsi="Times New Roman" w:cs="Times New Roman"/>
      <w:b/>
      <w:bCs/>
      <w:sz w:val="27"/>
      <w:szCs w:val="27"/>
      <w:lang w:eastAsia="en-AU"/>
    </w:rPr>
  </w:style>
  <w:style w:type="character" w:customStyle="1" w:styleId="Heading6Char">
    <w:name w:val="Heading 6 Char"/>
    <w:basedOn w:val="DefaultParagraphFont"/>
    <w:link w:val="Heading6"/>
    <w:uiPriority w:val="9"/>
    <w:rsid w:val="009265A5"/>
    <w:rPr>
      <w:rFonts w:ascii="Times New Roman" w:eastAsia="Times New Roman" w:hAnsi="Times New Roman" w:cs="Times New Roman"/>
      <w:b/>
      <w:bCs/>
      <w:sz w:val="15"/>
      <w:szCs w:val="15"/>
      <w:lang w:eastAsia="en-AU"/>
    </w:rPr>
  </w:style>
  <w:style w:type="character" w:customStyle="1" w:styleId="attribution">
    <w:name w:val="attribution"/>
    <w:basedOn w:val="DefaultParagraphFont"/>
    <w:rsid w:val="009265A5"/>
  </w:style>
  <w:style w:type="character" w:customStyle="1" w:styleId="source">
    <w:name w:val="source"/>
    <w:basedOn w:val="DefaultParagraphFont"/>
    <w:rsid w:val="009265A5"/>
  </w:style>
  <w:style w:type="character" w:styleId="Strong">
    <w:name w:val="Strong"/>
    <w:basedOn w:val="DefaultParagraphFont"/>
    <w:uiPriority w:val="22"/>
    <w:qFormat/>
    <w:rsid w:val="009265A5"/>
    <w:rPr>
      <w:b/>
      <w:bCs/>
    </w:rPr>
  </w:style>
  <w:style w:type="paragraph" w:customStyle="1" w:styleId="text-white">
    <w:name w:val="text-white"/>
    <w:basedOn w:val="Normal"/>
    <w:rsid w:val="009265A5"/>
    <w:pPr>
      <w:spacing w:before="100" w:beforeAutospacing="1" w:after="100" w:afterAutospacing="1"/>
    </w:pPr>
    <w:rPr>
      <w:rFonts w:ascii="Times New Roman" w:eastAsia="Times New Roman" w:hAnsi="Times New Roman" w:cs="Times New Roman"/>
      <w:lang w:eastAsia="en-AU"/>
    </w:rPr>
  </w:style>
  <w:style w:type="paragraph" w:styleId="NormalWeb">
    <w:name w:val="Normal (Web)"/>
    <w:basedOn w:val="Normal"/>
    <w:uiPriority w:val="99"/>
    <w:semiHidden/>
    <w:unhideWhenUsed/>
    <w:rsid w:val="009265A5"/>
    <w:pPr>
      <w:spacing w:before="100" w:beforeAutospacing="1" w:after="100" w:afterAutospacing="1"/>
    </w:pPr>
    <w:rPr>
      <w:rFonts w:ascii="Times New Roman" w:eastAsia="Times New Roman" w:hAnsi="Times New Roman" w:cs="Times New Roman"/>
      <w:lang w:eastAsia="en-AU"/>
    </w:rPr>
  </w:style>
  <w:style w:type="character" w:styleId="Hyperlink">
    <w:name w:val="Hyperlink"/>
    <w:basedOn w:val="DefaultParagraphFont"/>
    <w:uiPriority w:val="99"/>
    <w:semiHidden/>
    <w:unhideWhenUsed/>
    <w:rsid w:val="009265A5"/>
    <w:rPr>
      <w:color w:val="0000FF"/>
      <w:u w:val="single"/>
    </w:rPr>
  </w:style>
  <w:style w:type="character" w:styleId="Emphasis">
    <w:name w:val="Emphasis"/>
    <w:basedOn w:val="DefaultParagraphFont"/>
    <w:uiPriority w:val="20"/>
    <w:qFormat/>
    <w:rsid w:val="009265A5"/>
    <w:rPr>
      <w:i/>
      <w:iCs/>
    </w:rPr>
  </w:style>
  <w:style w:type="character" w:customStyle="1" w:styleId="caption">
    <w:name w:val="caption"/>
    <w:basedOn w:val="DefaultParagraphFont"/>
    <w:rsid w:val="009265A5"/>
  </w:style>
  <w:style w:type="character" w:customStyle="1" w:styleId="fn">
    <w:name w:val="fn"/>
    <w:basedOn w:val="DefaultParagraphFont"/>
    <w:rsid w:val="009265A5"/>
  </w:style>
  <w:style w:type="paragraph" w:customStyle="1" w:styleId="role">
    <w:name w:val="role"/>
    <w:basedOn w:val="Normal"/>
    <w:rsid w:val="009265A5"/>
    <w:pPr>
      <w:spacing w:before="100" w:beforeAutospacing="1" w:after="100" w:afterAutospacing="1"/>
    </w:pPr>
    <w:rPr>
      <w:rFonts w:ascii="Times New Roman" w:eastAsia="Times New Roman" w:hAnsi="Times New Roman" w:cs="Times New Roman"/>
      <w:lang w:eastAsia="en-AU"/>
    </w:rPr>
  </w:style>
  <w:style w:type="paragraph" w:customStyle="1" w:styleId="disclosure-logo">
    <w:name w:val="disclosure-logo"/>
    <w:basedOn w:val="Normal"/>
    <w:rsid w:val="009265A5"/>
    <w:pPr>
      <w:spacing w:before="100" w:beforeAutospacing="1" w:after="100" w:afterAutospacing="1"/>
    </w:pPr>
    <w:rPr>
      <w:rFonts w:ascii="Times New Roman" w:eastAsia="Times New Roman" w:hAnsi="Times New Roman" w:cs="Times New Roman"/>
      <w:lang w:eastAsia="en-AU"/>
    </w:rPr>
  </w:style>
  <w:style w:type="paragraph" w:customStyle="1" w:styleId="funding-statement">
    <w:name w:val="funding-statement"/>
    <w:basedOn w:val="Normal"/>
    <w:rsid w:val="009265A5"/>
    <w:pPr>
      <w:spacing w:before="100" w:beforeAutospacing="1" w:after="100" w:afterAutospacing="1"/>
    </w:pPr>
    <w:rPr>
      <w:rFonts w:ascii="Times New Roman" w:eastAsia="Times New Roman" w:hAnsi="Times New Roman" w:cs="Times New Roman"/>
      <w:lang w:eastAsia="en-AU"/>
    </w:rPr>
  </w:style>
  <w:style w:type="character" w:customStyle="1" w:styleId="text-2xl">
    <w:name w:val="text-2xl"/>
    <w:basedOn w:val="DefaultParagraphFont"/>
    <w:rsid w:val="009265A5"/>
  </w:style>
  <w:style w:type="paragraph" w:customStyle="1" w:styleId="font-serif">
    <w:name w:val="font-serif"/>
    <w:basedOn w:val="Normal"/>
    <w:rsid w:val="009265A5"/>
    <w:pPr>
      <w:spacing w:before="100" w:beforeAutospacing="1" w:after="100" w:afterAutospacing="1"/>
    </w:pPr>
    <w:rPr>
      <w:rFonts w:ascii="Times New Roman" w:eastAsia="Times New Roman" w:hAnsi="Times New Roman" w:cs="Times New Roman"/>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906416">
      <w:bodyDiv w:val="1"/>
      <w:marLeft w:val="0"/>
      <w:marRight w:val="0"/>
      <w:marTop w:val="0"/>
      <w:marBottom w:val="0"/>
      <w:divBdr>
        <w:top w:val="none" w:sz="0" w:space="0" w:color="auto"/>
        <w:left w:val="none" w:sz="0" w:space="0" w:color="auto"/>
        <w:bottom w:val="none" w:sz="0" w:space="0" w:color="auto"/>
        <w:right w:val="none" w:sz="0" w:space="0" w:color="auto"/>
      </w:divBdr>
      <w:divsChild>
        <w:div w:id="1546215851">
          <w:marLeft w:val="0"/>
          <w:marRight w:val="0"/>
          <w:marTop w:val="0"/>
          <w:marBottom w:val="0"/>
          <w:divBdr>
            <w:top w:val="none" w:sz="0" w:space="0" w:color="auto"/>
            <w:left w:val="none" w:sz="0" w:space="0" w:color="auto"/>
            <w:bottom w:val="none" w:sz="0" w:space="0" w:color="auto"/>
            <w:right w:val="none" w:sz="0" w:space="0" w:color="auto"/>
          </w:divBdr>
        </w:div>
        <w:div w:id="135800480">
          <w:marLeft w:val="0"/>
          <w:marRight w:val="0"/>
          <w:marTop w:val="0"/>
          <w:marBottom w:val="0"/>
          <w:divBdr>
            <w:top w:val="none" w:sz="0" w:space="0" w:color="auto"/>
            <w:left w:val="none" w:sz="0" w:space="0" w:color="auto"/>
            <w:bottom w:val="none" w:sz="0" w:space="0" w:color="auto"/>
            <w:right w:val="none" w:sz="0" w:space="0" w:color="auto"/>
          </w:divBdr>
        </w:div>
        <w:div w:id="552737020">
          <w:marLeft w:val="0"/>
          <w:marRight w:val="0"/>
          <w:marTop w:val="0"/>
          <w:marBottom w:val="0"/>
          <w:divBdr>
            <w:top w:val="none" w:sz="0" w:space="0" w:color="auto"/>
            <w:left w:val="none" w:sz="0" w:space="0" w:color="auto"/>
            <w:bottom w:val="none" w:sz="0" w:space="0" w:color="auto"/>
            <w:right w:val="none" w:sz="0" w:space="0" w:color="auto"/>
          </w:divBdr>
          <w:divsChild>
            <w:div w:id="1506626206">
              <w:marLeft w:val="0"/>
              <w:marRight w:val="0"/>
              <w:marTop w:val="0"/>
              <w:marBottom w:val="0"/>
              <w:divBdr>
                <w:top w:val="none" w:sz="0" w:space="0" w:color="auto"/>
                <w:left w:val="none" w:sz="0" w:space="0" w:color="auto"/>
                <w:bottom w:val="none" w:sz="0" w:space="0" w:color="auto"/>
                <w:right w:val="none" w:sz="0" w:space="0" w:color="auto"/>
              </w:divBdr>
              <w:divsChild>
                <w:div w:id="1923948971">
                  <w:marLeft w:val="0"/>
                  <w:marRight w:val="0"/>
                  <w:marTop w:val="0"/>
                  <w:marBottom w:val="0"/>
                  <w:divBdr>
                    <w:top w:val="none" w:sz="0" w:space="0" w:color="auto"/>
                    <w:left w:val="none" w:sz="0" w:space="0" w:color="auto"/>
                    <w:bottom w:val="none" w:sz="0" w:space="0" w:color="auto"/>
                    <w:right w:val="none" w:sz="0" w:space="0" w:color="auto"/>
                  </w:divBdr>
                  <w:divsChild>
                    <w:div w:id="1401639181">
                      <w:marLeft w:val="0"/>
                      <w:marRight w:val="0"/>
                      <w:marTop w:val="0"/>
                      <w:marBottom w:val="0"/>
                      <w:divBdr>
                        <w:top w:val="none" w:sz="0" w:space="0" w:color="auto"/>
                        <w:left w:val="single" w:sz="48" w:space="0" w:color="auto"/>
                        <w:bottom w:val="none" w:sz="0" w:space="0" w:color="auto"/>
                        <w:right w:val="none" w:sz="0" w:space="0" w:color="auto"/>
                      </w:divBdr>
                    </w:div>
                  </w:divsChild>
                </w:div>
                <w:div w:id="67017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460384">
          <w:marLeft w:val="0"/>
          <w:marRight w:val="0"/>
          <w:marTop w:val="0"/>
          <w:marBottom w:val="0"/>
          <w:divBdr>
            <w:top w:val="none" w:sz="0" w:space="0" w:color="auto"/>
            <w:left w:val="none" w:sz="0" w:space="0" w:color="auto"/>
            <w:bottom w:val="none" w:sz="0" w:space="0" w:color="auto"/>
            <w:right w:val="none" w:sz="0" w:space="0" w:color="auto"/>
          </w:divBdr>
          <w:divsChild>
            <w:div w:id="1466049077">
              <w:marLeft w:val="0"/>
              <w:marRight w:val="300"/>
              <w:marTop w:val="0"/>
              <w:marBottom w:val="0"/>
              <w:divBdr>
                <w:top w:val="none" w:sz="0" w:space="0" w:color="auto"/>
                <w:left w:val="none" w:sz="0" w:space="0" w:color="auto"/>
                <w:bottom w:val="none" w:sz="0" w:space="0" w:color="auto"/>
                <w:right w:val="none" w:sz="0" w:space="0" w:color="auto"/>
              </w:divBdr>
              <w:divsChild>
                <w:div w:id="421222120">
                  <w:marLeft w:val="0"/>
                  <w:marRight w:val="0"/>
                  <w:marTop w:val="0"/>
                  <w:marBottom w:val="0"/>
                  <w:divBdr>
                    <w:top w:val="none" w:sz="0" w:space="0" w:color="auto"/>
                    <w:left w:val="none" w:sz="0" w:space="0" w:color="auto"/>
                    <w:bottom w:val="none" w:sz="0" w:space="0" w:color="auto"/>
                    <w:right w:val="none" w:sz="0" w:space="0" w:color="auto"/>
                  </w:divBdr>
                  <w:divsChild>
                    <w:div w:id="3483241">
                      <w:marLeft w:val="0"/>
                      <w:marRight w:val="0"/>
                      <w:marTop w:val="0"/>
                      <w:marBottom w:val="120"/>
                      <w:divBdr>
                        <w:top w:val="none" w:sz="0" w:space="0" w:color="auto"/>
                        <w:left w:val="none" w:sz="0" w:space="0" w:color="auto"/>
                        <w:bottom w:val="none" w:sz="0" w:space="0" w:color="auto"/>
                        <w:right w:val="none" w:sz="0" w:space="0" w:color="auto"/>
                      </w:divBdr>
                      <w:divsChild>
                        <w:div w:id="1548176676">
                          <w:marLeft w:val="0"/>
                          <w:marRight w:val="0"/>
                          <w:marTop w:val="0"/>
                          <w:marBottom w:val="0"/>
                          <w:divBdr>
                            <w:top w:val="none" w:sz="0" w:space="0" w:color="auto"/>
                            <w:left w:val="none" w:sz="0" w:space="0" w:color="auto"/>
                            <w:bottom w:val="none" w:sz="0" w:space="0" w:color="auto"/>
                            <w:right w:val="none" w:sz="0" w:space="0" w:color="auto"/>
                          </w:divBdr>
                          <w:divsChild>
                            <w:div w:id="268202202">
                              <w:marLeft w:val="0"/>
                              <w:marRight w:val="0"/>
                              <w:marTop w:val="0"/>
                              <w:marBottom w:val="0"/>
                              <w:divBdr>
                                <w:top w:val="none" w:sz="0" w:space="0" w:color="auto"/>
                                <w:left w:val="none" w:sz="0" w:space="0" w:color="auto"/>
                                <w:bottom w:val="none" w:sz="0" w:space="0" w:color="auto"/>
                                <w:right w:val="none" w:sz="0" w:space="0" w:color="auto"/>
                              </w:divBdr>
                              <w:divsChild>
                                <w:div w:id="314453112">
                                  <w:marLeft w:val="0"/>
                                  <w:marRight w:val="0"/>
                                  <w:marTop w:val="0"/>
                                  <w:marBottom w:val="0"/>
                                  <w:divBdr>
                                    <w:top w:val="none" w:sz="0" w:space="0" w:color="auto"/>
                                    <w:left w:val="none" w:sz="0" w:space="0" w:color="auto"/>
                                    <w:bottom w:val="none" w:sz="0" w:space="0" w:color="auto"/>
                                    <w:right w:val="none" w:sz="0" w:space="0" w:color="auto"/>
                                  </w:divBdr>
                                  <w:divsChild>
                                    <w:div w:id="404108482">
                                      <w:marLeft w:val="0"/>
                                      <w:marRight w:val="0"/>
                                      <w:marTop w:val="0"/>
                                      <w:marBottom w:val="0"/>
                                      <w:divBdr>
                                        <w:top w:val="single" w:sz="6" w:space="4" w:color="000000"/>
                                        <w:left w:val="single" w:sz="6" w:space="12" w:color="000000"/>
                                        <w:bottom w:val="single" w:sz="6" w:space="4" w:color="000000"/>
                                        <w:right w:val="single" w:sz="6" w:space="12" w:color="000000"/>
                                      </w:divBdr>
                                    </w:div>
                                  </w:divsChild>
                                </w:div>
                              </w:divsChild>
                            </w:div>
                            <w:div w:id="1259682535">
                              <w:marLeft w:val="0"/>
                              <w:marRight w:val="0"/>
                              <w:marTop w:val="0"/>
                              <w:marBottom w:val="0"/>
                              <w:divBdr>
                                <w:top w:val="none" w:sz="0" w:space="0" w:color="auto"/>
                                <w:left w:val="none" w:sz="0" w:space="0" w:color="auto"/>
                                <w:bottom w:val="none" w:sz="0" w:space="0" w:color="auto"/>
                                <w:right w:val="none" w:sz="0" w:space="0" w:color="auto"/>
                              </w:divBdr>
                              <w:divsChild>
                                <w:div w:id="2054235000">
                                  <w:marLeft w:val="0"/>
                                  <w:marRight w:val="0"/>
                                  <w:marTop w:val="0"/>
                                  <w:marBottom w:val="0"/>
                                  <w:divBdr>
                                    <w:top w:val="single" w:sz="6" w:space="4" w:color="000000"/>
                                    <w:left w:val="single" w:sz="6" w:space="12" w:color="000000"/>
                                    <w:bottom w:val="single" w:sz="6" w:space="4" w:color="000000"/>
                                    <w:right w:val="single" w:sz="6" w:space="12" w:color="000000"/>
                                  </w:divBdr>
                                </w:div>
                              </w:divsChild>
                            </w:div>
                          </w:divsChild>
                        </w:div>
                      </w:divsChild>
                    </w:div>
                  </w:divsChild>
                </w:div>
                <w:div w:id="989096840">
                  <w:marLeft w:val="0"/>
                  <w:marRight w:val="0"/>
                  <w:marTop w:val="0"/>
                  <w:marBottom w:val="0"/>
                  <w:divBdr>
                    <w:top w:val="none" w:sz="0" w:space="0" w:color="auto"/>
                    <w:left w:val="none" w:sz="0" w:space="0" w:color="auto"/>
                    <w:bottom w:val="none" w:sz="0" w:space="0" w:color="auto"/>
                    <w:right w:val="none" w:sz="0" w:space="0" w:color="auto"/>
                  </w:divBdr>
                  <w:divsChild>
                    <w:div w:id="1293704610">
                      <w:marLeft w:val="0"/>
                      <w:marRight w:val="0"/>
                      <w:marTop w:val="0"/>
                      <w:marBottom w:val="0"/>
                      <w:divBdr>
                        <w:top w:val="none" w:sz="0" w:space="0" w:color="auto"/>
                        <w:left w:val="none" w:sz="0" w:space="0" w:color="auto"/>
                        <w:bottom w:val="none" w:sz="0" w:space="0" w:color="auto"/>
                        <w:right w:val="none" w:sz="0" w:space="0" w:color="auto"/>
                      </w:divBdr>
                    </w:div>
                    <w:div w:id="885486593">
                      <w:marLeft w:val="0"/>
                      <w:marRight w:val="0"/>
                      <w:marTop w:val="0"/>
                      <w:marBottom w:val="0"/>
                      <w:divBdr>
                        <w:top w:val="none" w:sz="0" w:space="0" w:color="auto"/>
                        <w:left w:val="none" w:sz="0" w:space="0" w:color="auto"/>
                        <w:bottom w:val="none" w:sz="0" w:space="0" w:color="auto"/>
                        <w:right w:val="none" w:sz="0" w:space="0" w:color="auto"/>
                      </w:divBdr>
                    </w:div>
                    <w:div w:id="2014989782">
                      <w:marLeft w:val="0"/>
                      <w:marRight w:val="0"/>
                      <w:marTop w:val="0"/>
                      <w:marBottom w:val="0"/>
                      <w:divBdr>
                        <w:top w:val="none" w:sz="0" w:space="0" w:color="auto"/>
                        <w:left w:val="none" w:sz="0" w:space="0" w:color="auto"/>
                        <w:bottom w:val="none" w:sz="0" w:space="0" w:color="auto"/>
                        <w:right w:val="none" w:sz="0" w:space="0" w:color="auto"/>
                      </w:divBdr>
                    </w:div>
                  </w:divsChild>
                </w:div>
                <w:div w:id="255750781">
                  <w:marLeft w:val="1860"/>
                  <w:marRight w:val="0"/>
                  <w:marTop w:val="0"/>
                  <w:marBottom w:val="180"/>
                  <w:divBdr>
                    <w:top w:val="none" w:sz="0" w:space="0" w:color="auto"/>
                    <w:left w:val="none" w:sz="0" w:space="0" w:color="auto"/>
                    <w:bottom w:val="none" w:sz="0" w:space="0" w:color="auto"/>
                    <w:right w:val="none" w:sz="0" w:space="0" w:color="auto"/>
                  </w:divBdr>
                </w:div>
              </w:divsChild>
            </w:div>
            <w:div w:id="1536313403">
              <w:marLeft w:val="0"/>
              <w:marRight w:val="0"/>
              <w:marTop w:val="0"/>
              <w:marBottom w:val="540"/>
              <w:divBdr>
                <w:top w:val="none" w:sz="0" w:space="0" w:color="auto"/>
                <w:left w:val="none" w:sz="0" w:space="0" w:color="auto"/>
                <w:bottom w:val="none" w:sz="0" w:space="0" w:color="auto"/>
                <w:right w:val="none" w:sz="0" w:space="0" w:color="auto"/>
              </w:divBdr>
            </w:div>
            <w:div w:id="1857965978">
              <w:marLeft w:val="0"/>
              <w:marRight w:val="0"/>
              <w:marTop w:val="0"/>
              <w:marBottom w:val="0"/>
              <w:divBdr>
                <w:top w:val="none" w:sz="0" w:space="0" w:color="auto"/>
                <w:left w:val="none" w:sz="0" w:space="0" w:color="auto"/>
                <w:bottom w:val="none" w:sz="0" w:space="0" w:color="auto"/>
                <w:right w:val="none" w:sz="0" w:space="0" w:color="auto"/>
              </w:divBdr>
              <w:divsChild>
                <w:div w:id="1134443720">
                  <w:marLeft w:val="0"/>
                  <w:marRight w:val="0"/>
                  <w:marTop w:val="0"/>
                  <w:marBottom w:val="0"/>
                  <w:divBdr>
                    <w:top w:val="none" w:sz="0" w:space="0" w:color="auto"/>
                    <w:left w:val="none" w:sz="0" w:space="0" w:color="auto"/>
                    <w:bottom w:val="none" w:sz="0" w:space="0" w:color="auto"/>
                    <w:right w:val="none" w:sz="0" w:space="0" w:color="auto"/>
                  </w:divBdr>
                  <w:divsChild>
                    <w:div w:id="2089157480">
                      <w:marLeft w:val="0"/>
                      <w:marRight w:val="0"/>
                      <w:marTop w:val="0"/>
                      <w:marBottom w:val="240"/>
                      <w:divBdr>
                        <w:top w:val="none" w:sz="0" w:space="0" w:color="auto"/>
                        <w:left w:val="none" w:sz="0" w:space="0" w:color="auto"/>
                        <w:bottom w:val="none" w:sz="0" w:space="0" w:color="auto"/>
                        <w:right w:val="none" w:sz="0" w:space="0" w:color="auto"/>
                      </w:divBdr>
                      <w:divsChild>
                        <w:div w:id="838422731">
                          <w:marLeft w:val="0"/>
                          <w:marRight w:val="0"/>
                          <w:marTop w:val="0"/>
                          <w:marBottom w:val="180"/>
                          <w:divBdr>
                            <w:top w:val="none" w:sz="0" w:space="0" w:color="auto"/>
                            <w:left w:val="none" w:sz="0" w:space="0" w:color="auto"/>
                            <w:bottom w:val="none" w:sz="0" w:space="0" w:color="auto"/>
                            <w:right w:val="none" w:sz="0" w:space="0" w:color="auto"/>
                          </w:divBdr>
                          <w:divsChild>
                            <w:div w:id="657540272">
                              <w:marLeft w:val="0"/>
                              <w:marRight w:val="0"/>
                              <w:marTop w:val="0"/>
                              <w:marBottom w:val="120"/>
                              <w:divBdr>
                                <w:top w:val="none" w:sz="0" w:space="0" w:color="auto"/>
                                <w:left w:val="none" w:sz="0" w:space="0" w:color="auto"/>
                                <w:bottom w:val="none" w:sz="0" w:space="0" w:color="auto"/>
                                <w:right w:val="none" w:sz="0" w:space="0" w:color="auto"/>
                              </w:divBdr>
                            </w:div>
                          </w:divsChild>
                        </w:div>
                        <w:div w:id="69442848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67632108">
              <w:marLeft w:val="0"/>
              <w:marRight w:val="0"/>
              <w:marTop w:val="0"/>
              <w:marBottom w:val="0"/>
              <w:divBdr>
                <w:top w:val="none" w:sz="0" w:space="0" w:color="auto"/>
                <w:left w:val="none" w:sz="0" w:space="0" w:color="auto"/>
                <w:bottom w:val="none" w:sz="0" w:space="0" w:color="auto"/>
                <w:right w:val="none" w:sz="0" w:space="0" w:color="auto"/>
              </w:divBdr>
              <w:divsChild>
                <w:div w:id="2007780989">
                  <w:marLeft w:val="0"/>
                  <w:marRight w:val="0"/>
                  <w:marTop w:val="0"/>
                  <w:marBottom w:val="0"/>
                  <w:divBdr>
                    <w:top w:val="none" w:sz="0" w:space="0" w:color="auto"/>
                    <w:left w:val="none" w:sz="0" w:space="0" w:color="auto"/>
                    <w:bottom w:val="none" w:sz="0" w:space="0" w:color="auto"/>
                    <w:right w:val="none" w:sz="0" w:space="0" w:color="auto"/>
                  </w:divBdr>
                  <w:divsChild>
                    <w:div w:id="2061123658">
                      <w:marLeft w:val="0"/>
                      <w:marRight w:val="0"/>
                      <w:marTop w:val="0"/>
                      <w:marBottom w:val="0"/>
                      <w:divBdr>
                        <w:top w:val="none" w:sz="0" w:space="0" w:color="auto"/>
                        <w:left w:val="none" w:sz="0" w:space="0" w:color="auto"/>
                        <w:bottom w:val="none" w:sz="0" w:space="0" w:color="auto"/>
                        <w:right w:val="none" w:sz="0" w:space="0" w:color="auto"/>
                      </w:divBdr>
                      <w:divsChild>
                        <w:div w:id="1864703515">
                          <w:marLeft w:val="0"/>
                          <w:marRight w:val="0"/>
                          <w:marTop w:val="0"/>
                          <w:marBottom w:val="0"/>
                          <w:divBdr>
                            <w:top w:val="none" w:sz="0" w:space="0" w:color="auto"/>
                            <w:left w:val="none" w:sz="0" w:space="0" w:color="auto"/>
                            <w:bottom w:val="none" w:sz="0" w:space="0" w:color="auto"/>
                            <w:right w:val="none" w:sz="0" w:space="0" w:color="auto"/>
                          </w:divBdr>
                          <w:divsChild>
                            <w:div w:id="14051828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sw.press/books/hooked/" TargetMode="External"/><Relationship Id="rId18" Type="http://schemas.openxmlformats.org/officeDocument/2006/relationships/hyperlink" Target="https://theconversation.com/you-spin-some-you-lose-more-how-albaneses-gambling-rhetoric-falls-short-271614" TargetMode="External"/><Relationship Id="rId26" Type="http://schemas.openxmlformats.org/officeDocument/2006/relationships/hyperlink" Target="https://www.sydneycrimemuseum.com/crime-stories/the-casinos/" TargetMode="External"/><Relationship Id="rId39" Type="http://schemas.openxmlformats.org/officeDocument/2006/relationships/image" Target="media/image4.png"/><Relationship Id="rId21" Type="http://schemas.openxmlformats.org/officeDocument/2006/relationships/image" Target="media/image2.jpeg"/><Relationship Id="rId34" Type="http://schemas.openxmlformats.org/officeDocument/2006/relationships/hyperlink" Target="https://theconversation.com/topics/gambling-46" TargetMode="External"/><Relationship Id="rId42" Type="http://schemas.openxmlformats.org/officeDocument/2006/relationships/hyperlink" Target="https://theconversation.com/au/partners" TargetMode="External"/><Relationship Id="rId7" Type="http://schemas.openxmlformats.org/officeDocument/2006/relationships/hyperlink" Target="https://www.aihw.gov.au/reports/australias-welfare/gambling" TargetMode="External"/><Relationship Id="rId2" Type="http://schemas.openxmlformats.org/officeDocument/2006/relationships/styles" Target="styles.xml"/><Relationship Id="rId16" Type="http://schemas.openxmlformats.org/officeDocument/2006/relationships/hyperlink" Target="https://www.aph.gov.au/Parliamentary_Business/Committees/House/Social_Policy_and_Legal_Affairs/Onlinegamblingimpacts/Report" TargetMode="External"/><Relationship Id="rId29" Type="http://schemas.openxmlformats.org/officeDocument/2006/relationships/hyperlink" Target="https://www.theage.com.au/business/companies/brothel-owner-and-alleged-money-launderer-is-crown-casino-s-business-partner-20190724-p52ahq.html" TargetMode="External"/><Relationship Id="rId1" Type="http://schemas.openxmlformats.org/officeDocument/2006/relationships/numbering" Target="numbering.xml"/><Relationship Id="rId6" Type="http://schemas.openxmlformats.org/officeDocument/2006/relationships/hyperlink" Target="https://www.aihw.gov.au/reports/australias-welfare/gambling" TargetMode="External"/><Relationship Id="rId11" Type="http://schemas.openxmlformats.org/officeDocument/2006/relationships/hyperlink" Target="https://www.aph.gov.au/About_Parliament/Parliamentary_departments/Parliamentary_Library/Research/Policy_Briefs/2025-26/GamblingAdvertising" TargetMode="External"/><Relationship Id="rId24" Type="http://schemas.openxmlformats.org/officeDocument/2006/relationships/hyperlink" Target="https://www.theguardian.com/australia-news/2025/nov/10/australias-poker-machine-story-started-70-years-ago-we-were-warned-of-harms-from-the-beginning" TargetMode="External"/><Relationship Id="rId32" Type="http://schemas.openxmlformats.org/officeDocument/2006/relationships/image" Target="media/image3.jpeg"/><Relationship Id="rId37" Type="http://schemas.openxmlformats.org/officeDocument/2006/relationships/hyperlink" Target="https://theconversation.com/topics/gambling-harm-19608" TargetMode="External"/><Relationship Id="rId40" Type="http://schemas.openxmlformats.org/officeDocument/2006/relationships/hyperlink" Target="https://theconversation.com/institutions/curtin-university-873" TargetMode="External"/><Relationship Id="rId45" Type="http://schemas.openxmlformats.org/officeDocument/2006/relationships/theme" Target="theme/theme1.xml"/><Relationship Id="rId5" Type="http://schemas.openxmlformats.org/officeDocument/2006/relationships/hyperlink" Target="https://www.gamblingandracing.act.gov.au/__data/assets/pdf_file/0010/982774/2014-Gambling-Expenditure.pdf" TargetMode="External"/><Relationship Id="rId15" Type="http://schemas.openxmlformats.org/officeDocument/2006/relationships/image" Target="media/image1.jpeg"/><Relationship Id="rId23" Type="http://schemas.openxmlformats.org/officeDocument/2006/relationships/hyperlink" Target="https://theconversation.com/15-things-you-should-know-about-australias-love-affair-with-pokies-49230" TargetMode="External"/><Relationship Id="rId28" Type="http://schemas.openxmlformats.org/officeDocument/2006/relationships/hyperlink" Target="https://researchers.mq.edu.au/en/publications/money-laundering-in-australian-casinos/" TargetMode="External"/><Relationship Id="rId36" Type="http://schemas.openxmlformats.org/officeDocument/2006/relationships/hyperlink" Target="https://theconversation.com/topics/book-reviews-11438" TargetMode="External"/><Relationship Id="rId10" Type="http://schemas.openxmlformats.org/officeDocument/2006/relationships/hyperlink" Target="https://www.qld.gov.au/community/getting-support-health-social-issue/gambling-harm-support/forget-the-bet/understand-the-issue-with-sports-betting" TargetMode="External"/><Relationship Id="rId19" Type="http://schemas.openxmlformats.org/officeDocument/2006/relationships/hyperlink" Target="https://www.parliament.nsw.gov.au/members/Pages/profiles/cahill_john-joseph.aspx" TargetMode="External"/><Relationship Id="rId31" Type="http://schemas.openxmlformats.org/officeDocument/2006/relationships/hyperlink" Target="https://www.afr.com/companies/media-and-marketing/300m-in-ads-on-the-line-as-afl-nrl-wagering-bosses-face-grilling-20230401-p5cx93"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sponsiblegambling.vic.gov.au/resources/gambling-victoria/gambling-advertising/" TargetMode="External"/><Relationship Id="rId14" Type="http://schemas.openxmlformats.org/officeDocument/2006/relationships/hyperlink" Target="https://images.theconversation.com/files/711126/original/file-20260107-56-cwepwp.jpg?ixlib=rb-4.1.0&amp;q=45&amp;auto=format&amp;w=1000&amp;fit=clip" TargetMode="External"/><Relationship Id="rId22" Type="http://schemas.openxmlformats.org/officeDocument/2006/relationships/hyperlink" Target="https://en.wikipedia.org/wiki/Gus_Kelly_(politician)" TargetMode="External"/><Relationship Id="rId27" Type="http://schemas.openxmlformats.org/officeDocument/2006/relationships/hyperlink" Target="https://www.abc.net.au/news/2017-06-12/fitzgerald-inquiry-files-reveal-inner-workings-of-corrupt-cops/8600046" TargetMode="External"/><Relationship Id="rId30" Type="http://schemas.openxmlformats.org/officeDocument/2006/relationships/hyperlink" Target="https://www.theguardian.com/australia-news/article/2024/jul/13/nsws-greyhound-racing-industry-faces-fresh-claims-of-animal-abuse-a-vets-report-makes-these-five-allegations-claims" TargetMode="External"/><Relationship Id="rId35" Type="http://schemas.openxmlformats.org/officeDocument/2006/relationships/hyperlink" Target="https://theconversation.com/topics/non-fiction-10795" TargetMode="External"/><Relationship Id="rId43" Type="http://schemas.openxmlformats.org/officeDocument/2006/relationships/hyperlink" Target="https://doi.org/10.64628/AA.44hw7my49" TargetMode="External"/><Relationship Id="rId8" Type="http://schemas.openxmlformats.org/officeDocument/2006/relationships/hyperlink" Target="https://thestraight.com.au/state-of-origin-how-victorians-lead-the-way-when-it-comes-to-per-capita-wagering-spend/" TargetMode="External"/><Relationship Id="rId3" Type="http://schemas.openxmlformats.org/officeDocument/2006/relationships/settings" Target="settings.xml"/><Relationship Id="rId12" Type="http://schemas.openxmlformats.org/officeDocument/2006/relationships/hyperlink" Target="https://www.justice.vic.gov.au/safer-communities/gambling/social-costs-of-gambling-to-victoria-2023" TargetMode="External"/><Relationship Id="rId17" Type="http://schemas.openxmlformats.org/officeDocument/2006/relationships/hyperlink" Target="https://www.theguardian.com/australia-news/2026/mar/02/labor-gambling-parliament-inquiry-reports-teal-independents" TargetMode="External"/><Relationship Id="rId25" Type="http://schemas.openxmlformats.org/officeDocument/2006/relationships/hyperlink" Target="https://www.abc.net.au/news/2017-05-08/james-boyce-losing-streak-leads-to-bribery-allegations-review/8505818" TargetMode="External"/><Relationship Id="rId33" Type="http://schemas.openxmlformats.org/officeDocument/2006/relationships/hyperlink" Target="https://www.crikey.com.au/2025/05/21/gambling-revenue-pokies-government-tax-australia/" TargetMode="External"/><Relationship Id="rId38" Type="http://schemas.openxmlformats.org/officeDocument/2006/relationships/hyperlink" Target="https://theconversation.com/profiles/dr-louise-francis-198364" TargetMode="External"/><Relationship Id="rId20" Type="http://schemas.openxmlformats.org/officeDocument/2006/relationships/hyperlink" Target="https://www.parliament.nsw.gov.au/researchpapers/Documents/alcohol-and-tobacco-in-nsw-consumption-revenue-a/07-97.pdf" TargetMode="External"/><Relationship Id="rId41" Type="http://schemas.openxmlformats.org/officeDocument/2006/relationships/hyperlink" Target="https://theconversation.com/institutions/curtin-university-8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2275</Words>
  <Characters>12970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2026-06-15T02:07:00Z</dcterms:created>
  <dcterms:modified xsi:type="dcterms:W3CDTF">2026-06-15T02:19:00Z</dcterms:modified>
</cp:coreProperties>
</file>