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AE" w:rsidRDefault="00BE31AE" w:rsidP="00BE31AE">
      <w:pPr>
        <w:shd w:val="clear" w:color="auto" w:fill="FFFFFF"/>
        <w:spacing w:after="0" w:line="630" w:lineRule="atLeast"/>
        <w:outlineLvl w:val="0"/>
        <w:rPr>
          <w:rFonts w:ascii="Inter" w:eastAsia="Times New Roman" w:hAnsi="Inter" w:cs="Times New Roman"/>
          <w:b/>
          <w:bCs/>
          <w:color w:val="1D3B69"/>
          <w:kern w:val="36"/>
          <w:sz w:val="45"/>
          <w:szCs w:val="45"/>
          <w:lang w:eastAsia="en-AU"/>
        </w:rPr>
      </w:pPr>
      <w:r>
        <w:rPr>
          <w:rFonts w:ascii="Inter" w:eastAsia="Times New Roman" w:hAnsi="Inter" w:cs="Times New Roman"/>
          <w:b/>
          <w:bCs/>
          <w:color w:val="1D3B69"/>
          <w:kern w:val="36"/>
          <w:sz w:val="45"/>
          <w:szCs w:val="45"/>
          <w:lang w:eastAsia="en-AU"/>
        </w:rPr>
        <w:fldChar w:fldCharType="begin"/>
      </w:r>
      <w:r>
        <w:rPr>
          <w:rFonts w:ascii="Inter" w:eastAsia="Times New Roman" w:hAnsi="Inter" w:cs="Times New Roman"/>
          <w:b/>
          <w:bCs/>
          <w:color w:val="1D3B69"/>
          <w:kern w:val="36"/>
          <w:sz w:val="45"/>
          <w:szCs w:val="45"/>
          <w:lang w:eastAsia="en-AU"/>
        </w:rPr>
        <w:instrText xml:space="preserve"> HYPERLINK "https://www.gamblingnews.com/news/australia-launches-its-first-review-of-the-betstop-self-exclusion-register/" </w:instrText>
      </w:r>
      <w:r>
        <w:rPr>
          <w:rFonts w:ascii="Inter" w:eastAsia="Times New Roman" w:hAnsi="Inter" w:cs="Times New Roman"/>
          <w:b/>
          <w:bCs/>
          <w:color w:val="1D3B69"/>
          <w:kern w:val="36"/>
          <w:sz w:val="45"/>
          <w:szCs w:val="45"/>
          <w:lang w:eastAsia="en-AU"/>
        </w:rPr>
      </w:r>
      <w:r>
        <w:rPr>
          <w:rFonts w:ascii="Inter" w:eastAsia="Times New Roman" w:hAnsi="Inter" w:cs="Times New Roman"/>
          <w:b/>
          <w:bCs/>
          <w:color w:val="1D3B69"/>
          <w:kern w:val="36"/>
          <w:sz w:val="45"/>
          <w:szCs w:val="45"/>
          <w:lang w:eastAsia="en-AU"/>
        </w:rPr>
        <w:fldChar w:fldCharType="separate"/>
      </w:r>
      <w:r w:rsidRPr="00BE31AE">
        <w:rPr>
          <w:rStyle w:val="Hyperlink"/>
          <w:rFonts w:ascii="Inter" w:eastAsia="Times New Roman" w:hAnsi="Inter" w:cs="Times New Roman"/>
          <w:b/>
          <w:bCs/>
          <w:kern w:val="36"/>
          <w:sz w:val="45"/>
          <w:szCs w:val="45"/>
          <w:lang w:eastAsia="en-AU"/>
        </w:rPr>
        <w:t xml:space="preserve">Australia Launches Its First Review of the </w:t>
      </w:r>
      <w:proofErr w:type="spellStart"/>
      <w:r w:rsidRPr="00BE31AE">
        <w:rPr>
          <w:rStyle w:val="Hyperlink"/>
          <w:rFonts w:ascii="Inter" w:eastAsia="Times New Roman" w:hAnsi="Inter" w:cs="Times New Roman"/>
          <w:b/>
          <w:bCs/>
          <w:kern w:val="36"/>
          <w:sz w:val="45"/>
          <w:szCs w:val="45"/>
          <w:lang w:eastAsia="en-AU"/>
        </w:rPr>
        <w:t>BetStop</w:t>
      </w:r>
      <w:proofErr w:type="spellEnd"/>
      <w:r w:rsidRPr="00BE31AE">
        <w:rPr>
          <w:rStyle w:val="Hyperlink"/>
          <w:rFonts w:ascii="Inter" w:eastAsia="Times New Roman" w:hAnsi="Inter" w:cs="Times New Roman"/>
          <w:b/>
          <w:bCs/>
          <w:kern w:val="36"/>
          <w:sz w:val="45"/>
          <w:szCs w:val="45"/>
          <w:lang w:eastAsia="en-AU"/>
        </w:rPr>
        <w:t xml:space="preserve"> Self-Exclusion Register</w:t>
      </w:r>
      <w:r>
        <w:rPr>
          <w:rFonts w:ascii="Inter" w:eastAsia="Times New Roman" w:hAnsi="Inter" w:cs="Times New Roman"/>
          <w:b/>
          <w:bCs/>
          <w:color w:val="1D3B69"/>
          <w:kern w:val="36"/>
          <w:sz w:val="45"/>
          <w:szCs w:val="45"/>
          <w:lang w:eastAsia="en-AU"/>
        </w:rPr>
        <w:fldChar w:fldCharType="end"/>
      </w:r>
    </w:p>
    <w:p w:rsidR="00BE31AE" w:rsidRPr="00BE31AE" w:rsidRDefault="00BE31AE" w:rsidP="00BE31AE">
      <w:pPr>
        <w:shd w:val="clear" w:color="auto" w:fill="FFFFFF"/>
        <w:spacing w:after="0" w:line="240" w:lineRule="auto"/>
        <w:outlineLvl w:val="0"/>
        <w:rPr>
          <w:rFonts w:ascii="Inter" w:eastAsia="Times New Roman" w:hAnsi="Inter" w:cs="Times New Roman"/>
          <w:color w:val="334250"/>
          <w:lang w:eastAsia="en-AU"/>
        </w:rPr>
      </w:pPr>
      <w:hyperlink r:id="rId5" w:tooltip="Posts by Deyan Dimitrov" w:history="1">
        <w:proofErr w:type="spellStart"/>
        <w:r w:rsidRPr="00BE31AE">
          <w:rPr>
            <w:rFonts w:ascii="Inter" w:eastAsia="Times New Roman" w:hAnsi="Inter" w:cs="Times New Roman"/>
            <w:b/>
            <w:bCs/>
            <w:color w:val="0000FF"/>
            <w:u w:val="single"/>
            <w:lang w:eastAsia="en-AU"/>
          </w:rPr>
          <w:t>Deyan</w:t>
        </w:r>
        <w:proofErr w:type="spellEnd"/>
        <w:r w:rsidRPr="00BE31AE">
          <w:rPr>
            <w:rFonts w:ascii="Inter" w:eastAsia="Times New Roman" w:hAnsi="Inter" w:cs="Times New Roman"/>
            <w:b/>
            <w:bCs/>
            <w:color w:val="0000FF"/>
            <w:u w:val="single"/>
            <w:lang w:eastAsia="en-AU"/>
          </w:rPr>
          <w:t xml:space="preserve"> </w:t>
        </w:r>
        <w:proofErr w:type="spellStart"/>
        <w:r w:rsidRPr="00BE31AE">
          <w:rPr>
            <w:rFonts w:ascii="Inter" w:eastAsia="Times New Roman" w:hAnsi="Inter" w:cs="Times New Roman"/>
            <w:b/>
            <w:bCs/>
            <w:color w:val="0000FF"/>
            <w:u w:val="single"/>
            <w:lang w:eastAsia="en-AU"/>
          </w:rPr>
          <w:t>Dimitrov</w:t>
        </w:r>
        <w:proofErr w:type="spellEnd"/>
      </w:hyperlink>
      <w:r>
        <w:rPr>
          <w:rFonts w:ascii="Inter" w:eastAsia="Times New Roman" w:hAnsi="Inter" w:cs="Times New Roman"/>
          <w:b/>
          <w:bCs/>
          <w:color w:val="204289"/>
          <w:lang w:eastAsia="en-AU"/>
        </w:rPr>
        <w:t xml:space="preserve">   </w:t>
      </w:r>
      <w:r w:rsidRPr="00BE31AE">
        <w:rPr>
          <w:rFonts w:ascii="Inter" w:eastAsia="Times New Roman" w:hAnsi="Inter" w:cs="Times New Roman"/>
          <w:caps/>
          <w:color w:val="8E8F9D"/>
          <w:sz w:val="20"/>
          <w:szCs w:val="20"/>
          <w:lang w:eastAsia="en-AU"/>
        </w:rPr>
        <w:t>October 22, 2024</w:t>
      </w:r>
      <w:r>
        <w:rPr>
          <w:rFonts w:ascii="Inter" w:eastAsia="Times New Roman" w:hAnsi="Inter" w:cs="Times New Roman"/>
          <w:caps/>
          <w:color w:val="8E8F9D"/>
          <w:sz w:val="20"/>
          <w:szCs w:val="20"/>
          <w:lang w:eastAsia="en-AU"/>
        </w:rPr>
        <w:br/>
      </w:r>
      <w:proofErr w:type="gramStart"/>
      <w:r w:rsidRPr="00BE31AE">
        <w:rPr>
          <w:rFonts w:ascii="Inter" w:eastAsia="Times New Roman" w:hAnsi="Inter" w:cs="Times New Roman"/>
          <w:color w:val="334250"/>
          <w:lang w:eastAsia="en-AU"/>
        </w:rPr>
        <w:t>While</w:t>
      </w:r>
      <w:proofErr w:type="gramEnd"/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 the program has reportedly recorded significant success, the government aims to carefully examine its track record </w:t>
      </w:r>
      <w:r w:rsidRPr="00BE31AE">
        <w:rPr>
          <w:rFonts w:ascii="Inter" w:eastAsia="Times New Roman" w:hAnsi="Inter" w:cs="Times New Roman"/>
          <w:b/>
          <w:color w:val="334250"/>
          <w:highlight w:val="yellow"/>
          <w:lang w:eastAsia="en-AU"/>
        </w:rPr>
        <w:t>and introduce improvements where necessary</w:t>
      </w:r>
      <w:r>
        <w:rPr>
          <w:rFonts w:ascii="Inter" w:eastAsia="Times New Roman" w:hAnsi="Inter" w:cs="Times New Roman"/>
          <w:color w:val="334250"/>
          <w:lang w:eastAsia="en-AU"/>
        </w:rPr>
        <w:br/>
      </w:r>
    </w:p>
    <w:p w:rsidR="00BE31AE" w:rsidRPr="00BE31AE" w:rsidRDefault="00BE31AE" w:rsidP="00BE31A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lang w:eastAsia="en-AU"/>
        </w:rPr>
      </w:pPr>
      <w:r w:rsidRPr="00BE31AE">
        <w:rPr>
          <w:rFonts w:ascii="Inter" w:eastAsia="Times New Roman" w:hAnsi="Inter" w:cs="Times New Roman"/>
          <w:noProof/>
          <w:color w:val="000000"/>
          <w:lang w:eastAsia="en-AU"/>
        </w:rPr>
        <w:drawing>
          <wp:inline distT="0" distB="0" distL="0" distR="0">
            <wp:extent cx="5229225" cy="2614613"/>
            <wp:effectExtent l="0" t="0" r="0" b="0"/>
            <wp:docPr id="1" name="Picture 1" descr="news-businessman-magnifying-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-businessman-magnifying-gla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93" cy="261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AE" w:rsidRPr="00BE31AE" w:rsidRDefault="00BE31AE" w:rsidP="00BE31AE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AU"/>
        </w:rPr>
      </w:pPr>
    </w:p>
    <w:p w:rsidR="00BE31AE" w:rsidRPr="00BE31AE" w:rsidRDefault="00BE31AE" w:rsidP="00BE31A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334250"/>
          <w:lang w:eastAsia="en-AU"/>
        </w:rPr>
      </w:pPr>
      <w:r w:rsidRPr="00BE31AE">
        <w:rPr>
          <w:rFonts w:ascii="Inter" w:eastAsia="Times New Roman" w:hAnsi="Inter" w:cs="Times New Roman"/>
          <w:color w:val="334250"/>
          <w:lang w:eastAsia="en-AU"/>
        </w:rPr>
        <w:t>The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Australian 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government has initiated the first statutory review into </w:t>
      </w:r>
      <w:proofErr w:type="spellStart"/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, the National Self-Exclusion Register </w:t>
      </w:r>
      <w:r w:rsidRPr="00BE31AE">
        <w:rPr>
          <w:rFonts w:ascii="Inter" w:eastAsia="Times New Roman" w:hAnsi="Inter" w:cs="Times New Roman"/>
          <w:b/>
          <w:color w:val="334250"/>
          <w:highlight w:val="yellow"/>
          <w:lang w:eastAsia="en-AU"/>
        </w:rPr>
        <w:t>created to protect Australians from the harms of online gambling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. </w:t>
      </w:r>
      <w:hyperlink r:id="rId7" w:history="1">
        <w:r w:rsidRPr="00BE31AE">
          <w:rPr>
            <w:rFonts w:ascii="Inter" w:eastAsia="Times New Roman" w:hAnsi="Inter" w:cs="Times New Roman"/>
            <w:color w:val="204289"/>
            <w:u w:val="single"/>
            <w:lang w:eastAsia="en-AU"/>
          </w:rPr>
          <w:t>Leading the review</w:t>
        </w:r>
      </w:hyperlink>
      <w:r w:rsidRPr="00BE31AE">
        <w:rPr>
          <w:rFonts w:ascii="Inter" w:eastAsia="Times New Roman" w:hAnsi="Inter" w:cs="Times New Roman"/>
          <w:color w:val="334250"/>
          <w:lang w:eastAsia="en-AU"/>
        </w:rPr>
        <w:t> will be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 xml:space="preserve">Richard </w:t>
      </w:r>
      <w:proofErr w:type="spellStart"/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Eccles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>, an experienced public sector leader, who will help examine the register’s effectiveness and regulatory framework </w:t>
      </w:r>
      <w:r>
        <w:rPr>
          <w:rFonts w:ascii="Inter" w:eastAsia="Times New Roman" w:hAnsi="Inter" w:cs="Times New Roman"/>
          <w:color w:val="334250"/>
          <w:lang w:eastAsia="en-AU"/>
        </w:rPr>
        <w:br/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after 12 months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 of operation.</w:t>
      </w:r>
    </w:p>
    <w:p w:rsidR="00BE31AE" w:rsidRPr="00BE31AE" w:rsidRDefault="00BE31AE" w:rsidP="00BE31AE">
      <w:pPr>
        <w:shd w:val="clear" w:color="auto" w:fill="FFFFFF"/>
        <w:spacing w:before="120" w:after="120" w:line="240" w:lineRule="auto"/>
        <w:outlineLvl w:val="1"/>
        <w:rPr>
          <w:rFonts w:ascii="Inter" w:eastAsia="Times New Roman" w:hAnsi="Inter" w:cs="Times New Roman"/>
          <w:b/>
          <w:bCs/>
          <w:color w:val="1D3B69"/>
          <w:spacing w:val="-18"/>
          <w:sz w:val="36"/>
          <w:szCs w:val="36"/>
          <w:lang w:eastAsia="en-AU"/>
        </w:rPr>
      </w:pPr>
      <w:r w:rsidRPr="00BE31AE">
        <w:rPr>
          <w:rFonts w:ascii="Inter" w:eastAsia="Times New Roman" w:hAnsi="Inter" w:cs="Times New Roman"/>
          <w:b/>
          <w:bCs/>
          <w:color w:val="1D3B69"/>
          <w:spacing w:val="-18"/>
          <w:sz w:val="36"/>
          <w:szCs w:val="36"/>
          <w:highlight w:val="yellow"/>
          <w:lang w:eastAsia="en-AU"/>
        </w:rPr>
        <w:t>Gambling Harm Remains a Rising Threat to Australians</w:t>
      </w:r>
    </w:p>
    <w:p w:rsidR="00BE31AE" w:rsidRPr="00BE31AE" w:rsidRDefault="00BE31AE" w:rsidP="00BE31AE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334250"/>
          <w:lang w:eastAsia="en-AU"/>
        </w:rPr>
      </w:pP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>, implemented by the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Australian Communications and Media Authority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 (</w:t>
      </w: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ACMA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>) in August 2023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, covers all licensed Australian gambling operators. It ensures those who </w:t>
      </w:r>
      <w:proofErr w:type="spellStart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enroll</w:t>
      </w:r>
      <w:proofErr w:type="spellEnd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 in the program </w:t>
      </w:r>
      <w:r w:rsidRPr="00BE31AE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cannot open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new betting accounts, place bets, or receive marketing materials from operators. Providers must also </w:t>
      </w:r>
      <w:r w:rsidRPr="00BE31AE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close the existing accounts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of self-excluded individuals to strengthen </w:t>
      </w:r>
      <w:hyperlink r:id="rId8" w:history="1">
        <w:r w:rsidRPr="00BE31AE">
          <w:rPr>
            <w:rFonts w:ascii="Inter" w:eastAsia="Times New Roman" w:hAnsi="Inter" w:cs="Times New Roman"/>
            <w:color w:val="204289"/>
            <w:highlight w:val="yellow"/>
            <w:u w:val="single"/>
            <w:lang w:eastAsia="en-AU"/>
          </w:rPr>
          <w:t>anti-gambling harm</w:t>
        </w:r>
      </w:hyperlink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safeguards.</w:t>
      </w:r>
    </w:p>
    <w:p w:rsidR="00BE31AE" w:rsidRPr="00BE31AE" w:rsidRDefault="00BE31AE" w:rsidP="00BE31AE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334250"/>
          <w:lang w:eastAsia="en-AU"/>
        </w:rPr>
      </w:pPr>
      <w:r w:rsidRPr="00BE31AE">
        <w:rPr>
          <w:rFonts w:ascii="Inter" w:eastAsia="Times New Roman" w:hAnsi="Inter" w:cs="Times New Roman"/>
          <w:color w:val="334250"/>
          <w:lang w:eastAsia="en-AU"/>
        </w:rPr>
        <w:t>Minister for Communications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 Michelle Rowland</w:t>
      </w:r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 highlighted </w:t>
      </w: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BetStop’s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 positive impact on Australian families. She urged individuals who’ve registered or interacted with </w:t>
      </w: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 to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share their feedback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 in the upcoming public consultation, helping further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refine the service</w:t>
      </w:r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 and expand its reach and visibility. 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Rowland also reaffirmed her dedication to delivering the best possible exclusion platform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.</w:t>
      </w:r>
    </w:p>
    <w:p w:rsidR="00BE31AE" w:rsidRPr="00BE31AE" w:rsidRDefault="00BE31AE" w:rsidP="00BE31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b/>
          <w:bCs/>
          <w:color w:val="000000"/>
          <w:lang w:eastAsia="en-AU"/>
        </w:rPr>
      </w:pPr>
      <w:r w:rsidRPr="00BE31AE">
        <w:rPr>
          <w:rFonts w:ascii="Inter" w:eastAsia="Times New Roman" w:hAnsi="Inter" w:cs="Times New Roman"/>
          <w:b/>
          <w:bCs/>
          <w:i/>
          <w:iCs/>
          <w:color w:val="000000"/>
          <w:lang w:eastAsia="en-AU"/>
        </w:rPr>
        <w:t xml:space="preserve">We want to make sure </w:t>
      </w:r>
      <w:proofErr w:type="spellStart"/>
      <w:r w:rsidRPr="00BE31AE">
        <w:rPr>
          <w:rFonts w:ascii="Inter" w:eastAsia="Times New Roman" w:hAnsi="Inter" w:cs="Times New Roman"/>
          <w:b/>
          <w:bCs/>
          <w:i/>
          <w:iCs/>
          <w:color w:val="000000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b/>
          <w:bCs/>
          <w:i/>
          <w:iCs/>
          <w:color w:val="000000"/>
          <w:lang w:eastAsia="en-AU"/>
        </w:rPr>
        <w:t xml:space="preserve"> is working as effectively as possible to protect vulnerable Australians from gambling harms – which is why my department is undertaking this review.</w:t>
      </w:r>
    </w:p>
    <w:p w:rsidR="00BE31AE" w:rsidRPr="00BE31AE" w:rsidRDefault="00BE31AE" w:rsidP="00BE31AE">
      <w:pPr>
        <w:shd w:val="clear" w:color="auto" w:fill="FFFFFF"/>
        <w:spacing w:line="240" w:lineRule="auto"/>
        <w:rPr>
          <w:rFonts w:ascii="Inter" w:eastAsia="Times New Roman" w:hAnsi="Inter" w:cs="Times New Roman"/>
          <w:b/>
          <w:color w:val="000000"/>
          <w:lang w:eastAsia="en-AU"/>
        </w:rPr>
      </w:pPr>
      <w:r w:rsidRPr="00BE31AE">
        <w:rPr>
          <w:rFonts w:ascii="Inter" w:eastAsia="Times New Roman" w:hAnsi="Inter" w:cs="Times New Roman"/>
          <w:b/>
          <w:color w:val="C7BA89"/>
          <w:highlight w:val="red"/>
          <w:lang w:eastAsia="en-AU"/>
        </w:rPr>
        <w:t>Michelle Rowland, Minister for Communications</w:t>
      </w:r>
    </w:p>
    <w:p w:rsidR="00BE31AE" w:rsidRPr="00BE31AE" w:rsidRDefault="00BE31AE" w:rsidP="00BE31AE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334250"/>
          <w:lang w:eastAsia="en-AU"/>
        </w:rPr>
      </w:pP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ACMA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 created the self-exclusion tool to combat the significant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personal and societal impacts</w:t>
      </w:r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 of problem gambling. Research shows that problem gaming can lead to financial strain, relationship breakdowns, and impact individuals’ mental and physical health. </w:t>
      </w:r>
      <w:proofErr w:type="spellStart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 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lastRenderedPageBreak/>
        <w:t>allows individuals to 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exclude themselves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from wagering voluntarily, 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reducing their exposure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to gambling-related harm.</w:t>
      </w:r>
    </w:p>
    <w:p w:rsidR="00BE31AE" w:rsidRPr="00BE31AE" w:rsidRDefault="00BE31AE" w:rsidP="00BE31AE">
      <w:pPr>
        <w:shd w:val="clear" w:color="auto" w:fill="FFFFFF"/>
        <w:spacing w:before="120" w:after="120" w:line="240" w:lineRule="auto"/>
        <w:outlineLvl w:val="1"/>
        <w:rPr>
          <w:rFonts w:ascii="Inter" w:eastAsia="Times New Roman" w:hAnsi="Inter" w:cs="Times New Roman"/>
          <w:b/>
          <w:bCs/>
          <w:color w:val="1D3B69"/>
          <w:spacing w:val="-18"/>
          <w:sz w:val="36"/>
          <w:szCs w:val="36"/>
          <w:lang w:eastAsia="en-AU"/>
        </w:rPr>
      </w:pPr>
      <w:proofErr w:type="spellStart"/>
      <w:r w:rsidRPr="00BE31AE">
        <w:rPr>
          <w:rFonts w:ascii="Inter" w:eastAsia="Times New Roman" w:hAnsi="Inter" w:cs="Times New Roman"/>
          <w:b/>
          <w:bCs/>
          <w:color w:val="1D3B69"/>
          <w:spacing w:val="-18"/>
          <w:sz w:val="36"/>
          <w:szCs w:val="36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b/>
          <w:bCs/>
          <w:color w:val="1D3B69"/>
          <w:spacing w:val="-18"/>
          <w:sz w:val="36"/>
          <w:szCs w:val="36"/>
          <w:lang w:eastAsia="en-AU"/>
        </w:rPr>
        <w:t xml:space="preserve"> Has Helped Tens of Thousands of Users</w:t>
      </w:r>
    </w:p>
    <w:p w:rsidR="00BE31AE" w:rsidRPr="00BE31AE" w:rsidRDefault="00BE31AE" w:rsidP="00BE31AE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334250"/>
          <w:lang w:eastAsia="en-AU"/>
        </w:rPr>
      </w:pP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Since its inception, </w:t>
      </w:r>
      <w:proofErr w:type="spellStart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 has seen </w:t>
      </w:r>
      <w:hyperlink r:id="rId9" w:history="1">
        <w:r w:rsidRPr="00D753B6">
          <w:rPr>
            <w:rFonts w:ascii="Inter" w:eastAsia="Times New Roman" w:hAnsi="Inter" w:cs="Times New Roman"/>
            <w:color w:val="204289"/>
            <w:highlight w:val="yellow"/>
            <w:u w:val="single"/>
            <w:lang w:eastAsia="en-AU"/>
          </w:rPr>
          <w:t>rapid adoption</w:t>
        </w:r>
      </w:hyperlink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. To date, 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over 30,000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Australians have registered for the service. Most registrants,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 79%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, are under the age of 40, and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 39%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have opted for a lifetime ban from gambling. Currently,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 23,000 people 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have active exclusions. Initial estimates suggest that </w:t>
      </w:r>
      <w:proofErr w:type="spellStart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BetStop’s</w:t>
      </w:r>
      <w:proofErr w:type="spellEnd"/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 xml:space="preserve"> reduction of gambling harm may have already led to cost savings of</w:t>
      </w:r>
      <w:r w:rsidRPr="00D753B6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 $80-$135 million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.</w:t>
      </w:r>
    </w:p>
    <w:p w:rsidR="00BE31AE" w:rsidRPr="00BE31AE" w:rsidRDefault="00BE31AE" w:rsidP="00BE31AE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334250"/>
          <w:lang w:eastAsia="en-AU"/>
        </w:rPr>
      </w:pPr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The review will consider whether </w:t>
      </w: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BetStop’s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 regulatory framework remains relevant in the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evolving landscape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 of online gambling. Minister for Social Services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 xml:space="preserve">Amanda </w:t>
      </w:r>
      <w:proofErr w:type="spellStart"/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Rishworth</w:t>
      </w:r>
      <w:proofErr w:type="spellEnd"/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 </w:t>
      </w:r>
      <w:r w:rsidRPr="00BE31AE">
        <w:rPr>
          <w:rFonts w:ascii="Inter" w:eastAsia="Times New Roman" w:hAnsi="Inter" w:cs="Times New Roman"/>
          <w:color w:val="334250"/>
          <w:lang w:eastAsia="en-AU"/>
        </w:rPr>
        <w:t>noted the review was an opportunity to ensure the </w:t>
      </w:r>
      <w:r w:rsidRPr="00BE31AE">
        <w:rPr>
          <w:rFonts w:ascii="Inter" w:eastAsia="Times New Roman" w:hAnsi="Inter" w:cs="Times New Roman"/>
          <w:b/>
          <w:bCs/>
          <w:color w:val="334250"/>
          <w:lang w:eastAsia="en-AU"/>
        </w:rPr>
        <w:t>continued effectiveness </w:t>
      </w:r>
      <w:r w:rsidRPr="00BE31AE">
        <w:rPr>
          <w:rFonts w:ascii="Inter" w:eastAsia="Times New Roman" w:hAnsi="Inter" w:cs="Times New Roman"/>
          <w:color w:val="334250"/>
          <w:lang w:eastAsia="en-AU"/>
        </w:rPr>
        <w:t xml:space="preserve">of </w:t>
      </w:r>
      <w:proofErr w:type="spellStart"/>
      <w:r w:rsidRPr="00BE31AE">
        <w:rPr>
          <w:rFonts w:ascii="Inter" w:eastAsia="Times New Roman" w:hAnsi="Inter" w:cs="Times New Roman"/>
          <w:color w:val="334250"/>
          <w:lang w:eastAsia="en-AU"/>
        </w:rPr>
        <w:t>BetStop</w:t>
      </w:r>
      <w:proofErr w:type="spellEnd"/>
      <w:r w:rsidRPr="00BE31AE">
        <w:rPr>
          <w:rFonts w:ascii="Inter" w:eastAsia="Times New Roman" w:hAnsi="Inter" w:cs="Times New Roman"/>
          <w:color w:val="334250"/>
          <w:lang w:eastAsia="en-AU"/>
        </w:rPr>
        <w:t>. She also highlighted the government’s past actions and ongoing commitment to protecting consumers.</w:t>
      </w:r>
    </w:p>
    <w:p w:rsidR="00BE31AE" w:rsidRPr="00BE31AE" w:rsidRDefault="00BE31AE" w:rsidP="00BE31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b/>
          <w:bCs/>
          <w:color w:val="000000"/>
          <w:lang w:eastAsia="en-AU"/>
        </w:rPr>
      </w:pPr>
      <w:r w:rsidRPr="00BE31AE">
        <w:rPr>
          <w:rFonts w:ascii="Inter" w:eastAsia="Times New Roman" w:hAnsi="Inter" w:cs="Times New Roman"/>
          <w:b/>
          <w:bCs/>
          <w:i/>
          <w:iCs/>
          <w:color w:val="000000"/>
          <w:lang w:eastAsia="en-AU"/>
        </w:rPr>
        <w:t>Protecting vulnerable Australians from online gambling harms is not a set-and-forget proposition – and we’ll continue to work closely with stakeholders across government, industry and community to address this pervasive issue.</w:t>
      </w:r>
    </w:p>
    <w:p w:rsidR="00BE31AE" w:rsidRPr="00BE31AE" w:rsidRDefault="00BE31AE" w:rsidP="00BE31AE">
      <w:pPr>
        <w:shd w:val="clear" w:color="auto" w:fill="FFFFFF"/>
        <w:spacing w:line="240" w:lineRule="auto"/>
        <w:rPr>
          <w:rFonts w:ascii="Inter" w:eastAsia="Times New Roman" w:hAnsi="Inter" w:cs="Times New Roman"/>
          <w:b/>
          <w:color w:val="000000"/>
          <w:lang w:eastAsia="en-AU"/>
        </w:rPr>
      </w:pPr>
      <w:r w:rsidRPr="00BE31AE">
        <w:rPr>
          <w:rFonts w:ascii="Inter" w:eastAsia="Times New Roman" w:hAnsi="Inter" w:cs="Times New Roman"/>
          <w:b/>
          <w:color w:val="C7BA89"/>
          <w:highlight w:val="red"/>
          <w:lang w:eastAsia="en-AU"/>
        </w:rPr>
        <w:t xml:space="preserve">Amanda </w:t>
      </w:r>
      <w:proofErr w:type="spellStart"/>
      <w:r w:rsidRPr="00BE31AE">
        <w:rPr>
          <w:rFonts w:ascii="Inter" w:eastAsia="Times New Roman" w:hAnsi="Inter" w:cs="Times New Roman"/>
          <w:b/>
          <w:color w:val="C7BA89"/>
          <w:highlight w:val="red"/>
          <w:lang w:eastAsia="en-AU"/>
        </w:rPr>
        <w:t>Rishworth</w:t>
      </w:r>
      <w:proofErr w:type="spellEnd"/>
      <w:r w:rsidRPr="00BE31AE">
        <w:rPr>
          <w:rFonts w:ascii="Inter" w:eastAsia="Times New Roman" w:hAnsi="Inter" w:cs="Times New Roman"/>
          <w:b/>
          <w:color w:val="C7BA89"/>
          <w:highlight w:val="red"/>
          <w:lang w:eastAsia="en-AU"/>
        </w:rPr>
        <w:t>, Minister for Social Services</w:t>
      </w:r>
    </w:p>
    <w:p w:rsidR="00BE31AE" w:rsidRPr="00BE31AE" w:rsidRDefault="00BE31AE" w:rsidP="00BE31AE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334250"/>
          <w:lang w:eastAsia="en-AU"/>
        </w:rPr>
      </w:pP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The Department of Infrastructure, Transport, Regional Development, Communications, and the Arts will outline the process for</w:t>
      </w:r>
      <w:r w:rsidRPr="00730AD1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 public consultations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 on its website by the end of </w:t>
      </w:r>
      <w:r w:rsidRPr="00730AD1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November 2024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. The review must present its final report to the Minister for Communications </w:t>
      </w:r>
      <w:r w:rsidRPr="00730AD1">
        <w:rPr>
          <w:rFonts w:ascii="Inter" w:eastAsia="Times New Roman" w:hAnsi="Inter" w:cs="Times New Roman"/>
          <w:b/>
          <w:bCs/>
          <w:color w:val="334250"/>
          <w:highlight w:val="yellow"/>
          <w:lang w:eastAsia="en-AU"/>
        </w:rPr>
        <w:t>within 18 months</w:t>
      </w:r>
      <w:r w:rsidRPr="00BE31AE">
        <w:rPr>
          <w:rFonts w:ascii="Inter" w:eastAsia="Times New Roman" w:hAnsi="Inter" w:cs="Times New Roman"/>
          <w:color w:val="334250"/>
          <w:highlight w:val="yellow"/>
          <w:lang w:eastAsia="en-AU"/>
        </w:rPr>
        <w:t>. The findings will then be reviewed in Parliament, potentially leading to further refinements to reflect emerging trends in the online gambling industry.</w:t>
      </w:r>
      <w:bookmarkStart w:id="0" w:name="_GoBack"/>
      <w:bookmarkEnd w:id="0"/>
    </w:p>
    <w:p w:rsidR="00704784" w:rsidRDefault="00704784"/>
    <w:sectPr w:rsidR="00704784" w:rsidSect="00BE3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0EBC"/>
    <w:multiLevelType w:val="multilevel"/>
    <w:tmpl w:val="0C1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AE"/>
    <w:rsid w:val="00704784"/>
    <w:rsid w:val="00730AD1"/>
    <w:rsid w:val="00BE31AE"/>
    <w:rsid w:val="00D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280A-4BF3-429C-AE98-E457ADE9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3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E3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1A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E31AE"/>
    <w:rPr>
      <w:rFonts w:ascii="Times New Roman" w:eastAsia="Times New Roman" w:hAnsi="Times New Roman" w:cs="Times New Roman"/>
      <w:b/>
      <w:bCs/>
      <w:color w:val="auto"/>
      <w:sz w:val="36"/>
      <w:szCs w:val="36"/>
      <w:lang w:eastAsia="en-AU"/>
    </w:rPr>
  </w:style>
  <w:style w:type="character" w:customStyle="1" w:styleId="author">
    <w:name w:val="author"/>
    <w:basedOn w:val="DefaultParagraphFont"/>
    <w:rsid w:val="00BE31AE"/>
  </w:style>
  <w:style w:type="character" w:styleId="Hyperlink">
    <w:name w:val="Hyperlink"/>
    <w:basedOn w:val="DefaultParagraphFont"/>
    <w:uiPriority w:val="99"/>
    <w:unhideWhenUsed/>
    <w:rsid w:val="00BE31AE"/>
    <w:rPr>
      <w:color w:val="0000FF"/>
      <w:u w:val="single"/>
    </w:rPr>
  </w:style>
  <w:style w:type="character" w:customStyle="1" w:styleId="date">
    <w:name w:val="date"/>
    <w:basedOn w:val="DefaultParagraphFont"/>
    <w:rsid w:val="00BE31AE"/>
  </w:style>
  <w:style w:type="character" w:customStyle="1" w:styleId="read">
    <w:name w:val="read"/>
    <w:basedOn w:val="DefaultParagraphFont"/>
    <w:rsid w:val="00BE31AE"/>
  </w:style>
  <w:style w:type="paragraph" w:styleId="NormalWeb">
    <w:name w:val="Normal (Web)"/>
    <w:basedOn w:val="Normal"/>
    <w:uiPriority w:val="99"/>
    <w:semiHidden/>
    <w:unhideWhenUsed/>
    <w:rsid w:val="00BE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paragraph" w:customStyle="1" w:styleId="summary">
    <w:name w:val="summary"/>
    <w:basedOn w:val="Normal"/>
    <w:rsid w:val="00BE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AU"/>
    </w:rPr>
  </w:style>
  <w:style w:type="character" w:customStyle="1" w:styleId="img-text">
    <w:name w:val="img-text"/>
    <w:basedOn w:val="DefaultParagraphFont"/>
    <w:rsid w:val="00BE31AE"/>
  </w:style>
  <w:style w:type="character" w:styleId="Strong">
    <w:name w:val="Strong"/>
    <w:basedOn w:val="DefaultParagraphFont"/>
    <w:uiPriority w:val="22"/>
    <w:qFormat/>
    <w:rsid w:val="00BE31AE"/>
    <w:rPr>
      <w:b/>
      <w:bCs/>
    </w:rPr>
  </w:style>
  <w:style w:type="character" w:styleId="Emphasis">
    <w:name w:val="Emphasis"/>
    <w:basedOn w:val="DefaultParagraphFont"/>
    <w:uiPriority w:val="20"/>
    <w:qFormat/>
    <w:rsid w:val="00BE31A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E3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8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52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9" w:color="C7BA89"/>
                <w:bottom w:val="none" w:sz="0" w:space="0" w:color="auto"/>
                <w:right w:val="none" w:sz="0" w:space="0" w:color="auto"/>
              </w:divBdr>
            </w:div>
            <w:div w:id="1725058692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9" w:color="C7BA8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blingnews.com/news/tim-costello-criticizes-nrl-afl-for-ignoring-problem-gamb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mblingnews.com/news/ex-deputy-secretary-eccles-appointed-to-review-betstop-sche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amblingnews.com/news/author/deya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mblingnews.com/news/acma-betstop-reached-almost-26k-registrants-in-ju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2024-10-25T00:49:00Z</dcterms:created>
  <dcterms:modified xsi:type="dcterms:W3CDTF">2024-10-25T01:11:00Z</dcterms:modified>
</cp:coreProperties>
</file>