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1655" w:rsidRPr="00581655" w:rsidRDefault="00581655" w:rsidP="00581655">
      <w:pPr>
        <w:spacing w:after="240"/>
        <w:rPr>
          <w:rFonts w:ascii="Trebuchet MS" w:eastAsia="Times New Roman" w:hAnsi="Trebuchet MS" w:cs="Times New Roman"/>
          <w:b/>
          <w:color w:val="45494B"/>
          <w:sz w:val="36"/>
          <w:szCs w:val="36"/>
          <w:lang w:eastAsia="en-AU"/>
        </w:rPr>
      </w:pPr>
      <w:r>
        <w:rPr>
          <w:rFonts w:ascii="Trebuchet MS" w:eastAsia="Times New Roman" w:hAnsi="Trebuchet MS" w:cs="Times New Roman"/>
          <w:b/>
          <w:color w:val="45494B"/>
          <w:sz w:val="36"/>
          <w:szCs w:val="36"/>
          <w:lang w:eastAsia="en-AU"/>
        </w:rPr>
        <w:fldChar w:fldCharType="begin"/>
      </w:r>
      <w:r>
        <w:rPr>
          <w:rFonts w:ascii="Trebuchet MS" w:eastAsia="Times New Roman" w:hAnsi="Trebuchet MS" w:cs="Times New Roman"/>
          <w:b/>
          <w:color w:val="45494B"/>
          <w:sz w:val="36"/>
          <w:szCs w:val="36"/>
          <w:lang w:eastAsia="en-AU"/>
        </w:rPr>
        <w:instrText xml:space="preserve"> HYPERLINK "https://www.aihw.gov.au/reports/australias-welfare/gambling" </w:instrText>
      </w:r>
      <w:r>
        <w:rPr>
          <w:rFonts w:ascii="Trebuchet MS" w:eastAsia="Times New Roman" w:hAnsi="Trebuchet MS" w:cs="Times New Roman"/>
          <w:b/>
          <w:color w:val="45494B"/>
          <w:sz w:val="36"/>
          <w:szCs w:val="36"/>
          <w:lang w:eastAsia="en-AU"/>
        </w:rPr>
        <w:fldChar w:fldCharType="separate"/>
      </w:r>
      <w:r w:rsidRPr="00581655">
        <w:rPr>
          <w:rStyle w:val="Hyperlink"/>
          <w:rFonts w:ascii="Trebuchet MS" w:eastAsia="Times New Roman" w:hAnsi="Trebuchet MS" w:cs="Times New Roman"/>
          <w:b/>
          <w:sz w:val="36"/>
          <w:szCs w:val="36"/>
          <w:lang w:eastAsia="en-AU"/>
        </w:rPr>
        <w:t>Australian Institute of Health and Welfare - Gambling</w:t>
      </w:r>
      <w:r>
        <w:rPr>
          <w:rFonts w:ascii="Trebuchet MS" w:eastAsia="Times New Roman" w:hAnsi="Trebuchet MS" w:cs="Times New Roman"/>
          <w:b/>
          <w:color w:val="45494B"/>
          <w:sz w:val="36"/>
          <w:szCs w:val="36"/>
          <w:lang w:eastAsia="en-AU"/>
        </w:rPr>
        <w:fldChar w:fldCharType="end"/>
      </w:r>
    </w:p>
    <w:p w:rsidR="002837DB" w:rsidRDefault="00581655" w:rsidP="002837DB">
      <w:pPr>
        <w:spacing w:after="120"/>
        <w:rPr>
          <w:rFonts w:ascii="Trebuchet MS" w:eastAsia="Times New Roman" w:hAnsi="Trebuchet MS" w:cs="Times New Roman"/>
          <w:lang w:eastAsia="en-AU"/>
        </w:rPr>
      </w:pPr>
      <w:proofErr w:type="gramStart"/>
      <w:r w:rsidRPr="00581655">
        <w:rPr>
          <w:rFonts w:ascii="Trebuchet MS" w:eastAsia="Times New Roman" w:hAnsi="Trebuchet MS" w:cs="Times New Roman"/>
          <w:lang w:eastAsia="en-AU"/>
        </w:rPr>
        <w:t>Gambling  encompasses</w:t>
      </w:r>
      <w:proofErr w:type="gramEnd"/>
      <w:r w:rsidRPr="00581655">
        <w:rPr>
          <w:rFonts w:ascii="Trebuchet MS" w:eastAsia="Times New Roman" w:hAnsi="Trebuchet MS" w:cs="Times New Roman"/>
          <w:lang w:eastAsia="en-AU"/>
        </w:rPr>
        <w:t xml:space="preserve"> a range of activities where people stake money on an uncertain outcome to win money (</w:t>
      </w:r>
      <w:proofErr w:type="spellStart"/>
      <w:r w:rsidRPr="00581655">
        <w:rPr>
          <w:rFonts w:ascii="Trebuchet MS" w:eastAsia="Times New Roman" w:hAnsi="Trebuchet MS" w:cs="Times New Roman"/>
          <w:lang w:eastAsia="en-AU"/>
        </w:rPr>
        <w:t>Sathanapally</w:t>
      </w:r>
      <w:proofErr w:type="spellEnd"/>
      <w:r w:rsidRPr="00581655">
        <w:rPr>
          <w:rFonts w:ascii="Trebuchet MS" w:eastAsia="Times New Roman" w:hAnsi="Trebuchet MS" w:cs="Times New Roman"/>
          <w:lang w:eastAsia="en-AU"/>
        </w:rPr>
        <w:t xml:space="preserve"> et al. 2024). There are many different types of gambling, including lotteries, </w:t>
      </w:r>
      <w:proofErr w:type="spellStart"/>
      <w:r w:rsidRPr="00581655">
        <w:rPr>
          <w:rFonts w:ascii="Trebuchet MS" w:eastAsia="Times New Roman" w:hAnsi="Trebuchet MS" w:cs="Times New Roman"/>
          <w:lang w:eastAsia="en-AU"/>
        </w:rPr>
        <w:t>scratchies</w:t>
      </w:r>
      <w:proofErr w:type="spellEnd"/>
      <w:r w:rsidRPr="00581655">
        <w:rPr>
          <w:rFonts w:ascii="Trebuchet MS" w:eastAsia="Times New Roman" w:hAnsi="Trebuchet MS" w:cs="Times New Roman"/>
          <w:lang w:eastAsia="en-AU"/>
        </w:rPr>
        <w:t>, pokies, betting, and casino games. While gambling is often promoted as a recreational or entertainment activity, it can negatively impact the health and wellbeing of individuals, families and the broader community (</w:t>
      </w:r>
      <w:proofErr w:type="spellStart"/>
      <w:r w:rsidRPr="00581655">
        <w:rPr>
          <w:rFonts w:ascii="Trebuchet MS" w:eastAsia="Times New Roman" w:hAnsi="Trebuchet MS" w:cs="Times New Roman"/>
          <w:lang w:eastAsia="en-AU"/>
        </w:rPr>
        <w:t>Hilbrecht</w:t>
      </w:r>
      <w:proofErr w:type="spellEnd"/>
      <w:r w:rsidRPr="00581655">
        <w:rPr>
          <w:rFonts w:ascii="Trebuchet MS" w:eastAsia="Times New Roman" w:hAnsi="Trebuchet MS" w:cs="Times New Roman"/>
          <w:lang w:eastAsia="en-AU"/>
        </w:rPr>
        <w:t xml:space="preserve"> et al. 2020; </w:t>
      </w:r>
      <w:proofErr w:type="spellStart"/>
      <w:r w:rsidRPr="00581655">
        <w:rPr>
          <w:rFonts w:ascii="Trebuchet MS" w:eastAsia="Times New Roman" w:hAnsi="Trebuchet MS" w:cs="Times New Roman"/>
          <w:lang w:eastAsia="en-AU"/>
        </w:rPr>
        <w:t>Latvala</w:t>
      </w:r>
      <w:proofErr w:type="spellEnd"/>
      <w:r w:rsidRPr="00581655">
        <w:rPr>
          <w:rFonts w:ascii="Trebuchet MS" w:eastAsia="Times New Roman" w:hAnsi="Trebuchet MS" w:cs="Times New Roman"/>
          <w:lang w:eastAsia="en-AU"/>
        </w:rPr>
        <w:t xml:space="preserve"> </w:t>
      </w:r>
      <w:proofErr w:type="gramStart"/>
      <w:r w:rsidRPr="00581655">
        <w:rPr>
          <w:rFonts w:ascii="Trebuchet MS" w:eastAsia="Times New Roman" w:hAnsi="Trebuchet MS" w:cs="Times New Roman"/>
          <w:lang w:eastAsia="en-AU"/>
        </w:rPr>
        <w:t>et</w:t>
      </w:r>
      <w:proofErr w:type="gramEnd"/>
      <w:r w:rsidRPr="00581655">
        <w:rPr>
          <w:rFonts w:ascii="Trebuchet MS" w:eastAsia="Times New Roman" w:hAnsi="Trebuchet MS" w:cs="Times New Roman"/>
          <w:lang w:eastAsia="en-AU"/>
        </w:rPr>
        <w:t xml:space="preserve"> al.2019; Wardle et al. 2024). </w:t>
      </w:r>
    </w:p>
    <w:p w:rsidR="00581655" w:rsidRPr="00581655" w:rsidRDefault="00581655" w:rsidP="002837DB">
      <w:pPr>
        <w:spacing w:after="120"/>
        <w:rPr>
          <w:rFonts w:ascii="Times New Roman" w:eastAsia="Times New Roman" w:hAnsi="Times New Roman" w:cs="Times New Roman"/>
          <w:lang w:eastAsia="en-AU"/>
        </w:rPr>
      </w:pPr>
      <w:r w:rsidRPr="00581655">
        <w:rPr>
          <w:rFonts w:ascii="Trebuchet MS" w:eastAsia="Times New Roman" w:hAnsi="Trebuchet MS" w:cs="Times New Roman"/>
          <w:lang w:eastAsia="en-AU"/>
        </w:rPr>
        <w:t xml:space="preserve">The </w:t>
      </w:r>
      <w:r w:rsidRPr="002837DB">
        <w:rPr>
          <w:rFonts w:ascii="Trebuchet MS" w:eastAsia="Times New Roman" w:hAnsi="Trebuchet MS" w:cs="Times New Roman"/>
          <w:highlight w:val="yellow"/>
          <w:lang w:eastAsia="en-AU"/>
        </w:rPr>
        <w:t>potential health, social and economic harms associated with gambling are a major public policy issue in Australia</w:t>
      </w:r>
      <w:r w:rsidRPr="00581655">
        <w:rPr>
          <w:rFonts w:ascii="Trebuchet MS" w:eastAsia="Times New Roman" w:hAnsi="Trebuchet MS" w:cs="Times New Roman"/>
          <w:lang w:eastAsia="en-AU"/>
        </w:rPr>
        <w:t>, and include:</w:t>
      </w:r>
    </w:p>
    <w:p w:rsidR="00581655" w:rsidRPr="00581655" w:rsidRDefault="00581655" w:rsidP="002837DB">
      <w:pPr>
        <w:numPr>
          <w:ilvl w:val="0"/>
          <w:numId w:val="12"/>
        </w:numPr>
        <w:spacing w:after="60"/>
        <w:ind w:left="493" w:hanging="357"/>
        <w:rPr>
          <w:rFonts w:ascii="Trebuchet MS" w:eastAsia="Times New Roman" w:hAnsi="Trebuchet MS" w:cs="Times New Roman"/>
          <w:lang w:eastAsia="en-AU"/>
        </w:rPr>
      </w:pPr>
      <w:r w:rsidRPr="00581655">
        <w:rPr>
          <w:rFonts w:ascii="Trebuchet MS" w:eastAsia="Times New Roman" w:hAnsi="Trebuchet MS" w:cs="Times New Roman"/>
          <w:lang w:eastAsia="en-AU"/>
        </w:rPr>
        <w:t>financial and mental distress</w:t>
      </w:r>
    </w:p>
    <w:p w:rsidR="00581655" w:rsidRPr="00581655" w:rsidRDefault="00581655" w:rsidP="00581655">
      <w:pPr>
        <w:numPr>
          <w:ilvl w:val="0"/>
          <w:numId w:val="12"/>
        </w:numPr>
        <w:spacing w:before="100" w:beforeAutospacing="1" w:after="60"/>
        <w:ind w:left="495"/>
        <w:rPr>
          <w:rFonts w:ascii="Trebuchet MS" w:eastAsia="Times New Roman" w:hAnsi="Trebuchet MS" w:cs="Times New Roman"/>
          <w:lang w:eastAsia="en-AU"/>
        </w:rPr>
      </w:pPr>
      <w:r w:rsidRPr="00581655">
        <w:rPr>
          <w:rFonts w:ascii="Trebuchet MS" w:eastAsia="Times New Roman" w:hAnsi="Trebuchet MS" w:cs="Times New Roman"/>
          <w:lang w:eastAsia="en-AU"/>
        </w:rPr>
        <w:t>emotional and psychological costs</w:t>
      </w:r>
    </w:p>
    <w:p w:rsidR="00581655" w:rsidRPr="00581655" w:rsidRDefault="00581655" w:rsidP="00581655">
      <w:pPr>
        <w:numPr>
          <w:ilvl w:val="0"/>
          <w:numId w:val="12"/>
        </w:numPr>
        <w:spacing w:before="100" w:beforeAutospacing="1" w:after="60"/>
        <w:ind w:left="495"/>
        <w:rPr>
          <w:rFonts w:ascii="Trebuchet MS" w:eastAsia="Times New Roman" w:hAnsi="Trebuchet MS" w:cs="Times New Roman"/>
          <w:lang w:eastAsia="en-AU"/>
        </w:rPr>
      </w:pPr>
      <w:r w:rsidRPr="00581655">
        <w:rPr>
          <w:rFonts w:ascii="Trebuchet MS" w:eastAsia="Times New Roman" w:hAnsi="Trebuchet MS" w:cs="Times New Roman"/>
          <w:lang w:eastAsia="en-AU"/>
        </w:rPr>
        <w:t>relationship and family impacts</w:t>
      </w:r>
    </w:p>
    <w:p w:rsidR="00581655" w:rsidRPr="00581655" w:rsidRDefault="00581655" w:rsidP="00581655">
      <w:pPr>
        <w:numPr>
          <w:ilvl w:val="0"/>
          <w:numId w:val="12"/>
        </w:numPr>
        <w:spacing w:before="100" w:beforeAutospacing="1" w:after="60"/>
        <w:ind w:left="495"/>
        <w:rPr>
          <w:rFonts w:ascii="Trebuchet MS" w:eastAsia="Times New Roman" w:hAnsi="Trebuchet MS" w:cs="Times New Roman"/>
          <w:lang w:eastAsia="en-AU"/>
        </w:rPr>
      </w:pPr>
      <w:proofErr w:type="gramStart"/>
      <w:r w:rsidRPr="00581655">
        <w:rPr>
          <w:rFonts w:ascii="Trebuchet MS" w:eastAsia="Times New Roman" w:hAnsi="Trebuchet MS" w:cs="Times New Roman"/>
          <w:lang w:eastAsia="en-AU"/>
        </w:rPr>
        <w:t>productivity</w:t>
      </w:r>
      <w:proofErr w:type="gramEnd"/>
      <w:r w:rsidRPr="00581655">
        <w:rPr>
          <w:rFonts w:ascii="Trebuchet MS" w:eastAsia="Times New Roman" w:hAnsi="Trebuchet MS" w:cs="Times New Roman"/>
          <w:lang w:eastAsia="en-AU"/>
        </w:rPr>
        <w:t xml:space="preserve"> loss and work impacts (</w:t>
      </w:r>
      <w:hyperlink r:id="rId5" w:history="1">
        <w:r w:rsidRPr="002837DB">
          <w:rPr>
            <w:rStyle w:val="Hyperlink"/>
            <w:rFonts w:ascii="Trebuchet MS" w:eastAsia="Times New Roman" w:hAnsi="Trebuchet MS" w:cs="Times New Roman"/>
            <w:lang w:eastAsia="en-AU"/>
          </w:rPr>
          <w:t>Abbott 2020</w:t>
        </w:r>
      </w:hyperlink>
      <w:r w:rsidRPr="00581655">
        <w:rPr>
          <w:rFonts w:ascii="Trebuchet MS" w:eastAsia="Times New Roman" w:hAnsi="Trebuchet MS" w:cs="Times New Roman"/>
          <w:lang w:eastAsia="en-AU"/>
        </w:rPr>
        <w:t xml:space="preserve">; </w:t>
      </w:r>
      <w:hyperlink r:id="rId6" w:history="1">
        <w:proofErr w:type="spellStart"/>
        <w:r w:rsidRPr="001E6402">
          <w:rPr>
            <w:rStyle w:val="Hyperlink"/>
            <w:rFonts w:ascii="Trebuchet MS" w:eastAsia="Times New Roman" w:hAnsi="Trebuchet MS" w:cs="Times New Roman"/>
            <w:lang w:eastAsia="en-AU"/>
          </w:rPr>
          <w:t>Latvala</w:t>
        </w:r>
        <w:proofErr w:type="spellEnd"/>
        <w:r w:rsidRPr="001E6402">
          <w:rPr>
            <w:rStyle w:val="Hyperlink"/>
            <w:rFonts w:ascii="Trebuchet MS" w:eastAsia="Times New Roman" w:hAnsi="Trebuchet MS" w:cs="Times New Roman"/>
            <w:lang w:eastAsia="en-AU"/>
          </w:rPr>
          <w:t xml:space="preserve"> et al. 2019</w:t>
        </w:r>
      </w:hyperlink>
      <w:r w:rsidRPr="00581655">
        <w:rPr>
          <w:rFonts w:ascii="Trebuchet MS" w:eastAsia="Times New Roman" w:hAnsi="Trebuchet MS" w:cs="Times New Roman"/>
          <w:lang w:eastAsia="en-AU"/>
        </w:rPr>
        <w:t xml:space="preserve">; </w:t>
      </w:r>
      <w:proofErr w:type="spellStart"/>
      <w:r w:rsidRPr="00581655">
        <w:rPr>
          <w:rFonts w:ascii="Trebuchet MS" w:eastAsia="Times New Roman" w:hAnsi="Trebuchet MS" w:cs="Times New Roman"/>
          <w:lang w:eastAsia="en-AU"/>
        </w:rPr>
        <w:t>Sathanapally</w:t>
      </w:r>
      <w:proofErr w:type="spellEnd"/>
      <w:r w:rsidRPr="00581655">
        <w:rPr>
          <w:rFonts w:ascii="Trebuchet MS" w:eastAsia="Times New Roman" w:hAnsi="Trebuchet MS" w:cs="Times New Roman"/>
          <w:lang w:eastAsia="en-AU"/>
        </w:rPr>
        <w:t xml:space="preserve"> et al. 2024).</w:t>
      </w:r>
    </w:p>
    <w:p w:rsidR="00581655" w:rsidRPr="00581655" w:rsidRDefault="00581655" w:rsidP="00581655">
      <w:pPr>
        <w:spacing w:before="100" w:beforeAutospacing="1" w:after="240"/>
        <w:rPr>
          <w:rFonts w:ascii="Trebuchet MS" w:eastAsia="Times New Roman" w:hAnsi="Trebuchet MS" w:cs="Times New Roman"/>
          <w:lang w:eastAsia="en-AU"/>
        </w:rPr>
      </w:pPr>
      <w:r w:rsidRPr="00581655">
        <w:rPr>
          <w:rFonts w:ascii="Trebuchet MS" w:eastAsia="Times New Roman" w:hAnsi="Trebuchet MS" w:cs="Times New Roman"/>
          <w:lang w:eastAsia="en-AU"/>
        </w:rPr>
        <w:t xml:space="preserve">This page provides statistics, including gambling participation, expenditure, risk </w:t>
      </w:r>
      <w:r w:rsidRPr="001E6402">
        <w:rPr>
          <w:rFonts w:ascii="Trebuchet MS" w:eastAsia="Times New Roman" w:hAnsi="Trebuchet MS" w:cs="Times New Roman"/>
          <w:highlight w:val="yellow"/>
          <w:lang w:eastAsia="en-AU"/>
        </w:rPr>
        <w:t>and harm</w:t>
      </w:r>
      <w:r w:rsidRPr="00581655">
        <w:rPr>
          <w:rFonts w:ascii="Trebuchet MS" w:eastAsia="Times New Roman" w:hAnsi="Trebuchet MS" w:cs="Times New Roman"/>
          <w:lang w:eastAsia="en-AU"/>
        </w:rPr>
        <w:t>.</w:t>
      </w:r>
    </w:p>
    <w:p w:rsidR="00581655" w:rsidRPr="00581655" w:rsidRDefault="00581655" w:rsidP="00581655">
      <w:pPr>
        <w:spacing w:beforeAutospacing="1" w:after="100" w:afterAutospacing="1"/>
        <w:outlineLvl w:val="1"/>
        <w:rPr>
          <w:rFonts w:ascii="Trebuchet MS" w:eastAsia="Times New Roman" w:hAnsi="Trebuchet MS" w:cs="Times New Roman"/>
          <w:b/>
          <w:bCs/>
          <w:color w:val="45494B"/>
          <w:sz w:val="28"/>
          <w:szCs w:val="28"/>
          <w:lang w:eastAsia="en-AU"/>
        </w:rPr>
      </w:pPr>
      <w:r w:rsidRPr="00581655">
        <w:rPr>
          <w:rFonts w:ascii="Trebuchet MS" w:eastAsia="Times New Roman" w:hAnsi="Trebuchet MS" w:cs="Times New Roman"/>
          <w:b/>
          <w:bCs/>
          <w:color w:val="45494B"/>
          <w:sz w:val="28"/>
          <w:szCs w:val="28"/>
          <w:lang w:eastAsia="en-AU"/>
        </w:rPr>
        <w:t>Gambling participation</w:t>
      </w:r>
    </w:p>
    <w:p w:rsidR="00581655" w:rsidRPr="00581655" w:rsidRDefault="00581655" w:rsidP="00320C2A">
      <w:pPr>
        <w:spacing w:after="120"/>
        <w:rPr>
          <w:rFonts w:ascii="Trebuchet MS" w:eastAsia="Times New Roman" w:hAnsi="Trebuchet MS" w:cs="Times New Roman"/>
          <w:color w:val="45494B"/>
          <w:lang w:eastAsia="en-AU"/>
        </w:rPr>
      </w:pPr>
      <w:r w:rsidRPr="00581655">
        <w:rPr>
          <w:rFonts w:ascii="Trebuchet MS" w:eastAsia="Times New Roman" w:hAnsi="Trebuchet MS" w:cs="Times New Roman"/>
          <w:color w:val="45494B"/>
          <w:lang w:eastAsia="en-AU"/>
        </w:rPr>
        <w:t>The 2024 HILDA Survey report estimated that, in a typical month in 2022:</w:t>
      </w:r>
    </w:p>
    <w:p w:rsidR="00581655" w:rsidRPr="001E6402" w:rsidRDefault="00581655" w:rsidP="00320C2A">
      <w:pPr>
        <w:numPr>
          <w:ilvl w:val="0"/>
          <w:numId w:val="14"/>
        </w:numPr>
        <w:spacing w:after="60"/>
        <w:ind w:left="493" w:hanging="357"/>
        <w:rPr>
          <w:rFonts w:ascii="Trebuchet MS" w:eastAsia="Times New Roman" w:hAnsi="Trebuchet MS" w:cs="Times New Roman"/>
          <w:color w:val="45494B"/>
          <w:highlight w:val="yellow"/>
          <w:lang w:eastAsia="en-AU"/>
        </w:rPr>
      </w:pPr>
      <w:r w:rsidRPr="001E6402">
        <w:rPr>
          <w:rFonts w:ascii="Trebuchet MS" w:eastAsia="Times New Roman" w:hAnsi="Trebuchet MS" w:cs="Times New Roman"/>
          <w:color w:val="45494B"/>
          <w:highlight w:val="yellow"/>
          <w:lang w:eastAsia="en-AU"/>
        </w:rPr>
        <w:t>lotto or lottery games were the most common gambling activity (26% of adults)</w:t>
      </w:r>
    </w:p>
    <w:p w:rsidR="00581655" w:rsidRPr="00581655" w:rsidRDefault="00581655" w:rsidP="00581655">
      <w:pPr>
        <w:numPr>
          <w:ilvl w:val="0"/>
          <w:numId w:val="14"/>
        </w:numPr>
        <w:spacing w:before="100" w:beforeAutospacing="1"/>
        <w:ind w:left="495"/>
        <w:rPr>
          <w:rFonts w:ascii="Trebuchet MS" w:eastAsia="Times New Roman" w:hAnsi="Trebuchet MS" w:cs="Times New Roman"/>
          <w:color w:val="45494B"/>
          <w:sz w:val="15"/>
          <w:szCs w:val="15"/>
          <w:lang w:eastAsia="en-AU"/>
        </w:rPr>
      </w:pPr>
      <w:r w:rsidRPr="00581655">
        <w:rPr>
          <w:rFonts w:ascii="Trebuchet MS" w:eastAsia="Times New Roman" w:hAnsi="Trebuchet MS" w:cs="Times New Roman"/>
          <w:color w:val="45494B"/>
          <w:lang w:eastAsia="en-AU"/>
        </w:rPr>
        <w:t>men were more likely to engage in gambling activities than women, in particular betting on horse or dog races (10.1% for men and 2.2% for women) and betting on sports (9.3% and 1.1%, respectively) (Wilkins et al. 2024; Table</w:t>
      </w:r>
      <w:r w:rsidRPr="00581655">
        <w:rPr>
          <w:rFonts w:ascii="Trebuchet MS" w:eastAsia="Times New Roman" w:hAnsi="Trebuchet MS" w:cs="Times New Roman"/>
          <w:color w:val="45494B"/>
          <w:sz w:val="15"/>
          <w:szCs w:val="15"/>
          <w:lang w:eastAsia="en-AU"/>
        </w:rPr>
        <w:t xml:space="preserve"> 1).</w:t>
      </w:r>
    </w:p>
    <w:tbl>
      <w:tblPr>
        <w:tblW w:w="9933" w:type="dxa"/>
        <w:tblBorders>
          <w:top w:val="single" w:sz="12" w:space="0" w:color="D2CEC9"/>
          <w:bottom w:val="outset" w:sz="6" w:space="0" w:color="auto"/>
        </w:tblBorders>
        <w:tblCellMar>
          <w:left w:w="0" w:type="dxa"/>
          <w:right w:w="0" w:type="dxa"/>
        </w:tblCellMar>
        <w:tblLook w:val="04A0" w:firstRow="1" w:lastRow="0" w:firstColumn="1" w:lastColumn="0" w:noHBand="0" w:noVBand="1"/>
      </w:tblPr>
      <w:tblGrid>
        <w:gridCol w:w="7272"/>
        <w:gridCol w:w="1093"/>
        <w:gridCol w:w="1568"/>
      </w:tblGrid>
      <w:tr w:rsidR="00581655" w:rsidRPr="00581655" w:rsidTr="00320C2A">
        <w:trPr>
          <w:tblHeader/>
        </w:trPr>
        <w:tc>
          <w:tcPr>
            <w:tcW w:w="9933" w:type="dxa"/>
            <w:gridSpan w:val="3"/>
            <w:tcBorders>
              <w:top w:val="nil"/>
              <w:left w:val="nil"/>
              <w:bottom w:val="nil"/>
              <w:right w:val="nil"/>
            </w:tcBorders>
            <w:shd w:val="clear" w:color="auto" w:fill="F6F6F6"/>
            <w:tcMar>
              <w:top w:w="165" w:type="dxa"/>
              <w:left w:w="150" w:type="dxa"/>
              <w:bottom w:w="165" w:type="dxa"/>
              <w:right w:w="150" w:type="dxa"/>
            </w:tcMar>
            <w:vAlign w:val="center"/>
            <w:hideMark/>
          </w:tcPr>
          <w:p w:rsidR="00581655" w:rsidRPr="00581655" w:rsidRDefault="00581655" w:rsidP="00581655">
            <w:pPr>
              <w:spacing w:after="288"/>
              <w:rPr>
                <w:rFonts w:ascii="Times New Roman" w:eastAsia="Times New Roman" w:hAnsi="Times New Roman" w:cs="Times New Roman"/>
                <w:b/>
                <w:bCs/>
                <w:lang w:eastAsia="en-AU"/>
              </w:rPr>
            </w:pPr>
            <w:r w:rsidRPr="00581655">
              <w:rPr>
                <w:rFonts w:ascii="Times New Roman" w:eastAsia="Times New Roman" w:hAnsi="Times New Roman" w:cs="Times New Roman"/>
                <w:b/>
                <w:bCs/>
                <w:lang w:eastAsia="en-AU"/>
              </w:rPr>
              <w:t>Table 1: Proportion of adults engaged in each gambling type, by gender, in a typical month in 2022</w:t>
            </w:r>
          </w:p>
        </w:tc>
      </w:tr>
      <w:tr w:rsidR="00581655" w:rsidRPr="00581655" w:rsidTr="00320C2A">
        <w:trPr>
          <w:tblHeader/>
        </w:trPr>
        <w:tc>
          <w:tcPr>
            <w:tcW w:w="5103" w:type="dxa"/>
            <w:tcBorders>
              <w:top w:val="nil"/>
              <w:left w:val="nil"/>
              <w:bottom w:val="single" w:sz="12" w:space="0" w:color="auto"/>
              <w:right w:val="single" w:sz="12" w:space="0" w:color="auto"/>
            </w:tcBorders>
            <w:shd w:val="clear" w:color="auto" w:fill="F6F6F6"/>
            <w:tcMar>
              <w:top w:w="165" w:type="dxa"/>
              <w:left w:w="150" w:type="dxa"/>
              <w:bottom w:w="165" w:type="dxa"/>
              <w:right w:w="150" w:type="dxa"/>
            </w:tcMar>
            <w:hideMark/>
          </w:tcPr>
          <w:p w:rsidR="00581655" w:rsidRPr="00581655" w:rsidRDefault="00581655" w:rsidP="00581655">
            <w:pPr>
              <w:jc w:val="right"/>
              <w:rPr>
                <w:rFonts w:ascii="Times New Roman" w:eastAsia="Times New Roman" w:hAnsi="Times New Roman" w:cs="Times New Roman"/>
                <w:b/>
                <w:bCs/>
                <w:lang w:eastAsia="en-AU"/>
              </w:rPr>
            </w:pPr>
            <w:r w:rsidRPr="00581655">
              <w:rPr>
                <w:rFonts w:ascii="Times New Roman" w:eastAsia="Times New Roman" w:hAnsi="Times New Roman" w:cs="Times New Roman"/>
                <w:b/>
                <w:bCs/>
                <w:lang w:eastAsia="en-AU"/>
              </w:rPr>
              <w:t>Gambling type</w:t>
            </w:r>
          </w:p>
        </w:tc>
        <w:tc>
          <w:tcPr>
            <w:tcW w:w="0" w:type="auto"/>
            <w:tcBorders>
              <w:top w:val="nil"/>
              <w:left w:val="single" w:sz="12" w:space="0" w:color="auto"/>
              <w:bottom w:val="single" w:sz="12" w:space="0" w:color="auto"/>
              <w:right w:val="single" w:sz="12" w:space="0" w:color="auto"/>
            </w:tcBorders>
            <w:shd w:val="clear" w:color="auto" w:fill="F6F6F6"/>
            <w:tcMar>
              <w:top w:w="165" w:type="dxa"/>
              <w:left w:w="150" w:type="dxa"/>
              <w:bottom w:w="165" w:type="dxa"/>
              <w:right w:w="150" w:type="dxa"/>
            </w:tcMar>
            <w:hideMark/>
          </w:tcPr>
          <w:p w:rsidR="00581655" w:rsidRPr="00581655" w:rsidRDefault="00581655" w:rsidP="00581655">
            <w:pPr>
              <w:jc w:val="right"/>
              <w:rPr>
                <w:rFonts w:ascii="Times New Roman" w:eastAsia="Times New Roman" w:hAnsi="Times New Roman" w:cs="Times New Roman"/>
                <w:b/>
                <w:bCs/>
                <w:lang w:eastAsia="en-AU"/>
              </w:rPr>
            </w:pPr>
            <w:r w:rsidRPr="00581655">
              <w:rPr>
                <w:rFonts w:ascii="Times New Roman" w:eastAsia="Times New Roman" w:hAnsi="Times New Roman" w:cs="Times New Roman"/>
                <w:b/>
                <w:bCs/>
                <w:lang w:eastAsia="en-AU"/>
              </w:rPr>
              <w:t>Men</w:t>
            </w:r>
          </w:p>
        </w:tc>
        <w:tc>
          <w:tcPr>
            <w:tcW w:w="0" w:type="auto"/>
            <w:tcBorders>
              <w:top w:val="nil"/>
              <w:left w:val="single" w:sz="12" w:space="0" w:color="auto"/>
              <w:bottom w:val="single" w:sz="12" w:space="0" w:color="auto"/>
              <w:right w:val="nil"/>
            </w:tcBorders>
            <w:shd w:val="clear" w:color="auto" w:fill="F6F6F6"/>
            <w:tcMar>
              <w:top w:w="165" w:type="dxa"/>
              <w:left w:w="150" w:type="dxa"/>
              <w:bottom w:w="165" w:type="dxa"/>
              <w:right w:w="150" w:type="dxa"/>
            </w:tcMar>
            <w:hideMark/>
          </w:tcPr>
          <w:p w:rsidR="00581655" w:rsidRPr="00581655" w:rsidRDefault="00581655" w:rsidP="00581655">
            <w:pPr>
              <w:jc w:val="right"/>
              <w:rPr>
                <w:rFonts w:ascii="Times New Roman" w:eastAsia="Times New Roman" w:hAnsi="Times New Roman" w:cs="Times New Roman"/>
                <w:b/>
                <w:bCs/>
                <w:lang w:eastAsia="en-AU"/>
              </w:rPr>
            </w:pPr>
            <w:r w:rsidRPr="00581655">
              <w:rPr>
                <w:rFonts w:ascii="Times New Roman" w:eastAsia="Times New Roman" w:hAnsi="Times New Roman" w:cs="Times New Roman"/>
                <w:b/>
                <w:bCs/>
                <w:lang w:eastAsia="en-AU"/>
              </w:rPr>
              <w:t>Women</w:t>
            </w:r>
          </w:p>
        </w:tc>
      </w:tr>
      <w:tr w:rsidR="00581655" w:rsidRPr="00581655" w:rsidTr="00320C2A">
        <w:tc>
          <w:tcPr>
            <w:tcW w:w="5103" w:type="dxa"/>
            <w:tcBorders>
              <w:top w:val="single" w:sz="12" w:space="0" w:color="auto"/>
              <w:left w:val="nil"/>
              <w:bottom w:val="single" w:sz="12" w:space="0" w:color="auto"/>
              <w:right w:val="single" w:sz="12" w:space="0" w:color="auto"/>
            </w:tcBorders>
            <w:tcMar>
              <w:top w:w="165" w:type="dxa"/>
              <w:left w:w="150" w:type="dxa"/>
              <w:bottom w:w="195" w:type="dxa"/>
              <w:right w:w="150" w:type="dxa"/>
            </w:tcMar>
            <w:hideMark/>
          </w:tcPr>
          <w:p w:rsidR="00581655" w:rsidRPr="00581655" w:rsidRDefault="00581655" w:rsidP="00581655">
            <w:pPr>
              <w:jc w:val="right"/>
              <w:rPr>
                <w:rFonts w:ascii="Times New Roman" w:eastAsia="Times New Roman" w:hAnsi="Times New Roman" w:cs="Times New Roman"/>
                <w:b/>
                <w:bCs/>
                <w:lang w:eastAsia="en-AU"/>
              </w:rPr>
            </w:pPr>
            <w:r w:rsidRPr="00581655">
              <w:rPr>
                <w:rFonts w:ascii="Times New Roman" w:eastAsia="Times New Roman" w:hAnsi="Times New Roman" w:cs="Times New Roman"/>
                <w:b/>
                <w:bCs/>
                <w:lang w:eastAsia="en-AU"/>
              </w:rPr>
              <w:t>Instant scratch tickets</w:t>
            </w:r>
          </w:p>
        </w:tc>
        <w:tc>
          <w:tcPr>
            <w:tcW w:w="0" w:type="auto"/>
            <w:tcBorders>
              <w:top w:val="single" w:sz="12" w:space="0" w:color="auto"/>
              <w:left w:val="nil"/>
              <w:bottom w:val="single" w:sz="12" w:space="0" w:color="auto"/>
              <w:right w:val="single" w:sz="12" w:space="0" w:color="auto"/>
            </w:tcBorders>
            <w:tcMar>
              <w:top w:w="165" w:type="dxa"/>
              <w:left w:w="150" w:type="dxa"/>
              <w:bottom w:w="165" w:type="dxa"/>
              <w:right w:w="150" w:type="dxa"/>
            </w:tcMar>
            <w:hideMark/>
          </w:tcPr>
          <w:p w:rsidR="00581655" w:rsidRPr="00581655" w:rsidRDefault="00581655" w:rsidP="00581655">
            <w:pPr>
              <w:jc w:val="right"/>
              <w:rPr>
                <w:rFonts w:ascii="Times New Roman" w:eastAsia="Times New Roman" w:hAnsi="Times New Roman" w:cs="Times New Roman"/>
                <w:lang w:eastAsia="en-AU"/>
              </w:rPr>
            </w:pPr>
            <w:r w:rsidRPr="00581655">
              <w:rPr>
                <w:rFonts w:ascii="Times New Roman" w:eastAsia="Times New Roman" w:hAnsi="Times New Roman" w:cs="Times New Roman"/>
                <w:lang w:eastAsia="en-AU"/>
              </w:rPr>
              <w:t>4.9</w:t>
            </w:r>
          </w:p>
        </w:tc>
        <w:tc>
          <w:tcPr>
            <w:tcW w:w="0" w:type="auto"/>
            <w:tcBorders>
              <w:top w:val="single" w:sz="12" w:space="0" w:color="auto"/>
              <w:left w:val="nil"/>
              <w:bottom w:val="single" w:sz="12" w:space="0" w:color="auto"/>
              <w:right w:val="nil"/>
            </w:tcBorders>
            <w:tcMar>
              <w:top w:w="165" w:type="dxa"/>
              <w:left w:w="150" w:type="dxa"/>
              <w:bottom w:w="165" w:type="dxa"/>
              <w:right w:w="150" w:type="dxa"/>
            </w:tcMar>
            <w:hideMark/>
          </w:tcPr>
          <w:p w:rsidR="00581655" w:rsidRPr="00581655" w:rsidRDefault="00581655" w:rsidP="00581655">
            <w:pPr>
              <w:jc w:val="right"/>
              <w:rPr>
                <w:rFonts w:ascii="Times New Roman" w:eastAsia="Times New Roman" w:hAnsi="Times New Roman" w:cs="Times New Roman"/>
                <w:lang w:eastAsia="en-AU"/>
              </w:rPr>
            </w:pPr>
            <w:r w:rsidRPr="00581655">
              <w:rPr>
                <w:rFonts w:ascii="Times New Roman" w:eastAsia="Times New Roman" w:hAnsi="Times New Roman" w:cs="Times New Roman"/>
                <w:lang w:eastAsia="en-AU"/>
              </w:rPr>
              <w:t>5.6</w:t>
            </w:r>
          </w:p>
        </w:tc>
      </w:tr>
      <w:tr w:rsidR="00581655" w:rsidRPr="00581655" w:rsidTr="00320C2A">
        <w:tc>
          <w:tcPr>
            <w:tcW w:w="5103" w:type="dxa"/>
            <w:tcBorders>
              <w:top w:val="single" w:sz="12" w:space="0" w:color="auto"/>
              <w:left w:val="nil"/>
              <w:bottom w:val="single" w:sz="12" w:space="0" w:color="auto"/>
              <w:right w:val="single" w:sz="12" w:space="0" w:color="auto"/>
            </w:tcBorders>
            <w:shd w:val="clear" w:color="auto" w:fill="F6F6F6"/>
            <w:tcMar>
              <w:top w:w="165" w:type="dxa"/>
              <w:left w:w="150" w:type="dxa"/>
              <w:bottom w:w="195" w:type="dxa"/>
              <w:right w:w="150" w:type="dxa"/>
            </w:tcMar>
            <w:hideMark/>
          </w:tcPr>
          <w:p w:rsidR="00581655" w:rsidRPr="00581655" w:rsidRDefault="00581655" w:rsidP="00581655">
            <w:pPr>
              <w:jc w:val="right"/>
              <w:rPr>
                <w:rFonts w:ascii="Times New Roman" w:eastAsia="Times New Roman" w:hAnsi="Times New Roman" w:cs="Times New Roman"/>
                <w:b/>
                <w:bCs/>
                <w:lang w:eastAsia="en-AU"/>
              </w:rPr>
            </w:pPr>
            <w:r w:rsidRPr="00581655">
              <w:rPr>
                <w:rFonts w:ascii="Times New Roman" w:eastAsia="Times New Roman" w:hAnsi="Times New Roman" w:cs="Times New Roman"/>
                <w:b/>
                <w:bCs/>
                <w:lang w:eastAsia="en-AU"/>
              </w:rPr>
              <w:t>Bingo</w:t>
            </w:r>
          </w:p>
        </w:tc>
        <w:tc>
          <w:tcPr>
            <w:tcW w:w="0" w:type="auto"/>
            <w:tcBorders>
              <w:top w:val="single" w:sz="12" w:space="0" w:color="auto"/>
              <w:left w:val="nil"/>
              <w:bottom w:val="single" w:sz="12" w:space="0" w:color="auto"/>
              <w:right w:val="single" w:sz="12" w:space="0" w:color="auto"/>
            </w:tcBorders>
            <w:shd w:val="clear" w:color="auto" w:fill="F6F6F6"/>
            <w:tcMar>
              <w:top w:w="165" w:type="dxa"/>
              <w:left w:w="150" w:type="dxa"/>
              <w:bottom w:w="165" w:type="dxa"/>
              <w:right w:w="150" w:type="dxa"/>
            </w:tcMar>
            <w:hideMark/>
          </w:tcPr>
          <w:p w:rsidR="00581655" w:rsidRPr="00581655" w:rsidRDefault="00581655" w:rsidP="00581655">
            <w:pPr>
              <w:jc w:val="right"/>
              <w:rPr>
                <w:rFonts w:ascii="Times New Roman" w:eastAsia="Times New Roman" w:hAnsi="Times New Roman" w:cs="Times New Roman"/>
                <w:lang w:eastAsia="en-AU"/>
              </w:rPr>
            </w:pPr>
            <w:r w:rsidRPr="00581655">
              <w:rPr>
                <w:rFonts w:ascii="Times New Roman" w:eastAsia="Times New Roman" w:hAnsi="Times New Roman" w:cs="Times New Roman"/>
                <w:lang w:eastAsia="en-AU"/>
              </w:rPr>
              <w:t>*0.3</w:t>
            </w:r>
          </w:p>
        </w:tc>
        <w:tc>
          <w:tcPr>
            <w:tcW w:w="0" w:type="auto"/>
            <w:tcBorders>
              <w:top w:val="single" w:sz="12" w:space="0" w:color="auto"/>
              <w:left w:val="nil"/>
              <w:bottom w:val="single" w:sz="12" w:space="0" w:color="auto"/>
              <w:right w:val="nil"/>
            </w:tcBorders>
            <w:shd w:val="clear" w:color="auto" w:fill="F6F6F6"/>
            <w:tcMar>
              <w:top w:w="165" w:type="dxa"/>
              <w:left w:w="150" w:type="dxa"/>
              <w:bottom w:w="165" w:type="dxa"/>
              <w:right w:w="150" w:type="dxa"/>
            </w:tcMar>
            <w:hideMark/>
          </w:tcPr>
          <w:p w:rsidR="00581655" w:rsidRPr="00581655" w:rsidRDefault="00581655" w:rsidP="00581655">
            <w:pPr>
              <w:jc w:val="right"/>
              <w:rPr>
                <w:rFonts w:ascii="Times New Roman" w:eastAsia="Times New Roman" w:hAnsi="Times New Roman" w:cs="Times New Roman"/>
                <w:lang w:eastAsia="en-AU"/>
              </w:rPr>
            </w:pPr>
            <w:r w:rsidRPr="00581655">
              <w:rPr>
                <w:rFonts w:ascii="Times New Roman" w:eastAsia="Times New Roman" w:hAnsi="Times New Roman" w:cs="Times New Roman"/>
                <w:lang w:eastAsia="en-AU"/>
              </w:rPr>
              <w:t>1.1</w:t>
            </w:r>
          </w:p>
        </w:tc>
      </w:tr>
      <w:tr w:rsidR="00581655" w:rsidRPr="00581655" w:rsidTr="00320C2A">
        <w:tc>
          <w:tcPr>
            <w:tcW w:w="5103" w:type="dxa"/>
            <w:tcBorders>
              <w:top w:val="single" w:sz="12" w:space="0" w:color="auto"/>
              <w:left w:val="nil"/>
              <w:bottom w:val="single" w:sz="12" w:space="0" w:color="auto"/>
              <w:right w:val="single" w:sz="12" w:space="0" w:color="auto"/>
            </w:tcBorders>
            <w:tcMar>
              <w:top w:w="165" w:type="dxa"/>
              <w:left w:w="150" w:type="dxa"/>
              <w:bottom w:w="195" w:type="dxa"/>
              <w:right w:w="150" w:type="dxa"/>
            </w:tcMar>
            <w:hideMark/>
          </w:tcPr>
          <w:p w:rsidR="00581655" w:rsidRPr="00581655" w:rsidRDefault="00581655" w:rsidP="00581655">
            <w:pPr>
              <w:jc w:val="right"/>
              <w:rPr>
                <w:rFonts w:ascii="Times New Roman" w:eastAsia="Times New Roman" w:hAnsi="Times New Roman" w:cs="Times New Roman"/>
                <w:b/>
                <w:bCs/>
                <w:lang w:eastAsia="en-AU"/>
              </w:rPr>
            </w:pPr>
            <w:r w:rsidRPr="00581655">
              <w:rPr>
                <w:rFonts w:ascii="Times New Roman" w:eastAsia="Times New Roman" w:hAnsi="Times New Roman" w:cs="Times New Roman"/>
                <w:b/>
                <w:bCs/>
                <w:lang w:eastAsia="en-AU"/>
              </w:rPr>
              <w:t>Lotto or lottery games</w:t>
            </w:r>
          </w:p>
        </w:tc>
        <w:tc>
          <w:tcPr>
            <w:tcW w:w="0" w:type="auto"/>
            <w:tcBorders>
              <w:top w:val="single" w:sz="12" w:space="0" w:color="auto"/>
              <w:left w:val="nil"/>
              <w:bottom w:val="single" w:sz="12" w:space="0" w:color="auto"/>
              <w:right w:val="single" w:sz="12" w:space="0" w:color="auto"/>
            </w:tcBorders>
            <w:tcMar>
              <w:top w:w="165" w:type="dxa"/>
              <w:left w:w="150" w:type="dxa"/>
              <w:bottom w:w="165" w:type="dxa"/>
              <w:right w:w="150" w:type="dxa"/>
            </w:tcMar>
            <w:hideMark/>
          </w:tcPr>
          <w:p w:rsidR="00581655" w:rsidRPr="00581655" w:rsidRDefault="00581655" w:rsidP="00581655">
            <w:pPr>
              <w:jc w:val="right"/>
              <w:rPr>
                <w:rFonts w:ascii="Times New Roman" w:eastAsia="Times New Roman" w:hAnsi="Times New Roman" w:cs="Times New Roman"/>
                <w:lang w:eastAsia="en-AU"/>
              </w:rPr>
            </w:pPr>
            <w:r w:rsidRPr="00581655">
              <w:rPr>
                <w:rFonts w:ascii="Times New Roman" w:eastAsia="Times New Roman" w:hAnsi="Times New Roman" w:cs="Times New Roman"/>
                <w:lang w:eastAsia="en-AU"/>
              </w:rPr>
              <w:t>28.6</w:t>
            </w:r>
          </w:p>
        </w:tc>
        <w:tc>
          <w:tcPr>
            <w:tcW w:w="0" w:type="auto"/>
            <w:tcBorders>
              <w:top w:val="single" w:sz="12" w:space="0" w:color="auto"/>
              <w:left w:val="nil"/>
              <w:bottom w:val="single" w:sz="12" w:space="0" w:color="auto"/>
              <w:right w:val="nil"/>
            </w:tcBorders>
            <w:tcMar>
              <w:top w:w="165" w:type="dxa"/>
              <w:left w:w="150" w:type="dxa"/>
              <w:bottom w:w="165" w:type="dxa"/>
              <w:right w:w="150" w:type="dxa"/>
            </w:tcMar>
            <w:hideMark/>
          </w:tcPr>
          <w:p w:rsidR="00581655" w:rsidRPr="00581655" w:rsidRDefault="00581655" w:rsidP="00581655">
            <w:pPr>
              <w:jc w:val="right"/>
              <w:rPr>
                <w:rFonts w:ascii="Times New Roman" w:eastAsia="Times New Roman" w:hAnsi="Times New Roman" w:cs="Times New Roman"/>
                <w:lang w:eastAsia="en-AU"/>
              </w:rPr>
            </w:pPr>
            <w:r w:rsidRPr="00581655">
              <w:rPr>
                <w:rFonts w:ascii="Times New Roman" w:eastAsia="Times New Roman" w:hAnsi="Times New Roman" w:cs="Times New Roman"/>
                <w:lang w:eastAsia="en-AU"/>
              </w:rPr>
              <w:t>24.0</w:t>
            </w:r>
          </w:p>
        </w:tc>
      </w:tr>
      <w:tr w:rsidR="00581655" w:rsidRPr="00581655" w:rsidTr="00320C2A">
        <w:tc>
          <w:tcPr>
            <w:tcW w:w="5103" w:type="dxa"/>
            <w:tcBorders>
              <w:top w:val="single" w:sz="12" w:space="0" w:color="auto"/>
              <w:left w:val="nil"/>
              <w:bottom w:val="single" w:sz="12" w:space="0" w:color="auto"/>
              <w:right w:val="single" w:sz="12" w:space="0" w:color="auto"/>
            </w:tcBorders>
            <w:shd w:val="clear" w:color="auto" w:fill="F6F6F6"/>
            <w:tcMar>
              <w:top w:w="165" w:type="dxa"/>
              <w:left w:w="150" w:type="dxa"/>
              <w:bottom w:w="195" w:type="dxa"/>
              <w:right w:w="150" w:type="dxa"/>
            </w:tcMar>
            <w:hideMark/>
          </w:tcPr>
          <w:p w:rsidR="00581655" w:rsidRPr="00581655" w:rsidRDefault="00581655" w:rsidP="00581655">
            <w:pPr>
              <w:jc w:val="right"/>
              <w:rPr>
                <w:rFonts w:ascii="Times New Roman" w:eastAsia="Times New Roman" w:hAnsi="Times New Roman" w:cs="Times New Roman"/>
                <w:b/>
                <w:bCs/>
                <w:lang w:eastAsia="en-AU"/>
              </w:rPr>
            </w:pPr>
            <w:r w:rsidRPr="00581655">
              <w:rPr>
                <w:rFonts w:ascii="Times New Roman" w:eastAsia="Times New Roman" w:hAnsi="Times New Roman" w:cs="Times New Roman"/>
                <w:b/>
                <w:bCs/>
                <w:lang w:eastAsia="en-AU"/>
              </w:rPr>
              <w:t>Keno</w:t>
            </w:r>
          </w:p>
        </w:tc>
        <w:tc>
          <w:tcPr>
            <w:tcW w:w="0" w:type="auto"/>
            <w:tcBorders>
              <w:top w:val="single" w:sz="12" w:space="0" w:color="auto"/>
              <w:left w:val="nil"/>
              <w:bottom w:val="single" w:sz="12" w:space="0" w:color="auto"/>
              <w:right w:val="single" w:sz="12" w:space="0" w:color="auto"/>
            </w:tcBorders>
            <w:shd w:val="clear" w:color="auto" w:fill="F6F6F6"/>
            <w:tcMar>
              <w:top w:w="165" w:type="dxa"/>
              <w:left w:w="150" w:type="dxa"/>
              <w:bottom w:w="165" w:type="dxa"/>
              <w:right w:w="150" w:type="dxa"/>
            </w:tcMar>
            <w:hideMark/>
          </w:tcPr>
          <w:p w:rsidR="00581655" w:rsidRPr="00581655" w:rsidRDefault="00581655" w:rsidP="00581655">
            <w:pPr>
              <w:jc w:val="right"/>
              <w:rPr>
                <w:rFonts w:ascii="Times New Roman" w:eastAsia="Times New Roman" w:hAnsi="Times New Roman" w:cs="Times New Roman"/>
                <w:lang w:eastAsia="en-AU"/>
              </w:rPr>
            </w:pPr>
            <w:r w:rsidRPr="00581655">
              <w:rPr>
                <w:rFonts w:ascii="Times New Roman" w:eastAsia="Times New Roman" w:hAnsi="Times New Roman" w:cs="Times New Roman"/>
                <w:lang w:eastAsia="en-AU"/>
              </w:rPr>
              <w:t>2.9</w:t>
            </w:r>
          </w:p>
        </w:tc>
        <w:tc>
          <w:tcPr>
            <w:tcW w:w="0" w:type="auto"/>
            <w:tcBorders>
              <w:top w:val="single" w:sz="12" w:space="0" w:color="auto"/>
              <w:left w:val="nil"/>
              <w:bottom w:val="single" w:sz="12" w:space="0" w:color="auto"/>
              <w:right w:val="nil"/>
            </w:tcBorders>
            <w:shd w:val="clear" w:color="auto" w:fill="F6F6F6"/>
            <w:tcMar>
              <w:top w:w="165" w:type="dxa"/>
              <w:left w:w="150" w:type="dxa"/>
              <w:bottom w:w="165" w:type="dxa"/>
              <w:right w:w="150" w:type="dxa"/>
            </w:tcMar>
            <w:hideMark/>
          </w:tcPr>
          <w:p w:rsidR="00581655" w:rsidRPr="00581655" w:rsidRDefault="00581655" w:rsidP="00581655">
            <w:pPr>
              <w:jc w:val="right"/>
              <w:rPr>
                <w:rFonts w:ascii="Times New Roman" w:eastAsia="Times New Roman" w:hAnsi="Times New Roman" w:cs="Times New Roman"/>
                <w:lang w:eastAsia="en-AU"/>
              </w:rPr>
            </w:pPr>
            <w:r w:rsidRPr="00581655">
              <w:rPr>
                <w:rFonts w:ascii="Times New Roman" w:eastAsia="Times New Roman" w:hAnsi="Times New Roman" w:cs="Times New Roman"/>
                <w:lang w:eastAsia="en-AU"/>
              </w:rPr>
              <w:t>1.6</w:t>
            </w:r>
          </w:p>
        </w:tc>
      </w:tr>
      <w:tr w:rsidR="00581655" w:rsidRPr="00581655" w:rsidTr="00320C2A">
        <w:tc>
          <w:tcPr>
            <w:tcW w:w="5103" w:type="dxa"/>
            <w:tcBorders>
              <w:top w:val="single" w:sz="12" w:space="0" w:color="auto"/>
              <w:left w:val="nil"/>
              <w:bottom w:val="single" w:sz="12" w:space="0" w:color="auto"/>
              <w:right w:val="single" w:sz="12" w:space="0" w:color="auto"/>
            </w:tcBorders>
            <w:tcMar>
              <w:top w:w="165" w:type="dxa"/>
              <w:left w:w="150" w:type="dxa"/>
              <w:bottom w:w="195" w:type="dxa"/>
              <w:right w:w="150" w:type="dxa"/>
            </w:tcMar>
            <w:hideMark/>
          </w:tcPr>
          <w:p w:rsidR="00581655" w:rsidRPr="00581655" w:rsidRDefault="00581655" w:rsidP="00581655">
            <w:pPr>
              <w:jc w:val="right"/>
              <w:rPr>
                <w:rFonts w:ascii="Times New Roman" w:eastAsia="Times New Roman" w:hAnsi="Times New Roman" w:cs="Times New Roman"/>
                <w:b/>
                <w:bCs/>
                <w:lang w:eastAsia="en-AU"/>
              </w:rPr>
            </w:pPr>
            <w:r w:rsidRPr="00581655">
              <w:rPr>
                <w:rFonts w:ascii="Times New Roman" w:eastAsia="Times New Roman" w:hAnsi="Times New Roman" w:cs="Times New Roman"/>
                <w:b/>
                <w:bCs/>
                <w:lang w:eastAsia="en-AU"/>
              </w:rPr>
              <w:t>Private betting</w:t>
            </w:r>
          </w:p>
        </w:tc>
        <w:tc>
          <w:tcPr>
            <w:tcW w:w="0" w:type="auto"/>
            <w:tcBorders>
              <w:top w:val="single" w:sz="12" w:space="0" w:color="auto"/>
              <w:left w:val="nil"/>
              <w:bottom w:val="single" w:sz="12" w:space="0" w:color="auto"/>
              <w:right w:val="single" w:sz="12" w:space="0" w:color="auto"/>
            </w:tcBorders>
            <w:tcMar>
              <w:top w:w="165" w:type="dxa"/>
              <w:left w:w="150" w:type="dxa"/>
              <w:bottom w:w="165" w:type="dxa"/>
              <w:right w:w="150" w:type="dxa"/>
            </w:tcMar>
            <w:hideMark/>
          </w:tcPr>
          <w:p w:rsidR="00581655" w:rsidRPr="00581655" w:rsidRDefault="00581655" w:rsidP="00581655">
            <w:pPr>
              <w:jc w:val="right"/>
              <w:rPr>
                <w:rFonts w:ascii="Times New Roman" w:eastAsia="Times New Roman" w:hAnsi="Times New Roman" w:cs="Times New Roman"/>
                <w:lang w:eastAsia="en-AU"/>
              </w:rPr>
            </w:pPr>
            <w:r w:rsidRPr="00581655">
              <w:rPr>
                <w:rFonts w:ascii="Times New Roman" w:eastAsia="Times New Roman" w:hAnsi="Times New Roman" w:cs="Times New Roman"/>
                <w:lang w:eastAsia="en-AU"/>
              </w:rPr>
              <w:t>1.6</w:t>
            </w:r>
          </w:p>
        </w:tc>
        <w:tc>
          <w:tcPr>
            <w:tcW w:w="0" w:type="auto"/>
            <w:tcBorders>
              <w:top w:val="single" w:sz="12" w:space="0" w:color="auto"/>
              <w:left w:val="nil"/>
              <w:bottom w:val="single" w:sz="12" w:space="0" w:color="auto"/>
              <w:right w:val="nil"/>
            </w:tcBorders>
            <w:tcMar>
              <w:top w:w="165" w:type="dxa"/>
              <w:left w:w="150" w:type="dxa"/>
              <w:bottom w:w="165" w:type="dxa"/>
              <w:right w:w="150" w:type="dxa"/>
            </w:tcMar>
            <w:hideMark/>
          </w:tcPr>
          <w:p w:rsidR="00581655" w:rsidRPr="00581655" w:rsidRDefault="00581655" w:rsidP="00581655">
            <w:pPr>
              <w:jc w:val="right"/>
              <w:rPr>
                <w:rFonts w:ascii="Times New Roman" w:eastAsia="Times New Roman" w:hAnsi="Times New Roman" w:cs="Times New Roman"/>
                <w:lang w:eastAsia="en-AU"/>
              </w:rPr>
            </w:pPr>
            <w:r w:rsidRPr="00581655">
              <w:rPr>
                <w:rFonts w:ascii="Times New Roman" w:eastAsia="Times New Roman" w:hAnsi="Times New Roman" w:cs="Times New Roman"/>
                <w:lang w:eastAsia="en-AU"/>
              </w:rPr>
              <w:t>0.4</w:t>
            </w:r>
          </w:p>
        </w:tc>
      </w:tr>
      <w:tr w:rsidR="00581655" w:rsidRPr="00581655" w:rsidTr="00320C2A">
        <w:tc>
          <w:tcPr>
            <w:tcW w:w="5103" w:type="dxa"/>
            <w:tcBorders>
              <w:top w:val="single" w:sz="12" w:space="0" w:color="auto"/>
              <w:left w:val="nil"/>
              <w:bottom w:val="single" w:sz="12" w:space="0" w:color="auto"/>
              <w:right w:val="single" w:sz="12" w:space="0" w:color="auto"/>
            </w:tcBorders>
            <w:shd w:val="clear" w:color="auto" w:fill="F6F6F6"/>
            <w:tcMar>
              <w:top w:w="165" w:type="dxa"/>
              <w:left w:w="150" w:type="dxa"/>
              <w:bottom w:w="195" w:type="dxa"/>
              <w:right w:w="150" w:type="dxa"/>
            </w:tcMar>
            <w:hideMark/>
          </w:tcPr>
          <w:p w:rsidR="00581655" w:rsidRPr="00581655" w:rsidRDefault="00581655" w:rsidP="00581655">
            <w:pPr>
              <w:jc w:val="right"/>
              <w:rPr>
                <w:rFonts w:ascii="Times New Roman" w:eastAsia="Times New Roman" w:hAnsi="Times New Roman" w:cs="Times New Roman"/>
                <w:b/>
                <w:bCs/>
                <w:lang w:eastAsia="en-AU"/>
              </w:rPr>
            </w:pPr>
            <w:r w:rsidRPr="00581655">
              <w:rPr>
                <w:rFonts w:ascii="Times New Roman" w:eastAsia="Times New Roman" w:hAnsi="Times New Roman" w:cs="Times New Roman"/>
                <w:b/>
                <w:bCs/>
                <w:lang w:eastAsia="en-AU"/>
              </w:rPr>
              <w:t>Poker</w:t>
            </w:r>
          </w:p>
        </w:tc>
        <w:tc>
          <w:tcPr>
            <w:tcW w:w="0" w:type="auto"/>
            <w:tcBorders>
              <w:top w:val="single" w:sz="12" w:space="0" w:color="auto"/>
              <w:left w:val="nil"/>
              <w:bottom w:val="single" w:sz="12" w:space="0" w:color="auto"/>
              <w:right w:val="single" w:sz="12" w:space="0" w:color="auto"/>
            </w:tcBorders>
            <w:shd w:val="clear" w:color="auto" w:fill="F6F6F6"/>
            <w:tcMar>
              <w:top w:w="165" w:type="dxa"/>
              <w:left w:w="150" w:type="dxa"/>
              <w:bottom w:w="165" w:type="dxa"/>
              <w:right w:w="150" w:type="dxa"/>
            </w:tcMar>
            <w:hideMark/>
          </w:tcPr>
          <w:p w:rsidR="00581655" w:rsidRPr="00581655" w:rsidRDefault="00581655" w:rsidP="00581655">
            <w:pPr>
              <w:jc w:val="right"/>
              <w:rPr>
                <w:rFonts w:ascii="Times New Roman" w:eastAsia="Times New Roman" w:hAnsi="Times New Roman" w:cs="Times New Roman"/>
                <w:lang w:eastAsia="en-AU"/>
              </w:rPr>
            </w:pPr>
            <w:r w:rsidRPr="00581655">
              <w:rPr>
                <w:rFonts w:ascii="Times New Roman" w:eastAsia="Times New Roman" w:hAnsi="Times New Roman" w:cs="Times New Roman"/>
                <w:lang w:eastAsia="en-AU"/>
              </w:rPr>
              <w:t>1.2</w:t>
            </w:r>
          </w:p>
        </w:tc>
        <w:tc>
          <w:tcPr>
            <w:tcW w:w="0" w:type="auto"/>
            <w:tcBorders>
              <w:top w:val="single" w:sz="12" w:space="0" w:color="auto"/>
              <w:left w:val="nil"/>
              <w:bottom w:val="single" w:sz="12" w:space="0" w:color="auto"/>
              <w:right w:val="nil"/>
            </w:tcBorders>
            <w:shd w:val="clear" w:color="auto" w:fill="F6F6F6"/>
            <w:tcMar>
              <w:top w:w="165" w:type="dxa"/>
              <w:left w:w="150" w:type="dxa"/>
              <w:bottom w:w="165" w:type="dxa"/>
              <w:right w:w="150" w:type="dxa"/>
            </w:tcMar>
            <w:hideMark/>
          </w:tcPr>
          <w:p w:rsidR="00581655" w:rsidRPr="00581655" w:rsidRDefault="00581655" w:rsidP="00581655">
            <w:pPr>
              <w:jc w:val="right"/>
              <w:rPr>
                <w:rFonts w:ascii="Times New Roman" w:eastAsia="Times New Roman" w:hAnsi="Times New Roman" w:cs="Times New Roman"/>
                <w:lang w:eastAsia="en-AU"/>
              </w:rPr>
            </w:pPr>
            <w:r w:rsidRPr="00581655">
              <w:rPr>
                <w:rFonts w:ascii="Times New Roman" w:eastAsia="Times New Roman" w:hAnsi="Times New Roman" w:cs="Times New Roman"/>
                <w:lang w:eastAsia="en-AU"/>
              </w:rPr>
              <w:t>*0.3</w:t>
            </w:r>
          </w:p>
        </w:tc>
      </w:tr>
      <w:tr w:rsidR="00581655" w:rsidRPr="00581655" w:rsidTr="00320C2A">
        <w:tc>
          <w:tcPr>
            <w:tcW w:w="5103" w:type="dxa"/>
            <w:tcBorders>
              <w:top w:val="single" w:sz="12" w:space="0" w:color="auto"/>
              <w:left w:val="nil"/>
              <w:bottom w:val="single" w:sz="12" w:space="0" w:color="auto"/>
              <w:right w:val="single" w:sz="12" w:space="0" w:color="auto"/>
            </w:tcBorders>
            <w:tcMar>
              <w:top w:w="165" w:type="dxa"/>
              <w:left w:w="150" w:type="dxa"/>
              <w:bottom w:w="195" w:type="dxa"/>
              <w:right w:w="150" w:type="dxa"/>
            </w:tcMar>
            <w:hideMark/>
          </w:tcPr>
          <w:p w:rsidR="00581655" w:rsidRPr="00581655" w:rsidRDefault="00581655" w:rsidP="00581655">
            <w:pPr>
              <w:jc w:val="right"/>
              <w:rPr>
                <w:rFonts w:ascii="Times New Roman" w:eastAsia="Times New Roman" w:hAnsi="Times New Roman" w:cs="Times New Roman"/>
                <w:b/>
                <w:bCs/>
                <w:lang w:eastAsia="en-AU"/>
              </w:rPr>
            </w:pPr>
            <w:r w:rsidRPr="00581655">
              <w:rPr>
                <w:rFonts w:ascii="Times New Roman" w:eastAsia="Times New Roman" w:hAnsi="Times New Roman" w:cs="Times New Roman"/>
                <w:b/>
                <w:bCs/>
                <w:lang w:eastAsia="en-AU"/>
              </w:rPr>
              <w:t>Casino table games</w:t>
            </w:r>
          </w:p>
        </w:tc>
        <w:tc>
          <w:tcPr>
            <w:tcW w:w="0" w:type="auto"/>
            <w:tcBorders>
              <w:top w:val="single" w:sz="12" w:space="0" w:color="auto"/>
              <w:left w:val="nil"/>
              <w:bottom w:val="single" w:sz="12" w:space="0" w:color="auto"/>
              <w:right w:val="single" w:sz="12" w:space="0" w:color="auto"/>
            </w:tcBorders>
            <w:tcMar>
              <w:top w:w="165" w:type="dxa"/>
              <w:left w:w="150" w:type="dxa"/>
              <w:bottom w:w="165" w:type="dxa"/>
              <w:right w:w="150" w:type="dxa"/>
            </w:tcMar>
            <w:hideMark/>
          </w:tcPr>
          <w:p w:rsidR="00581655" w:rsidRPr="00581655" w:rsidRDefault="00581655" w:rsidP="00581655">
            <w:pPr>
              <w:jc w:val="right"/>
              <w:rPr>
                <w:rFonts w:ascii="Times New Roman" w:eastAsia="Times New Roman" w:hAnsi="Times New Roman" w:cs="Times New Roman"/>
                <w:lang w:eastAsia="en-AU"/>
              </w:rPr>
            </w:pPr>
            <w:r w:rsidRPr="00581655">
              <w:rPr>
                <w:rFonts w:ascii="Times New Roman" w:eastAsia="Times New Roman" w:hAnsi="Times New Roman" w:cs="Times New Roman"/>
                <w:lang w:eastAsia="en-AU"/>
              </w:rPr>
              <w:t>1.0</w:t>
            </w:r>
          </w:p>
        </w:tc>
        <w:tc>
          <w:tcPr>
            <w:tcW w:w="0" w:type="auto"/>
            <w:tcBorders>
              <w:top w:val="single" w:sz="12" w:space="0" w:color="auto"/>
              <w:left w:val="nil"/>
              <w:bottom w:val="single" w:sz="12" w:space="0" w:color="auto"/>
              <w:right w:val="nil"/>
            </w:tcBorders>
            <w:tcMar>
              <w:top w:w="165" w:type="dxa"/>
              <w:left w:w="150" w:type="dxa"/>
              <w:bottom w:w="165" w:type="dxa"/>
              <w:right w:w="150" w:type="dxa"/>
            </w:tcMar>
            <w:hideMark/>
          </w:tcPr>
          <w:p w:rsidR="00581655" w:rsidRPr="00581655" w:rsidRDefault="00581655" w:rsidP="00581655">
            <w:pPr>
              <w:jc w:val="right"/>
              <w:rPr>
                <w:rFonts w:ascii="Times New Roman" w:eastAsia="Times New Roman" w:hAnsi="Times New Roman" w:cs="Times New Roman"/>
                <w:lang w:eastAsia="en-AU"/>
              </w:rPr>
            </w:pPr>
            <w:r w:rsidRPr="00581655">
              <w:rPr>
                <w:rFonts w:ascii="Times New Roman" w:eastAsia="Times New Roman" w:hAnsi="Times New Roman" w:cs="Times New Roman"/>
                <w:lang w:eastAsia="en-AU"/>
              </w:rPr>
              <w:t>0.2</w:t>
            </w:r>
          </w:p>
        </w:tc>
      </w:tr>
      <w:tr w:rsidR="00581655" w:rsidRPr="00581655" w:rsidTr="00320C2A">
        <w:tc>
          <w:tcPr>
            <w:tcW w:w="5103" w:type="dxa"/>
            <w:tcBorders>
              <w:top w:val="single" w:sz="12" w:space="0" w:color="auto"/>
              <w:left w:val="nil"/>
              <w:bottom w:val="single" w:sz="12" w:space="0" w:color="auto"/>
              <w:right w:val="single" w:sz="12" w:space="0" w:color="auto"/>
            </w:tcBorders>
            <w:shd w:val="clear" w:color="auto" w:fill="F6F6F6"/>
            <w:tcMar>
              <w:top w:w="165" w:type="dxa"/>
              <w:left w:w="150" w:type="dxa"/>
              <w:bottom w:w="195" w:type="dxa"/>
              <w:right w:w="150" w:type="dxa"/>
            </w:tcMar>
            <w:hideMark/>
          </w:tcPr>
          <w:p w:rsidR="00581655" w:rsidRPr="001E6402" w:rsidRDefault="00581655" w:rsidP="00581655">
            <w:pPr>
              <w:jc w:val="right"/>
              <w:rPr>
                <w:rFonts w:ascii="Times New Roman" w:eastAsia="Times New Roman" w:hAnsi="Times New Roman" w:cs="Times New Roman"/>
                <w:b/>
                <w:bCs/>
                <w:highlight w:val="yellow"/>
                <w:lang w:eastAsia="en-AU"/>
              </w:rPr>
            </w:pPr>
            <w:r w:rsidRPr="001E6402">
              <w:rPr>
                <w:rFonts w:ascii="Times New Roman" w:eastAsia="Times New Roman" w:hAnsi="Times New Roman" w:cs="Times New Roman"/>
                <w:b/>
                <w:bCs/>
                <w:highlight w:val="yellow"/>
                <w:lang w:eastAsia="en-AU"/>
              </w:rPr>
              <w:t>Poker machines</w:t>
            </w:r>
          </w:p>
        </w:tc>
        <w:tc>
          <w:tcPr>
            <w:tcW w:w="0" w:type="auto"/>
            <w:tcBorders>
              <w:top w:val="single" w:sz="12" w:space="0" w:color="auto"/>
              <w:left w:val="nil"/>
              <w:bottom w:val="single" w:sz="12" w:space="0" w:color="auto"/>
              <w:right w:val="single" w:sz="12" w:space="0" w:color="auto"/>
            </w:tcBorders>
            <w:shd w:val="clear" w:color="auto" w:fill="F6F6F6"/>
            <w:tcMar>
              <w:top w:w="165" w:type="dxa"/>
              <w:left w:w="150" w:type="dxa"/>
              <w:bottom w:w="165" w:type="dxa"/>
              <w:right w:w="150" w:type="dxa"/>
            </w:tcMar>
            <w:hideMark/>
          </w:tcPr>
          <w:p w:rsidR="00581655" w:rsidRPr="001E6402" w:rsidRDefault="00581655" w:rsidP="00581655">
            <w:pPr>
              <w:jc w:val="right"/>
              <w:rPr>
                <w:rFonts w:ascii="Times New Roman" w:eastAsia="Times New Roman" w:hAnsi="Times New Roman" w:cs="Times New Roman"/>
                <w:highlight w:val="yellow"/>
                <w:lang w:eastAsia="en-AU"/>
              </w:rPr>
            </w:pPr>
            <w:r w:rsidRPr="001E6402">
              <w:rPr>
                <w:rFonts w:ascii="Times New Roman" w:eastAsia="Times New Roman" w:hAnsi="Times New Roman" w:cs="Times New Roman"/>
                <w:highlight w:val="yellow"/>
                <w:lang w:eastAsia="en-AU"/>
              </w:rPr>
              <w:t>7.3</w:t>
            </w:r>
          </w:p>
        </w:tc>
        <w:tc>
          <w:tcPr>
            <w:tcW w:w="0" w:type="auto"/>
            <w:tcBorders>
              <w:top w:val="single" w:sz="12" w:space="0" w:color="auto"/>
              <w:left w:val="nil"/>
              <w:bottom w:val="single" w:sz="12" w:space="0" w:color="auto"/>
              <w:right w:val="nil"/>
            </w:tcBorders>
            <w:shd w:val="clear" w:color="auto" w:fill="F6F6F6"/>
            <w:tcMar>
              <w:top w:w="165" w:type="dxa"/>
              <w:left w:w="150" w:type="dxa"/>
              <w:bottom w:w="165" w:type="dxa"/>
              <w:right w:w="150" w:type="dxa"/>
            </w:tcMar>
            <w:hideMark/>
          </w:tcPr>
          <w:p w:rsidR="00581655" w:rsidRPr="001E6402" w:rsidRDefault="00581655" w:rsidP="00581655">
            <w:pPr>
              <w:jc w:val="right"/>
              <w:rPr>
                <w:rFonts w:ascii="Times New Roman" w:eastAsia="Times New Roman" w:hAnsi="Times New Roman" w:cs="Times New Roman"/>
                <w:highlight w:val="yellow"/>
                <w:lang w:eastAsia="en-AU"/>
              </w:rPr>
            </w:pPr>
            <w:r w:rsidRPr="001E6402">
              <w:rPr>
                <w:rFonts w:ascii="Times New Roman" w:eastAsia="Times New Roman" w:hAnsi="Times New Roman" w:cs="Times New Roman"/>
                <w:highlight w:val="yellow"/>
                <w:lang w:eastAsia="en-AU"/>
              </w:rPr>
              <w:t>5.1</w:t>
            </w:r>
          </w:p>
        </w:tc>
      </w:tr>
      <w:tr w:rsidR="00581655" w:rsidRPr="00581655" w:rsidTr="00320C2A">
        <w:tc>
          <w:tcPr>
            <w:tcW w:w="5103" w:type="dxa"/>
            <w:tcBorders>
              <w:top w:val="single" w:sz="12" w:space="0" w:color="auto"/>
              <w:left w:val="nil"/>
              <w:bottom w:val="single" w:sz="12" w:space="0" w:color="auto"/>
              <w:right w:val="single" w:sz="12" w:space="0" w:color="auto"/>
            </w:tcBorders>
            <w:tcMar>
              <w:top w:w="165" w:type="dxa"/>
              <w:left w:w="150" w:type="dxa"/>
              <w:bottom w:w="195" w:type="dxa"/>
              <w:right w:w="150" w:type="dxa"/>
            </w:tcMar>
            <w:hideMark/>
          </w:tcPr>
          <w:p w:rsidR="00581655" w:rsidRPr="00581655" w:rsidRDefault="00581655" w:rsidP="00581655">
            <w:pPr>
              <w:jc w:val="right"/>
              <w:rPr>
                <w:rFonts w:ascii="Times New Roman" w:eastAsia="Times New Roman" w:hAnsi="Times New Roman" w:cs="Times New Roman"/>
                <w:b/>
                <w:bCs/>
                <w:lang w:eastAsia="en-AU"/>
              </w:rPr>
            </w:pPr>
            <w:r w:rsidRPr="00581655">
              <w:rPr>
                <w:rFonts w:ascii="Times New Roman" w:eastAsia="Times New Roman" w:hAnsi="Times New Roman" w:cs="Times New Roman"/>
                <w:b/>
                <w:bCs/>
                <w:lang w:eastAsia="en-AU"/>
              </w:rPr>
              <w:t>Betting on horse or dog races</w:t>
            </w:r>
          </w:p>
        </w:tc>
        <w:tc>
          <w:tcPr>
            <w:tcW w:w="0" w:type="auto"/>
            <w:tcBorders>
              <w:top w:val="single" w:sz="12" w:space="0" w:color="auto"/>
              <w:left w:val="nil"/>
              <w:bottom w:val="single" w:sz="12" w:space="0" w:color="auto"/>
              <w:right w:val="single" w:sz="12" w:space="0" w:color="auto"/>
            </w:tcBorders>
            <w:tcMar>
              <w:top w:w="165" w:type="dxa"/>
              <w:left w:w="150" w:type="dxa"/>
              <w:bottom w:w="165" w:type="dxa"/>
              <w:right w:w="150" w:type="dxa"/>
            </w:tcMar>
            <w:hideMark/>
          </w:tcPr>
          <w:p w:rsidR="00581655" w:rsidRPr="00581655" w:rsidRDefault="00581655" w:rsidP="00581655">
            <w:pPr>
              <w:jc w:val="right"/>
              <w:rPr>
                <w:rFonts w:ascii="Times New Roman" w:eastAsia="Times New Roman" w:hAnsi="Times New Roman" w:cs="Times New Roman"/>
                <w:lang w:eastAsia="en-AU"/>
              </w:rPr>
            </w:pPr>
            <w:r w:rsidRPr="00581655">
              <w:rPr>
                <w:rFonts w:ascii="Times New Roman" w:eastAsia="Times New Roman" w:hAnsi="Times New Roman" w:cs="Times New Roman"/>
                <w:lang w:eastAsia="en-AU"/>
              </w:rPr>
              <w:t>10.1</w:t>
            </w:r>
          </w:p>
        </w:tc>
        <w:tc>
          <w:tcPr>
            <w:tcW w:w="0" w:type="auto"/>
            <w:tcBorders>
              <w:top w:val="single" w:sz="12" w:space="0" w:color="auto"/>
              <w:left w:val="nil"/>
              <w:bottom w:val="single" w:sz="12" w:space="0" w:color="auto"/>
              <w:right w:val="nil"/>
            </w:tcBorders>
            <w:tcMar>
              <w:top w:w="165" w:type="dxa"/>
              <w:left w:w="150" w:type="dxa"/>
              <w:bottom w:w="165" w:type="dxa"/>
              <w:right w:w="150" w:type="dxa"/>
            </w:tcMar>
            <w:hideMark/>
          </w:tcPr>
          <w:p w:rsidR="00581655" w:rsidRPr="00581655" w:rsidRDefault="00581655" w:rsidP="00581655">
            <w:pPr>
              <w:jc w:val="right"/>
              <w:rPr>
                <w:rFonts w:ascii="Times New Roman" w:eastAsia="Times New Roman" w:hAnsi="Times New Roman" w:cs="Times New Roman"/>
                <w:lang w:eastAsia="en-AU"/>
              </w:rPr>
            </w:pPr>
            <w:r w:rsidRPr="00581655">
              <w:rPr>
                <w:rFonts w:ascii="Times New Roman" w:eastAsia="Times New Roman" w:hAnsi="Times New Roman" w:cs="Times New Roman"/>
                <w:lang w:eastAsia="en-AU"/>
              </w:rPr>
              <w:t>2.2</w:t>
            </w:r>
          </w:p>
        </w:tc>
      </w:tr>
      <w:tr w:rsidR="00581655" w:rsidRPr="00581655" w:rsidTr="00320C2A">
        <w:tc>
          <w:tcPr>
            <w:tcW w:w="5103" w:type="dxa"/>
            <w:tcBorders>
              <w:top w:val="single" w:sz="12" w:space="0" w:color="auto"/>
              <w:left w:val="nil"/>
              <w:bottom w:val="single" w:sz="12" w:space="0" w:color="auto"/>
              <w:right w:val="single" w:sz="12" w:space="0" w:color="auto"/>
            </w:tcBorders>
            <w:shd w:val="clear" w:color="auto" w:fill="F6F6F6"/>
            <w:tcMar>
              <w:top w:w="165" w:type="dxa"/>
              <w:left w:w="150" w:type="dxa"/>
              <w:bottom w:w="195" w:type="dxa"/>
              <w:right w:w="150" w:type="dxa"/>
            </w:tcMar>
            <w:hideMark/>
          </w:tcPr>
          <w:p w:rsidR="00581655" w:rsidRPr="00581655" w:rsidRDefault="00581655" w:rsidP="00581655">
            <w:pPr>
              <w:jc w:val="right"/>
              <w:rPr>
                <w:rFonts w:ascii="Times New Roman" w:eastAsia="Times New Roman" w:hAnsi="Times New Roman" w:cs="Times New Roman"/>
                <w:b/>
                <w:bCs/>
                <w:lang w:eastAsia="en-AU"/>
              </w:rPr>
            </w:pPr>
            <w:r w:rsidRPr="00581655">
              <w:rPr>
                <w:rFonts w:ascii="Times New Roman" w:eastAsia="Times New Roman" w:hAnsi="Times New Roman" w:cs="Times New Roman"/>
                <w:b/>
                <w:bCs/>
                <w:lang w:eastAsia="en-AU"/>
              </w:rPr>
              <w:t>Betting on sports</w:t>
            </w:r>
          </w:p>
        </w:tc>
        <w:tc>
          <w:tcPr>
            <w:tcW w:w="0" w:type="auto"/>
            <w:tcBorders>
              <w:top w:val="single" w:sz="12" w:space="0" w:color="auto"/>
              <w:left w:val="nil"/>
              <w:bottom w:val="single" w:sz="12" w:space="0" w:color="auto"/>
              <w:right w:val="single" w:sz="12" w:space="0" w:color="auto"/>
            </w:tcBorders>
            <w:shd w:val="clear" w:color="auto" w:fill="F6F6F6"/>
            <w:tcMar>
              <w:top w:w="165" w:type="dxa"/>
              <w:left w:w="150" w:type="dxa"/>
              <w:bottom w:w="165" w:type="dxa"/>
              <w:right w:w="150" w:type="dxa"/>
            </w:tcMar>
            <w:hideMark/>
          </w:tcPr>
          <w:p w:rsidR="00581655" w:rsidRPr="00581655" w:rsidRDefault="00581655" w:rsidP="00581655">
            <w:pPr>
              <w:jc w:val="right"/>
              <w:rPr>
                <w:rFonts w:ascii="Times New Roman" w:eastAsia="Times New Roman" w:hAnsi="Times New Roman" w:cs="Times New Roman"/>
                <w:lang w:eastAsia="en-AU"/>
              </w:rPr>
            </w:pPr>
            <w:r w:rsidRPr="00581655">
              <w:rPr>
                <w:rFonts w:ascii="Times New Roman" w:eastAsia="Times New Roman" w:hAnsi="Times New Roman" w:cs="Times New Roman"/>
                <w:lang w:eastAsia="en-AU"/>
              </w:rPr>
              <w:t>9.3</w:t>
            </w:r>
          </w:p>
        </w:tc>
        <w:tc>
          <w:tcPr>
            <w:tcW w:w="0" w:type="auto"/>
            <w:tcBorders>
              <w:top w:val="single" w:sz="12" w:space="0" w:color="auto"/>
              <w:left w:val="nil"/>
              <w:bottom w:val="single" w:sz="12" w:space="0" w:color="auto"/>
              <w:right w:val="nil"/>
            </w:tcBorders>
            <w:shd w:val="clear" w:color="auto" w:fill="F6F6F6"/>
            <w:tcMar>
              <w:top w:w="165" w:type="dxa"/>
              <w:left w:w="150" w:type="dxa"/>
              <w:bottom w:w="165" w:type="dxa"/>
              <w:right w:w="150" w:type="dxa"/>
            </w:tcMar>
            <w:hideMark/>
          </w:tcPr>
          <w:p w:rsidR="00581655" w:rsidRPr="00581655" w:rsidRDefault="00581655" w:rsidP="00581655">
            <w:pPr>
              <w:jc w:val="right"/>
              <w:rPr>
                <w:rFonts w:ascii="Times New Roman" w:eastAsia="Times New Roman" w:hAnsi="Times New Roman" w:cs="Times New Roman"/>
                <w:lang w:eastAsia="en-AU"/>
              </w:rPr>
            </w:pPr>
            <w:r w:rsidRPr="00581655">
              <w:rPr>
                <w:rFonts w:ascii="Times New Roman" w:eastAsia="Times New Roman" w:hAnsi="Times New Roman" w:cs="Times New Roman"/>
                <w:lang w:eastAsia="en-AU"/>
              </w:rPr>
              <w:t>1.1</w:t>
            </w:r>
          </w:p>
        </w:tc>
      </w:tr>
    </w:tbl>
    <w:p w:rsidR="00581655" w:rsidRPr="00581655" w:rsidRDefault="00581655" w:rsidP="00B12C81">
      <w:pPr>
        <w:spacing w:before="150" w:after="100" w:afterAutospacing="1"/>
        <w:rPr>
          <w:rFonts w:ascii="Trebuchet MS" w:eastAsia="Times New Roman" w:hAnsi="Trebuchet MS" w:cs="Times New Roman"/>
          <w:b/>
          <w:color w:val="45494B"/>
          <w:sz w:val="22"/>
          <w:szCs w:val="22"/>
          <w:lang w:eastAsia="en-AU"/>
        </w:rPr>
      </w:pPr>
      <w:r w:rsidRPr="00581655">
        <w:rPr>
          <w:rFonts w:ascii="Trebuchet MS" w:eastAsia="Times New Roman" w:hAnsi="Trebuchet MS" w:cs="Times New Roman"/>
          <w:b/>
          <w:color w:val="45494B"/>
          <w:sz w:val="22"/>
          <w:szCs w:val="22"/>
          <w:lang w:eastAsia="en-AU"/>
        </w:rPr>
        <w:lastRenderedPageBreak/>
        <w:t>Note: * Estimate not reliable</w:t>
      </w:r>
      <w:r w:rsidR="00B12C81" w:rsidRPr="00B12C81">
        <w:rPr>
          <w:rFonts w:ascii="Trebuchet MS" w:eastAsia="Times New Roman" w:hAnsi="Trebuchet MS" w:cs="Times New Roman"/>
          <w:b/>
          <w:color w:val="45494B"/>
          <w:sz w:val="22"/>
          <w:szCs w:val="22"/>
          <w:lang w:eastAsia="en-AU"/>
        </w:rPr>
        <w:t xml:space="preserve">    </w:t>
      </w:r>
      <w:r w:rsidRPr="00581655">
        <w:rPr>
          <w:rFonts w:ascii="Trebuchet MS" w:eastAsia="Times New Roman" w:hAnsi="Trebuchet MS" w:cs="Times New Roman"/>
          <w:b/>
          <w:color w:val="45494B"/>
          <w:sz w:val="22"/>
          <w:szCs w:val="22"/>
          <w:lang w:eastAsia="en-AU"/>
        </w:rPr>
        <w:t>Source: Wilkins et al. (2024)</w:t>
      </w:r>
    </w:p>
    <w:p w:rsidR="00581655" w:rsidRPr="00581655" w:rsidRDefault="00581655" w:rsidP="001E6402">
      <w:pPr>
        <w:spacing w:after="120"/>
        <w:rPr>
          <w:rFonts w:ascii="Trebuchet MS" w:eastAsia="Times New Roman" w:hAnsi="Trebuchet MS" w:cs="Times New Roman"/>
          <w:color w:val="45494B"/>
          <w:lang w:eastAsia="en-AU"/>
        </w:rPr>
      </w:pPr>
      <w:r w:rsidRPr="00581655">
        <w:rPr>
          <w:rFonts w:ascii="Trebuchet MS" w:eastAsia="Times New Roman" w:hAnsi="Trebuchet MS" w:cs="Times New Roman"/>
          <w:color w:val="45494B"/>
          <w:lang w:eastAsia="en-AU"/>
        </w:rPr>
        <w:t>The 2022 AGRC online general community panel survey similarly found that, in the past 12 months:</w:t>
      </w:r>
    </w:p>
    <w:p w:rsidR="00581655" w:rsidRPr="00581655" w:rsidRDefault="00581655" w:rsidP="001E6402">
      <w:pPr>
        <w:numPr>
          <w:ilvl w:val="0"/>
          <w:numId w:val="15"/>
        </w:numPr>
        <w:spacing w:before="120" w:after="60"/>
        <w:ind w:left="493" w:hanging="357"/>
        <w:rPr>
          <w:rFonts w:ascii="Trebuchet MS" w:eastAsia="Times New Roman" w:hAnsi="Trebuchet MS" w:cs="Times New Roman"/>
          <w:color w:val="45494B"/>
          <w:lang w:eastAsia="en-AU"/>
        </w:rPr>
      </w:pPr>
      <w:r w:rsidRPr="00581655">
        <w:rPr>
          <w:rFonts w:ascii="Trebuchet MS" w:eastAsia="Times New Roman" w:hAnsi="Trebuchet MS" w:cs="Times New Roman"/>
          <w:color w:val="45494B"/>
          <w:lang w:eastAsia="en-AU"/>
        </w:rPr>
        <w:t>lottery games and instant scratch tickets were the most common types of gambling participated in by adults</w:t>
      </w:r>
    </w:p>
    <w:p w:rsidR="00581655" w:rsidRPr="001E6402" w:rsidRDefault="00581655" w:rsidP="00581655">
      <w:pPr>
        <w:numPr>
          <w:ilvl w:val="0"/>
          <w:numId w:val="15"/>
        </w:numPr>
        <w:spacing w:before="100" w:beforeAutospacing="1"/>
        <w:ind w:left="495"/>
        <w:rPr>
          <w:rFonts w:ascii="Trebuchet MS" w:eastAsia="Times New Roman" w:hAnsi="Trebuchet MS" w:cs="Times New Roman"/>
          <w:color w:val="45494B"/>
          <w:highlight w:val="yellow"/>
          <w:lang w:eastAsia="en-AU"/>
        </w:rPr>
      </w:pPr>
      <w:proofErr w:type="gramStart"/>
      <w:r w:rsidRPr="001E6402">
        <w:rPr>
          <w:rFonts w:ascii="Trebuchet MS" w:eastAsia="Times New Roman" w:hAnsi="Trebuchet MS" w:cs="Times New Roman"/>
          <w:color w:val="45494B"/>
          <w:highlight w:val="yellow"/>
          <w:lang w:eastAsia="en-AU"/>
        </w:rPr>
        <w:t>men</w:t>
      </w:r>
      <w:proofErr w:type="gramEnd"/>
      <w:r w:rsidRPr="001E6402">
        <w:rPr>
          <w:rFonts w:ascii="Trebuchet MS" w:eastAsia="Times New Roman" w:hAnsi="Trebuchet MS" w:cs="Times New Roman"/>
          <w:color w:val="45494B"/>
          <w:highlight w:val="yellow"/>
          <w:lang w:eastAsia="en-AU"/>
        </w:rPr>
        <w:t xml:space="preserve"> were more likely to spend more money and be at risk of harm from gambling than women.</w:t>
      </w:r>
    </w:p>
    <w:p w:rsidR="00581655" w:rsidRPr="00581655" w:rsidRDefault="00581655" w:rsidP="001E6402">
      <w:pPr>
        <w:spacing w:before="360" w:after="120"/>
        <w:outlineLvl w:val="2"/>
        <w:rPr>
          <w:rFonts w:ascii="Trebuchet MS" w:eastAsia="Times New Roman" w:hAnsi="Trebuchet MS" w:cs="Times New Roman"/>
          <w:b/>
          <w:bCs/>
          <w:color w:val="45494B"/>
          <w:sz w:val="27"/>
          <w:szCs w:val="27"/>
          <w:lang w:eastAsia="en-AU"/>
        </w:rPr>
      </w:pPr>
      <w:r w:rsidRPr="00581655">
        <w:rPr>
          <w:rFonts w:ascii="Trebuchet MS" w:eastAsia="Times New Roman" w:hAnsi="Trebuchet MS" w:cs="Times New Roman"/>
          <w:b/>
          <w:bCs/>
          <w:color w:val="45494B"/>
          <w:sz w:val="27"/>
          <w:szCs w:val="27"/>
          <w:lang w:eastAsia="en-AU"/>
        </w:rPr>
        <w:t>Gambling trends</w:t>
      </w:r>
    </w:p>
    <w:p w:rsidR="00581655" w:rsidRPr="00581655" w:rsidRDefault="00581655" w:rsidP="00B12C81">
      <w:pPr>
        <w:spacing w:after="240"/>
        <w:rPr>
          <w:rFonts w:ascii="Times New Roman" w:eastAsia="Times New Roman" w:hAnsi="Times New Roman" w:cs="Times New Roman"/>
          <w:lang w:eastAsia="en-AU"/>
        </w:rPr>
      </w:pPr>
      <w:r w:rsidRPr="00581655">
        <w:rPr>
          <w:rFonts w:ascii="Trebuchet MS" w:eastAsia="Times New Roman" w:hAnsi="Trebuchet MS" w:cs="Times New Roman"/>
          <w:color w:val="45494B"/>
          <w:lang w:eastAsia="en-AU"/>
        </w:rPr>
        <w:t>While lotteries have remained the most common type of gambling in Australia, trends in the </w:t>
      </w:r>
      <w:proofErr w:type="gramStart"/>
      <w:r w:rsidRPr="00B12C81">
        <w:rPr>
          <w:rFonts w:ascii="Trebuchet MS" w:eastAsia="Times New Roman" w:hAnsi="Trebuchet MS" w:cs="Times New Roman"/>
          <w:color w:val="45494B"/>
          <w:lang w:eastAsia="en-AU"/>
        </w:rPr>
        <w:t>prevalence</w:t>
      </w:r>
      <w:r w:rsidR="00B12C81">
        <w:rPr>
          <w:rFonts w:ascii="Trebuchet MS" w:eastAsia="Times New Roman" w:hAnsi="Trebuchet MS" w:cs="Times New Roman"/>
          <w:color w:val="45494B"/>
          <w:lang w:eastAsia="en-AU"/>
        </w:rPr>
        <w:t xml:space="preserve"> </w:t>
      </w:r>
      <w:r w:rsidRPr="00581655">
        <w:rPr>
          <w:rFonts w:ascii="Trebuchet MS" w:eastAsia="Times New Roman" w:hAnsi="Trebuchet MS" w:cs="Times New Roman"/>
          <w:color w:val="45494B"/>
          <w:lang w:eastAsia="en-AU"/>
        </w:rPr>
        <w:t> of</w:t>
      </w:r>
      <w:proofErr w:type="gramEnd"/>
      <w:r w:rsidRPr="00581655">
        <w:rPr>
          <w:rFonts w:ascii="Trebuchet MS" w:eastAsia="Times New Roman" w:hAnsi="Trebuchet MS" w:cs="Times New Roman"/>
          <w:color w:val="45494B"/>
          <w:lang w:eastAsia="en-AU"/>
        </w:rPr>
        <w:t xml:space="preserve"> different gambling types have changed over time.</w:t>
      </w:r>
    </w:p>
    <w:p w:rsidR="00581655" w:rsidRPr="00581655" w:rsidRDefault="00581655" w:rsidP="00320C2A">
      <w:pPr>
        <w:spacing w:after="120"/>
        <w:rPr>
          <w:rFonts w:ascii="Trebuchet MS" w:eastAsia="Times New Roman" w:hAnsi="Trebuchet MS" w:cs="Times New Roman"/>
          <w:color w:val="45494B"/>
          <w:lang w:eastAsia="en-AU"/>
        </w:rPr>
      </w:pPr>
      <w:r w:rsidRPr="00581655">
        <w:rPr>
          <w:rFonts w:ascii="Trebuchet MS" w:eastAsia="Times New Roman" w:hAnsi="Trebuchet MS" w:cs="Times New Roman"/>
          <w:color w:val="45494B"/>
          <w:lang w:eastAsia="en-AU"/>
        </w:rPr>
        <w:t>The 2024 HILDA Survey report estimated that, from 2015 to 2022, engagement in:</w:t>
      </w:r>
    </w:p>
    <w:p w:rsidR="00581655" w:rsidRPr="00581655" w:rsidRDefault="00581655" w:rsidP="00320C2A">
      <w:pPr>
        <w:numPr>
          <w:ilvl w:val="0"/>
          <w:numId w:val="1"/>
        </w:numPr>
        <w:spacing w:after="60"/>
        <w:ind w:left="493" w:hanging="357"/>
        <w:rPr>
          <w:rFonts w:ascii="Trebuchet MS" w:eastAsia="Times New Roman" w:hAnsi="Trebuchet MS" w:cs="Times New Roman"/>
          <w:color w:val="45494B"/>
          <w:lang w:eastAsia="en-AU"/>
        </w:rPr>
      </w:pPr>
      <w:proofErr w:type="gramStart"/>
      <w:r w:rsidRPr="00581655">
        <w:rPr>
          <w:rFonts w:ascii="Trebuchet MS" w:eastAsia="Times New Roman" w:hAnsi="Trebuchet MS" w:cs="Times New Roman"/>
          <w:color w:val="45494B"/>
          <w:lang w:eastAsia="en-AU"/>
        </w:rPr>
        <w:t>the</w:t>
      </w:r>
      <w:proofErr w:type="gramEnd"/>
      <w:r w:rsidRPr="00581655">
        <w:rPr>
          <w:rFonts w:ascii="Trebuchet MS" w:eastAsia="Times New Roman" w:hAnsi="Trebuchet MS" w:cs="Times New Roman"/>
          <w:color w:val="45494B"/>
          <w:lang w:eastAsia="en-AU"/>
        </w:rPr>
        <w:t xml:space="preserve"> lotto or lottery games in a typical month fell (from 30% of Australians to 26%)</w:t>
      </w:r>
    </w:p>
    <w:p w:rsidR="00581655" w:rsidRPr="00581655" w:rsidRDefault="00581655" w:rsidP="00581655">
      <w:pPr>
        <w:numPr>
          <w:ilvl w:val="0"/>
          <w:numId w:val="1"/>
        </w:numPr>
        <w:spacing w:before="100" w:beforeAutospacing="1" w:after="60"/>
        <w:ind w:left="495"/>
        <w:rPr>
          <w:rFonts w:ascii="Trebuchet MS" w:eastAsia="Times New Roman" w:hAnsi="Trebuchet MS" w:cs="Times New Roman"/>
          <w:color w:val="45494B"/>
          <w:lang w:eastAsia="en-AU"/>
        </w:rPr>
      </w:pPr>
      <w:proofErr w:type="gramStart"/>
      <w:r w:rsidRPr="00581655">
        <w:rPr>
          <w:rFonts w:ascii="Trebuchet MS" w:eastAsia="Times New Roman" w:hAnsi="Trebuchet MS" w:cs="Times New Roman"/>
          <w:color w:val="45494B"/>
          <w:lang w:eastAsia="en-AU"/>
        </w:rPr>
        <w:t>instant</w:t>
      </w:r>
      <w:proofErr w:type="gramEnd"/>
      <w:r w:rsidRPr="00581655">
        <w:rPr>
          <w:rFonts w:ascii="Trebuchet MS" w:eastAsia="Times New Roman" w:hAnsi="Trebuchet MS" w:cs="Times New Roman"/>
          <w:color w:val="45494B"/>
          <w:lang w:eastAsia="en-AU"/>
        </w:rPr>
        <w:t xml:space="preserve"> scratch tickets in a typical month fell (from 8.5% to 5.3%)</w:t>
      </w:r>
    </w:p>
    <w:p w:rsidR="00581655" w:rsidRPr="001E6402" w:rsidRDefault="00581655" w:rsidP="00581655">
      <w:pPr>
        <w:numPr>
          <w:ilvl w:val="0"/>
          <w:numId w:val="1"/>
        </w:numPr>
        <w:spacing w:before="100" w:beforeAutospacing="1" w:after="60"/>
        <w:ind w:left="495"/>
        <w:rPr>
          <w:rFonts w:ascii="Trebuchet MS" w:eastAsia="Times New Roman" w:hAnsi="Trebuchet MS" w:cs="Times New Roman"/>
          <w:color w:val="45494B"/>
          <w:highlight w:val="yellow"/>
          <w:lang w:eastAsia="en-AU"/>
        </w:rPr>
      </w:pPr>
      <w:proofErr w:type="gramStart"/>
      <w:r w:rsidRPr="001E6402">
        <w:rPr>
          <w:rFonts w:ascii="Trebuchet MS" w:eastAsia="Times New Roman" w:hAnsi="Trebuchet MS" w:cs="Times New Roman"/>
          <w:color w:val="45494B"/>
          <w:highlight w:val="yellow"/>
          <w:lang w:eastAsia="en-AU"/>
        </w:rPr>
        <w:t>sports</w:t>
      </w:r>
      <w:proofErr w:type="gramEnd"/>
      <w:r w:rsidRPr="001E6402">
        <w:rPr>
          <w:rFonts w:ascii="Trebuchet MS" w:eastAsia="Times New Roman" w:hAnsi="Trebuchet MS" w:cs="Times New Roman"/>
          <w:color w:val="45494B"/>
          <w:highlight w:val="yellow"/>
          <w:lang w:eastAsia="en-AU"/>
        </w:rPr>
        <w:t xml:space="preserve"> betting in a typical month rose (from 3.3% to 5.1%) (Wilkins et al. 2024).</w:t>
      </w:r>
    </w:p>
    <w:p w:rsidR="00581655" w:rsidRPr="00320C2A" w:rsidRDefault="00581655" w:rsidP="00581655">
      <w:pPr>
        <w:spacing w:before="100" w:beforeAutospacing="1" w:after="240"/>
        <w:rPr>
          <w:rFonts w:ascii="Trebuchet MS" w:eastAsia="Times New Roman" w:hAnsi="Trebuchet MS" w:cs="Times New Roman"/>
          <w:color w:val="45494B"/>
          <w:lang w:eastAsia="en-AU"/>
        </w:rPr>
      </w:pPr>
      <w:r w:rsidRPr="00320C2A">
        <w:rPr>
          <w:rFonts w:ascii="Trebuchet MS" w:eastAsia="Times New Roman" w:hAnsi="Trebuchet MS" w:cs="Times New Roman"/>
          <w:color w:val="45494B"/>
          <w:highlight w:val="yellow"/>
          <w:lang w:eastAsia="en-AU"/>
        </w:rPr>
        <w:t xml:space="preserve">There was also a fall in the proportion of people reporting use of poker machines over the same period, but an almost doubling in reported monthly expenditure on poker machines – suggesting those people gambling on poker machines in 2022 were spending more than in 2015 (Wilkins </w:t>
      </w:r>
      <w:r w:rsidRPr="00036C46">
        <w:rPr>
          <w:rFonts w:ascii="Trebuchet MS" w:eastAsia="Times New Roman" w:hAnsi="Trebuchet MS" w:cs="Times New Roman"/>
          <w:i/>
          <w:color w:val="45494B"/>
          <w:highlight w:val="yellow"/>
          <w:lang w:eastAsia="en-AU"/>
        </w:rPr>
        <w:t>et al</w:t>
      </w:r>
      <w:r w:rsidRPr="00320C2A">
        <w:rPr>
          <w:rFonts w:ascii="Trebuchet MS" w:eastAsia="Times New Roman" w:hAnsi="Trebuchet MS" w:cs="Times New Roman"/>
          <w:color w:val="45494B"/>
          <w:highlight w:val="yellow"/>
          <w:lang w:eastAsia="en-AU"/>
        </w:rPr>
        <w:t>. 2024).</w:t>
      </w:r>
    </w:p>
    <w:p w:rsidR="00581655" w:rsidRPr="00581655" w:rsidRDefault="00581655" w:rsidP="00581655">
      <w:pPr>
        <w:spacing w:before="480" w:after="300"/>
        <w:outlineLvl w:val="2"/>
        <w:rPr>
          <w:rFonts w:ascii="Trebuchet MS" w:eastAsia="Times New Roman" w:hAnsi="Trebuchet MS" w:cs="Times New Roman"/>
          <w:b/>
          <w:bCs/>
          <w:color w:val="45494B"/>
          <w:sz w:val="27"/>
          <w:szCs w:val="27"/>
          <w:lang w:eastAsia="en-AU"/>
        </w:rPr>
      </w:pPr>
      <w:r w:rsidRPr="00581655">
        <w:rPr>
          <w:rFonts w:ascii="Trebuchet MS" w:eastAsia="Times New Roman" w:hAnsi="Trebuchet MS" w:cs="Times New Roman"/>
          <w:b/>
          <w:bCs/>
          <w:color w:val="45494B"/>
          <w:sz w:val="27"/>
          <w:szCs w:val="27"/>
          <w:lang w:eastAsia="en-AU"/>
        </w:rPr>
        <w:t>Betting trends</w:t>
      </w:r>
    </w:p>
    <w:p w:rsidR="00581655" w:rsidRPr="00320C2A" w:rsidRDefault="00581655" w:rsidP="00036C46">
      <w:pPr>
        <w:rPr>
          <w:rFonts w:ascii="Trebuchet MS" w:eastAsia="Times New Roman" w:hAnsi="Trebuchet MS" w:cs="Times New Roman"/>
          <w:color w:val="45494B"/>
          <w:lang w:eastAsia="en-AU"/>
        </w:rPr>
      </w:pPr>
      <w:r w:rsidRPr="00320C2A">
        <w:rPr>
          <w:rFonts w:ascii="Trebuchet MS" w:eastAsia="Times New Roman" w:hAnsi="Trebuchet MS" w:cs="Times New Roman"/>
          <w:color w:val="45494B"/>
          <w:lang w:eastAsia="en-AU"/>
        </w:rPr>
        <w:t>The rise in betting in recent years has been largely driven by increasing engagement among men. From 2015 to 2022, the estimated proportion of men participating in bets on:</w:t>
      </w:r>
    </w:p>
    <w:p w:rsidR="00581655" w:rsidRPr="00320C2A" w:rsidRDefault="00581655" w:rsidP="00036C46">
      <w:pPr>
        <w:numPr>
          <w:ilvl w:val="0"/>
          <w:numId w:val="2"/>
        </w:numPr>
        <w:spacing w:before="120" w:after="60"/>
        <w:ind w:left="493" w:hanging="357"/>
        <w:rPr>
          <w:rFonts w:ascii="Trebuchet MS" w:eastAsia="Times New Roman" w:hAnsi="Trebuchet MS" w:cs="Times New Roman"/>
          <w:color w:val="45494B"/>
          <w:lang w:eastAsia="en-AU"/>
        </w:rPr>
      </w:pPr>
      <w:r w:rsidRPr="00320C2A">
        <w:rPr>
          <w:rFonts w:ascii="Trebuchet MS" w:eastAsia="Times New Roman" w:hAnsi="Trebuchet MS" w:cs="Times New Roman"/>
          <w:color w:val="45494B"/>
          <w:lang w:eastAsia="en-AU"/>
        </w:rPr>
        <w:t>horse or dog races in a typical month increased from 9.3% to 10.1%</w:t>
      </w:r>
    </w:p>
    <w:p w:rsidR="00581655" w:rsidRPr="00320C2A" w:rsidRDefault="00581655" w:rsidP="00581655">
      <w:pPr>
        <w:numPr>
          <w:ilvl w:val="0"/>
          <w:numId w:val="2"/>
        </w:numPr>
        <w:spacing w:before="100" w:beforeAutospacing="1" w:after="60"/>
        <w:ind w:left="495"/>
        <w:rPr>
          <w:rFonts w:ascii="Trebuchet MS" w:eastAsia="Times New Roman" w:hAnsi="Trebuchet MS" w:cs="Times New Roman"/>
          <w:color w:val="45494B"/>
          <w:lang w:eastAsia="en-AU"/>
        </w:rPr>
      </w:pPr>
      <w:proofErr w:type="gramStart"/>
      <w:r w:rsidRPr="00320C2A">
        <w:rPr>
          <w:rFonts w:ascii="Trebuchet MS" w:eastAsia="Times New Roman" w:hAnsi="Trebuchet MS" w:cs="Times New Roman"/>
          <w:color w:val="45494B"/>
          <w:lang w:eastAsia="en-AU"/>
        </w:rPr>
        <w:t>sports</w:t>
      </w:r>
      <w:proofErr w:type="gramEnd"/>
      <w:r w:rsidRPr="00320C2A">
        <w:rPr>
          <w:rFonts w:ascii="Trebuchet MS" w:eastAsia="Times New Roman" w:hAnsi="Trebuchet MS" w:cs="Times New Roman"/>
          <w:color w:val="45494B"/>
          <w:lang w:eastAsia="en-AU"/>
        </w:rPr>
        <w:t xml:space="preserve"> in a typical month increased from 5.6% to 9.3% (Wilkins et al. 2024).</w:t>
      </w:r>
    </w:p>
    <w:p w:rsidR="00581655" w:rsidRPr="00320C2A" w:rsidRDefault="00581655" w:rsidP="00581655">
      <w:pPr>
        <w:spacing w:before="100" w:beforeAutospacing="1" w:after="240"/>
        <w:rPr>
          <w:rFonts w:ascii="Trebuchet MS" w:eastAsia="Times New Roman" w:hAnsi="Trebuchet MS" w:cs="Times New Roman"/>
          <w:color w:val="45494B"/>
          <w:lang w:eastAsia="en-AU"/>
        </w:rPr>
      </w:pPr>
      <w:r w:rsidRPr="00036C46">
        <w:rPr>
          <w:rFonts w:ascii="Trebuchet MS" w:eastAsia="Times New Roman" w:hAnsi="Trebuchet MS" w:cs="Times New Roman"/>
          <w:color w:val="45494B"/>
          <w:highlight w:val="yellow"/>
          <w:lang w:eastAsia="en-AU"/>
        </w:rPr>
        <w:t>This notable rise in betting among men could potentially be linked to its increasing accessibility and promotion in social and online environments (including social media campaigns, advertising and apps) (</w:t>
      </w:r>
      <w:proofErr w:type="spellStart"/>
      <w:r w:rsidRPr="00036C46">
        <w:rPr>
          <w:rFonts w:ascii="Trebuchet MS" w:eastAsia="Times New Roman" w:hAnsi="Trebuchet MS" w:cs="Times New Roman"/>
          <w:color w:val="45494B"/>
          <w:highlight w:val="yellow"/>
          <w:lang w:eastAsia="en-AU"/>
        </w:rPr>
        <w:t>Marinos</w:t>
      </w:r>
      <w:proofErr w:type="spellEnd"/>
      <w:r w:rsidRPr="00036C46">
        <w:rPr>
          <w:rFonts w:ascii="Trebuchet MS" w:eastAsia="Times New Roman" w:hAnsi="Trebuchet MS" w:cs="Times New Roman"/>
          <w:color w:val="45494B"/>
          <w:highlight w:val="yellow"/>
          <w:lang w:eastAsia="en-AU"/>
        </w:rPr>
        <w:t xml:space="preserve"> 2025; </w:t>
      </w:r>
      <w:proofErr w:type="spellStart"/>
      <w:r w:rsidRPr="00036C46">
        <w:rPr>
          <w:rFonts w:ascii="Trebuchet MS" w:eastAsia="Times New Roman" w:hAnsi="Trebuchet MS" w:cs="Times New Roman"/>
          <w:color w:val="45494B"/>
          <w:highlight w:val="yellow"/>
          <w:lang w:eastAsia="en-AU"/>
        </w:rPr>
        <w:t>Sathanapally</w:t>
      </w:r>
      <w:proofErr w:type="spellEnd"/>
      <w:r w:rsidRPr="00036C46">
        <w:rPr>
          <w:rFonts w:ascii="Trebuchet MS" w:eastAsia="Times New Roman" w:hAnsi="Trebuchet MS" w:cs="Times New Roman"/>
          <w:color w:val="45494B"/>
          <w:highlight w:val="yellow"/>
          <w:lang w:eastAsia="en-AU"/>
        </w:rPr>
        <w:t xml:space="preserve"> et al. 2024).</w:t>
      </w:r>
      <w:bookmarkStart w:id="0" w:name="_GoBack"/>
      <w:bookmarkEnd w:id="0"/>
    </w:p>
    <w:p w:rsidR="00581655" w:rsidRPr="00320C2A" w:rsidRDefault="00581655" w:rsidP="00581655">
      <w:pPr>
        <w:spacing w:after="240"/>
        <w:rPr>
          <w:rFonts w:ascii="Trebuchet MS" w:eastAsia="Times New Roman" w:hAnsi="Trebuchet MS" w:cs="Times New Roman"/>
          <w:color w:val="45494B"/>
          <w:lang w:eastAsia="en-AU"/>
        </w:rPr>
      </w:pPr>
      <w:r w:rsidRPr="00320C2A">
        <w:rPr>
          <w:rFonts w:ascii="Trebuchet MS" w:eastAsia="Times New Roman" w:hAnsi="Trebuchet MS" w:cs="Times New Roman"/>
          <w:color w:val="45494B"/>
          <w:lang w:eastAsia="en-AU"/>
        </w:rPr>
        <w:t>The Grattan Institute’s analysis of the HILDA survey reported that, in a typical month in 2022:</w:t>
      </w:r>
    </w:p>
    <w:p w:rsidR="00581655" w:rsidRPr="00320C2A" w:rsidRDefault="00581655" w:rsidP="00581655">
      <w:pPr>
        <w:numPr>
          <w:ilvl w:val="0"/>
          <w:numId w:val="3"/>
        </w:numPr>
        <w:spacing w:before="100" w:beforeAutospacing="1" w:after="60"/>
        <w:ind w:left="495"/>
        <w:rPr>
          <w:rFonts w:ascii="Trebuchet MS" w:eastAsia="Times New Roman" w:hAnsi="Trebuchet MS" w:cs="Times New Roman"/>
          <w:color w:val="45494B"/>
          <w:lang w:eastAsia="en-AU"/>
        </w:rPr>
      </w:pPr>
      <w:r w:rsidRPr="00320C2A">
        <w:rPr>
          <w:rFonts w:ascii="Trebuchet MS" w:eastAsia="Times New Roman" w:hAnsi="Trebuchet MS" w:cs="Times New Roman"/>
          <w:color w:val="45494B"/>
          <w:lang w:eastAsia="en-AU"/>
        </w:rPr>
        <w:t>8.1% of adults placed a bet, compared with 7.1% in 2015 </w:t>
      </w:r>
    </w:p>
    <w:p w:rsidR="00581655" w:rsidRPr="00320C2A" w:rsidRDefault="00581655" w:rsidP="00581655">
      <w:pPr>
        <w:numPr>
          <w:ilvl w:val="0"/>
          <w:numId w:val="3"/>
        </w:numPr>
        <w:spacing w:before="100" w:beforeAutospacing="1" w:after="60"/>
        <w:ind w:left="495"/>
        <w:rPr>
          <w:rFonts w:ascii="Trebuchet MS" w:eastAsia="Times New Roman" w:hAnsi="Trebuchet MS" w:cs="Times New Roman"/>
          <w:color w:val="45494B"/>
          <w:lang w:eastAsia="en-AU"/>
        </w:rPr>
      </w:pPr>
      <w:r w:rsidRPr="00320C2A">
        <w:rPr>
          <w:rFonts w:ascii="Trebuchet MS" w:eastAsia="Times New Roman" w:hAnsi="Trebuchet MS" w:cs="Times New Roman"/>
          <w:color w:val="45494B"/>
          <w:lang w:eastAsia="en-AU"/>
        </w:rPr>
        <w:t>14% of adult men placed a bet, compared with 12% in 2015</w:t>
      </w:r>
    </w:p>
    <w:p w:rsidR="00581655" w:rsidRPr="00320C2A" w:rsidRDefault="00581655" w:rsidP="00581655">
      <w:pPr>
        <w:numPr>
          <w:ilvl w:val="0"/>
          <w:numId w:val="3"/>
        </w:numPr>
        <w:spacing w:before="100" w:beforeAutospacing="1" w:after="60"/>
        <w:ind w:left="495"/>
        <w:rPr>
          <w:rFonts w:ascii="Trebuchet MS" w:eastAsia="Times New Roman" w:hAnsi="Trebuchet MS" w:cs="Times New Roman"/>
          <w:color w:val="45494B"/>
          <w:lang w:eastAsia="en-AU"/>
        </w:rPr>
      </w:pPr>
      <w:r w:rsidRPr="00320C2A">
        <w:rPr>
          <w:rFonts w:ascii="Trebuchet MS" w:eastAsia="Times New Roman" w:hAnsi="Trebuchet MS" w:cs="Times New Roman"/>
          <w:color w:val="45494B"/>
          <w:lang w:eastAsia="en-AU"/>
        </w:rPr>
        <w:t>2.7% of adult women placed a bet, compared with 2.6% in 2015.</w:t>
      </w:r>
    </w:p>
    <w:p w:rsidR="00581655" w:rsidRPr="00320C2A" w:rsidRDefault="00581655" w:rsidP="00581655">
      <w:pPr>
        <w:spacing w:before="100" w:beforeAutospacing="1" w:after="240"/>
        <w:rPr>
          <w:rFonts w:ascii="Trebuchet MS" w:eastAsia="Times New Roman" w:hAnsi="Trebuchet MS" w:cs="Times New Roman"/>
          <w:color w:val="45494B"/>
          <w:lang w:eastAsia="en-AU"/>
        </w:rPr>
      </w:pPr>
      <w:r w:rsidRPr="00320C2A">
        <w:rPr>
          <w:rFonts w:ascii="Trebuchet MS" w:eastAsia="Times New Roman" w:hAnsi="Trebuchet MS" w:cs="Times New Roman"/>
          <w:color w:val="45494B"/>
          <w:lang w:eastAsia="en-AU"/>
        </w:rPr>
        <w:t>They also found that betting is most common among young men aged 18–34. Between 2015 and 2022, the proportion of men who placed a bet in a regular month:</w:t>
      </w:r>
    </w:p>
    <w:p w:rsidR="00581655" w:rsidRPr="00320C2A" w:rsidRDefault="00581655" w:rsidP="00581655">
      <w:pPr>
        <w:numPr>
          <w:ilvl w:val="0"/>
          <w:numId w:val="4"/>
        </w:numPr>
        <w:spacing w:before="100" w:beforeAutospacing="1" w:after="60"/>
        <w:ind w:left="495"/>
        <w:rPr>
          <w:rFonts w:ascii="Trebuchet MS" w:eastAsia="Times New Roman" w:hAnsi="Trebuchet MS" w:cs="Times New Roman"/>
          <w:color w:val="45494B"/>
          <w:lang w:eastAsia="en-AU"/>
        </w:rPr>
      </w:pPr>
      <w:proofErr w:type="gramStart"/>
      <w:r w:rsidRPr="00320C2A">
        <w:rPr>
          <w:rFonts w:ascii="Trebuchet MS" w:eastAsia="Times New Roman" w:hAnsi="Trebuchet MS" w:cs="Times New Roman"/>
          <w:color w:val="45494B"/>
          <w:lang w:eastAsia="en-AU"/>
        </w:rPr>
        <w:t>increased</w:t>
      </w:r>
      <w:proofErr w:type="gramEnd"/>
      <w:r w:rsidRPr="00320C2A">
        <w:rPr>
          <w:rFonts w:ascii="Trebuchet MS" w:eastAsia="Times New Roman" w:hAnsi="Trebuchet MS" w:cs="Times New Roman"/>
          <w:color w:val="45494B"/>
          <w:lang w:eastAsia="en-AU"/>
        </w:rPr>
        <w:t xml:space="preserve"> for those aged 18–24 (from 10% in 2015 to 17% in 2022).</w:t>
      </w:r>
    </w:p>
    <w:p w:rsidR="00581655" w:rsidRPr="00320C2A" w:rsidRDefault="00581655" w:rsidP="00581655">
      <w:pPr>
        <w:numPr>
          <w:ilvl w:val="0"/>
          <w:numId w:val="4"/>
        </w:numPr>
        <w:spacing w:before="100" w:beforeAutospacing="1" w:after="60"/>
        <w:ind w:left="495"/>
        <w:rPr>
          <w:rFonts w:ascii="Trebuchet MS" w:eastAsia="Times New Roman" w:hAnsi="Trebuchet MS" w:cs="Times New Roman"/>
          <w:color w:val="45494B"/>
          <w:lang w:eastAsia="en-AU"/>
        </w:rPr>
      </w:pPr>
      <w:proofErr w:type="gramStart"/>
      <w:r w:rsidRPr="00320C2A">
        <w:rPr>
          <w:rFonts w:ascii="Trebuchet MS" w:eastAsia="Times New Roman" w:hAnsi="Trebuchet MS" w:cs="Times New Roman"/>
          <w:color w:val="45494B"/>
          <w:lang w:eastAsia="en-AU"/>
        </w:rPr>
        <w:t>increased</w:t>
      </w:r>
      <w:proofErr w:type="gramEnd"/>
      <w:r w:rsidRPr="00320C2A">
        <w:rPr>
          <w:rFonts w:ascii="Trebuchet MS" w:eastAsia="Times New Roman" w:hAnsi="Trebuchet MS" w:cs="Times New Roman"/>
          <w:color w:val="45494B"/>
          <w:lang w:eastAsia="en-AU"/>
        </w:rPr>
        <w:t xml:space="preserve"> for those aged 25–34 (from 11% to 17%).</w:t>
      </w:r>
    </w:p>
    <w:p w:rsidR="00581655" w:rsidRPr="00320C2A" w:rsidRDefault="00581655" w:rsidP="00581655">
      <w:pPr>
        <w:numPr>
          <w:ilvl w:val="0"/>
          <w:numId w:val="4"/>
        </w:numPr>
        <w:spacing w:before="100" w:beforeAutospacing="1"/>
        <w:ind w:left="495"/>
        <w:rPr>
          <w:rFonts w:ascii="Trebuchet MS" w:eastAsia="Times New Roman" w:hAnsi="Trebuchet MS" w:cs="Times New Roman"/>
          <w:color w:val="45494B"/>
          <w:lang w:eastAsia="en-AU"/>
        </w:rPr>
      </w:pPr>
      <w:proofErr w:type="gramStart"/>
      <w:r w:rsidRPr="00320C2A">
        <w:rPr>
          <w:rFonts w:ascii="Trebuchet MS" w:eastAsia="Times New Roman" w:hAnsi="Trebuchet MS" w:cs="Times New Roman"/>
          <w:color w:val="45494B"/>
          <w:lang w:eastAsia="en-AU"/>
        </w:rPr>
        <w:t>decreased</w:t>
      </w:r>
      <w:proofErr w:type="gramEnd"/>
      <w:r w:rsidRPr="00320C2A">
        <w:rPr>
          <w:rFonts w:ascii="Trebuchet MS" w:eastAsia="Times New Roman" w:hAnsi="Trebuchet MS" w:cs="Times New Roman"/>
          <w:color w:val="45494B"/>
          <w:lang w:eastAsia="en-AU"/>
        </w:rPr>
        <w:t xml:space="preserve"> for those aged 45–54 (from 15% to 12%) (</w:t>
      </w:r>
      <w:proofErr w:type="spellStart"/>
      <w:r w:rsidRPr="00320C2A">
        <w:rPr>
          <w:rFonts w:ascii="Trebuchet MS" w:eastAsia="Times New Roman" w:hAnsi="Trebuchet MS" w:cs="Times New Roman"/>
          <w:color w:val="45494B"/>
          <w:lang w:eastAsia="en-AU"/>
        </w:rPr>
        <w:t>Sathanapally</w:t>
      </w:r>
      <w:proofErr w:type="spellEnd"/>
      <w:r w:rsidRPr="00320C2A">
        <w:rPr>
          <w:rFonts w:ascii="Trebuchet MS" w:eastAsia="Times New Roman" w:hAnsi="Trebuchet MS" w:cs="Times New Roman"/>
          <w:color w:val="45494B"/>
          <w:lang w:eastAsia="en-AU"/>
        </w:rPr>
        <w:t xml:space="preserve"> et al. 2024; Figure 1).</w:t>
      </w:r>
    </w:p>
    <w:p w:rsidR="00581655" w:rsidRPr="00581655" w:rsidRDefault="00581655" w:rsidP="00581655">
      <w:pPr>
        <w:spacing w:beforeAutospacing="1" w:after="100" w:afterAutospacing="1"/>
        <w:outlineLvl w:val="1"/>
        <w:rPr>
          <w:rFonts w:ascii="Trebuchet MS" w:eastAsia="Times New Roman" w:hAnsi="Trebuchet MS" w:cs="Times New Roman"/>
          <w:b/>
          <w:bCs/>
          <w:color w:val="45494B"/>
          <w:sz w:val="36"/>
          <w:szCs w:val="36"/>
          <w:lang w:eastAsia="en-AU"/>
        </w:rPr>
      </w:pPr>
      <w:r w:rsidRPr="00581655">
        <w:rPr>
          <w:rFonts w:ascii="Trebuchet MS" w:eastAsia="Times New Roman" w:hAnsi="Trebuchet MS" w:cs="Times New Roman"/>
          <w:b/>
          <w:bCs/>
          <w:color w:val="45494B"/>
          <w:sz w:val="36"/>
          <w:szCs w:val="36"/>
          <w:lang w:eastAsia="en-AU"/>
        </w:rPr>
        <w:t>Gambling at risky levels and impacts of gambling harm</w:t>
      </w:r>
    </w:p>
    <w:p w:rsidR="00581655" w:rsidRPr="00581655" w:rsidRDefault="00581655" w:rsidP="00581655">
      <w:pPr>
        <w:spacing w:after="240"/>
        <w:rPr>
          <w:rFonts w:ascii="Trebuchet MS" w:eastAsia="Times New Roman" w:hAnsi="Trebuchet MS" w:cs="Times New Roman"/>
          <w:color w:val="45494B"/>
          <w:lang w:eastAsia="en-AU"/>
        </w:rPr>
      </w:pPr>
      <w:r w:rsidRPr="00581655">
        <w:rPr>
          <w:rFonts w:ascii="Trebuchet MS" w:eastAsia="Times New Roman" w:hAnsi="Trebuchet MS" w:cs="Times New Roman"/>
          <w:color w:val="45494B"/>
          <w:lang w:eastAsia="en-AU"/>
        </w:rPr>
        <w:t>Gambling can harm people’s financial security, health, and broader wellbeing. In some cases, the consequences can be catastrophic, including job loss, bankruptcy, fraud, relationship breakdown, family violence, and suicide. Family members, friends, and colleagues may also suffer financial and mental stress and relationship conflict because of someone else’s gambling.</w:t>
      </w:r>
    </w:p>
    <w:p w:rsidR="00581655" w:rsidRPr="00581655" w:rsidRDefault="00581655" w:rsidP="002837DB">
      <w:pPr>
        <w:spacing w:before="480"/>
        <w:outlineLvl w:val="2"/>
        <w:rPr>
          <w:rFonts w:ascii="Trebuchet MS" w:eastAsia="Times New Roman" w:hAnsi="Trebuchet MS" w:cs="Times New Roman"/>
          <w:color w:val="45494B"/>
          <w:lang w:eastAsia="en-AU"/>
        </w:rPr>
      </w:pPr>
      <w:r w:rsidRPr="00581655">
        <w:rPr>
          <w:rFonts w:ascii="Trebuchet MS" w:eastAsia="Times New Roman" w:hAnsi="Trebuchet MS" w:cs="Times New Roman"/>
          <w:b/>
          <w:bCs/>
          <w:color w:val="45494B"/>
          <w:sz w:val="28"/>
          <w:szCs w:val="28"/>
          <w:lang w:eastAsia="en-AU"/>
        </w:rPr>
        <w:lastRenderedPageBreak/>
        <w:t xml:space="preserve">Gambling at risky </w:t>
      </w:r>
      <w:proofErr w:type="gramStart"/>
      <w:r w:rsidRPr="00581655">
        <w:rPr>
          <w:rFonts w:ascii="Trebuchet MS" w:eastAsia="Times New Roman" w:hAnsi="Trebuchet MS" w:cs="Times New Roman"/>
          <w:b/>
          <w:bCs/>
          <w:color w:val="45494B"/>
          <w:sz w:val="28"/>
          <w:szCs w:val="28"/>
          <w:lang w:eastAsia="en-AU"/>
        </w:rPr>
        <w:t>levels</w:t>
      </w:r>
      <w:r w:rsidR="002837DB">
        <w:rPr>
          <w:rFonts w:ascii="Trebuchet MS" w:eastAsia="Times New Roman" w:hAnsi="Trebuchet MS" w:cs="Times New Roman"/>
          <w:b/>
          <w:bCs/>
          <w:color w:val="45494B"/>
          <w:sz w:val="28"/>
          <w:szCs w:val="28"/>
          <w:lang w:eastAsia="en-AU"/>
        </w:rPr>
        <w:t xml:space="preserve">  -</w:t>
      </w:r>
      <w:proofErr w:type="gramEnd"/>
      <w:r w:rsidR="002837DB">
        <w:rPr>
          <w:rFonts w:ascii="Trebuchet MS" w:eastAsia="Times New Roman" w:hAnsi="Trebuchet MS" w:cs="Times New Roman"/>
          <w:b/>
          <w:bCs/>
          <w:color w:val="45494B"/>
          <w:sz w:val="28"/>
          <w:szCs w:val="28"/>
          <w:lang w:eastAsia="en-AU"/>
        </w:rPr>
        <w:t xml:space="preserve">  </w:t>
      </w:r>
      <w:r w:rsidRPr="00581655">
        <w:rPr>
          <w:rFonts w:ascii="Trebuchet MS" w:eastAsia="Times New Roman" w:hAnsi="Trebuchet MS" w:cs="Times New Roman"/>
          <w:color w:val="45494B"/>
          <w:lang w:eastAsia="en-AU"/>
        </w:rPr>
        <w:t>Measuring problem gambling</w:t>
      </w:r>
    </w:p>
    <w:p w:rsidR="00581655" w:rsidRPr="00581655" w:rsidRDefault="00581655" w:rsidP="00581655">
      <w:pPr>
        <w:spacing w:after="240"/>
        <w:rPr>
          <w:rFonts w:ascii="Trebuchet MS" w:eastAsia="Times New Roman" w:hAnsi="Trebuchet MS" w:cs="Times New Roman"/>
          <w:color w:val="45494B"/>
          <w:lang w:eastAsia="en-AU"/>
        </w:rPr>
      </w:pPr>
      <w:r w:rsidRPr="00581655">
        <w:rPr>
          <w:rFonts w:ascii="Trebuchet MS" w:eastAsia="Times New Roman" w:hAnsi="Trebuchet MS" w:cs="Times New Roman"/>
          <w:color w:val="45494B"/>
          <w:lang w:eastAsia="en-AU"/>
        </w:rPr>
        <w:t>The 2024 HILDA report estimated that the prevalence of risky gambling varies by level of severity and is much higher among men than women. Between 2018 and 2022, there was an increase in the proportion of Australians reporting any gambling problem. Looking at the prevalence for the 3 gambling severity types:</w:t>
      </w:r>
    </w:p>
    <w:p w:rsidR="00581655" w:rsidRPr="00581655" w:rsidRDefault="00581655" w:rsidP="00581655">
      <w:pPr>
        <w:numPr>
          <w:ilvl w:val="0"/>
          <w:numId w:val="5"/>
        </w:numPr>
        <w:spacing w:before="100" w:beforeAutospacing="1" w:after="60"/>
        <w:ind w:left="495"/>
        <w:rPr>
          <w:rFonts w:ascii="Trebuchet MS" w:eastAsia="Times New Roman" w:hAnsi="Trebuchet MS" w:cs="Times New Roman"/>
          <w:color w:val="45494B"/>
          <w:lang w:eastAsia="en-AU"/>
        </w:rPr>
      </w:pPr>
      <w:r w:rsidRPr="00581655">
        <w:rPr>
          <w:rFonts w:ascii="Trebuchet MS" w:eastAsia="Times New Roman" w:hAnsi="Trebuchet MS" w:cs="Times New Roman"/>
          <w:color w:val="45494B"/>
          <w:lang w:eastAsia="en-AU"/>
        </w:rPr>
        <w:t>low-risk gambling was 3.7% in 2018, compared with 4.9% in 2022</w:t>
      </w:r>
    </w:p>
    <w:p w:rsidR="00581655" w:rsidRPr="00581655" w:rsidRDefault="00581655" w:rsidP="00581655">
      <w:pPr>
        <w:numPr>
          <w:ilvl w:val="0"/>
          <w:numId w:val="5"/>
        </w:numPr>
        <w:spacing w:before="100" w:beforeAutospacing="1" w:after="60"/>
        <w:ind w:left="495"/>
        <w:rPr>
          <w:rFonts w:ascii="Trebuchet MS" w:eastAsia="Times New Roman" w:hAnsi="Trebuchet MS" w:cs="Times New Roman"/>
          <w:color w:val="45494B"/>
          <w:lang w:eastAsia="en-AU"/>
        </w:rPr>
      </w:pPr>
      <w:r w:rsidRPr="00581655">
        <w:rPr>
          <w:rFonts w:ascii="Trebuchet MS" w:eastAsia="Times New Roman" w:hAnsi="Trebuchet MS" w:cs="Times New Roman"/>
          <w:color w:val="45494B"/>
          <w:lang w:eastAsia="en-AU"/>
        </w:rPr>
        <w:t>moderate-risk gambling was 2.5% in 2018 and 3.1% in 2022</w:t>
      </w:r>
    </w:p>
    <w:p w:rsidR="00581655" w:rsidRPr="00581655" w:rsidRDefault="00581655" w:rsidP="00581655">
      <w:pPr>
        <w:numPr>
          <w:ilvl w:val="0"/>
          <w:numId w:val="5"/>
        </w:numPr>
        <w:spacing w:before="100" w:beforeAutospacing="1" w:after="60"/>
        <w:ind w:left="495"/>
        <w:rPr>
          <w:rFonts w:ascii="Trebuchet MS" w:eastAsia="Times New Roman" w:hAnsi="Trebuchet MS" w:cs="Times New Roman"/>
          <w:color w:val="45494B"/>
          <w:lang w:eastAsia="en-AU"/>
        </w:rPr>
      </w:pPr>
      <w:proofErr w:type="gramStart"/>
      <w:r w:rsidRPr="00581655">
        <w:rPr>
          <w:rFonts w:ascii="Trebuchet MS" w:eastAsia="Times New Roman" w:hAnsi="Trebuchet MS" w:cs="Times New Roman"/>
          <w:color w:val="45494B"/>
          <w:lang w:eastAsia="en-AU"/>
        </w:rPr>
        <w:t>high-risk</w:t>
      </w:r>
      <w:proofErr w:type="gramEnd"/>
      <w:r w:rsidRPr="00581655">
        <w:rPr>
          <w:rFonts w:ascii="Trebuchet MS" w:eastAsia="Times New Roman" w:hAnsi="Trebuchet MS" w:cs="Times New Roman"/>
          <w:color w:val="45494B"/>
          <w:lang w:eastAsia="en-AU"/>
        </w:rPr>
        <w:t xml:space="preserve"> gambling was 1.1% in 2018 and 1.8% in 2022 (Wilkins et al. 2024).</w:t>
      </w:r>
    </w:p>
    <w:p w:rsidR="00581655" w:rsidRPr="00581655" w:rsidRDefault="00581655" w:rsidP="00581655">
      <w:pPr>
        <w:spacing w:before="100" w:beforeAutospacing="1" w:after="240"/>
        <w:rPr>
          <w:rFonts w:ascii="Trebuchet MS" w:eastAsia="Times New Roman" w:hAnsi="Trebuchet MS" w:cs="Times New Roman"/>
          <w:color w:val="45494B"/>
          <w:lang w:eastAsia="en-AU"/>
        </w:rPr>
      </w:pPr>
      <w:r w:rsidRPr="00581655">
        <w:rPr>
          <w:rFonts w:ascii="Trebuchet MS" w:eastAsia="Times New Roman" w:hAnsi="Trebuchet MS" w:cs="Times New Roman"/>
          <w:color w:val="45494B"/>
          <w:lang w:eastAsia="en-AU"/>
        </w:rPr>
        <w:t>In 2022:</w:t>
      </w:r>
    </w:p>
    <w:p w:rsidR="00581655" w:rsidRPr="00581655" w:rsidRDefault="00581655" w:rsidP="00581655">
      <w:pPr>
        <w:numPr>
          <w:ilvl w:val="0"/>
          <w:numId w:val="6"/>
        </w:numPr>
        <w:spacing w:before="100" w:beforeAutospacing="1" w:after="60"/>
        <w:ind w:left="495"/>
        <w:rPr>
          <w:rFonts w:ascii="Trebuchet MS" w:eastAsia="Times New Roman" w:hAnsi="Trebuchet MS" w:cs="Times New Roman"/>
          <w:color w:val="45494B"/>
          <w:lang w:eastAsia="en-AU"/>
        </w:rPr>
      </w:pPr>
      <w:r w:rsidRPr="00581655">
        <w:rPr>
          <w:rFonts w:ascii="Trebuchet MS" w:eastAsia="Times New Roman" w:hAnsi="Trebuchet MS" w:cs="Times New Roman"/>
          <w:color w:val="45494B"/>
          <w:lang w:eastAsia="en-AU"/>
        </w:rPr>
        <w:t>3.3% of women reported low-risk gambling compared with 6.7% of men</w:t>
      </w:r>
    </w:p>
    <w:p w:rsidR="00581655" w:rsidRPr="00581655" w:rsidRDefault="00581655" w:rsidP="00581655">
      <w:pPr>
        <w:numPr>
          <w:ilvl w:val="0"/>
          <w:numId w:val="6"/>
        </w:numPr>
        <w:spacing w:before="100" w:beforeAutospacing="1" w:after="60"/>
        <w:ind w:left="495"/>
        <w:rPr>
          <w:rFonts w:ascii="Trebuchet MS" w:eastAsia="Times New Roman" w:hAnsi="Trebuchet MS" w:cs="Times New Roman"/>
          <w:color w:val="45494B"/>
          <w:lang w:eastAsia="en-AU"/>
        </w:rPr>
      </w:pPr>
      <w:r w:rsidRPr="00581655">
        <w:rPr>
          <w:rFonts w:ascii="Trebuchet MS" w:eastAsia="Times New Roman" w:hAnsi="Trebuchet MS" w:cs="Times New Roman"/>
          <w:color w:val="45494B"/>
          <w:lang w:eastAsia="en-AU"/>
        </w:rPr>
        <w:t>1.2% (157,000) of women reported high-risk gambling compared with 2.4% (310,000) of men.</w:t>
      </w:r>
    </w:p>
    <w:p w:rsidR="00581655" w:rsidRPr="00581655" w:rsidRDefault="00581655" w:rsidP="00581655">
      <w:pPr>
        <w:numPr>
          <w:ilvl w:val="1"/>
          <w:numId w:val="6"/>
        </w:numPr>
        <w:spacing w:before="100" w:beforeAutospacing="1" w:after="60"/>
        <w:ind w:left="1215"/>
        <w:rPr>
          <w:rFonts w:ascii="Trebuchet MS" w:eastAsia="Times New Roman" w:hAnsi="Trebuchet MS" w:cs="Times New Roman"/>
          <w:color w:val="45494B"/>
          <w:lang w:eastAsia="en-AU"/>
        </w:rPr>
      </w:pPr>
      <w:r w:rsidRPr="00581655">
        <w:rPr>
          <w:rFonts w:ascii="Trebuchet MS" w:eastAsia="Times New Roman" w:hAnsi="Trebuchet MS" w:cs="Times New Roman"/>
          <w:color w:val="45494B"/>
          <w:lang w:eastAsia="en-AU"/>
        </w:rPr>
        <w:t>This was an increase from 0.6% and 1.6% in 2018, respectively (Wilkins et al. 2024).</w:t>
      </w:r>
    </w:p>
    <w:p w:rsidR="00581655" w:rsidRPr="00581655" w:rsidRDefault="00581655" w:rsidP="002837DB">
      <w:pPr>
        <w:spacing w:before="100" w:beforeAutospacing="1" w:after="240"/>
        <w:rPr>
          <w:rFonts w:ascii="Times New Roman" w:eastAsia="Times New Roman" w:hAnsi="Times New Roman" w:cs="Times New Roman"/>
          <w:lang w:eastAsia="en-AU"/>
        </w:rPr>
      </w:pPr>
      <w:r w:rsidRPr="00581655">
        <w:rPr>
          <w:rFonts w:ascii="Trebuchet MS" w:eastAsia="Times New Roman" w:hAnsi="Trebuchet MS" w:cs="Times New Roman"/>
          <w:color w:val="45494B"/>
          <w:lang w:eastAsia="en-AU"/>
        </w:rPr>
        <w:t>Some factors increase the probability of a person being a low, moderate or high-risk gambler. For example, regression analysis of the HILDA survey shows that individuals with at least a bachelor’s degree, or children under 15 years of age were less likely to experience gambling-related risks than those without. Financial risk takers were more likely than non-financial risk takers to experience</w:t>
      </w:r>
      <w:r w:rsidRPr="00D849D4">
        <w:rPr>
          <w:rFonts w:ascii="Trebuchet MS" w:eastAsia="Times New Roman" w:hAnsi="Trebuchet MS" w:cs="Times New Roman"/>
          <w:color w:val="45494B"/>
          <w:lang w:eastAsia="en-AU"/>
        </w:rPr>
        <w:t> gambling related harm</w:t>
      </w:r>
      <w:r w:rsidRPr="00581655">
        <w:rPr>
          <w:rFonts w:ascii="Trebuchet MS" w:eastAsia="Times New Roman" w:hAnsi="Trebuchet MS" w:cs="Times New Roman"/>
          <w:color w:val="45494B"/>
          <w:lang w:eastAsia="en-AU"/>
        </w:rPr>
        <w:t>, as were smokers compared with non-smokers, and people who were in poor general health compared with those not in poor general health (Wilkins et al. 2024).</w:t>
      </w:r>
    </w:p>
    <w:p w:rsidR="00581655" w:rsidRPr="00581655" w:rsidRDefault="00581655" w:rsidP="002837DB">
      <w:pPr>
        <w:spacing w:before="480"/>
        <w:outlineLvl w:val="3"/>
        <w:rPr>
          <w:rFonts w:ascii="Trebuchet MS" w:eastAsia="Times New Roman" w:hAnsi="Trebuchet MS" w:cs="Times New Roman"/>
          <w:b/>
          <w:bCs/>
          <w:color w:val="45494B"/>
          <w:sz w:val="28"/>
          <w:szCs w:val="28"/>
          <w:lang w:eastAsia="en-AU"/>
        </w:rPr>
      </w:pPr>
      <w:r w:rsidRPr="00581655">
        <w:rPr>
          <w:rFonts w:ascii="Trebuchet MS" w:eastAsia="Times New Roman" w:hAnsi="Trebuchet MS" w:cs="Times New Roman"/>
          <w:b/>
          <w:bCs/>
          <w:color w:val="45494B"/>
          <w:sz w:val="28"/>
          <w:szCs w:val="28"/>
          <w:lang w:eastAsia="en-AU"/>
        </w:rPr>
        <w:t>Risky gambling, health and wellbeing</w:t>
      </w:r>
    </w:p>
    <w:p w:rsidR="00581655" w:rsidRPr="00581655" w:rsidRDefault="00581655" w:rsidP="002837DB">
      <w:pPr>
        <w:spacing w:before="120" w:after="240"/>
        <w:rPr>
          <w:rFonts w:ascii="Trebuchet MS" w:eastAsia="Times New Roman" w:hAnsi="Trebuchet MS" w:cs="Times New Roman"/>
          <w:color w:val="45494B"/>
          <w:lang w:eastAsia="en-AU"/>
        </w:rPr>
      </w:pPr>
      <w:r w:rsidRPr="00581655">
        <w:rPr>
          <w:rFonts w:ascii="Trebuchet MS" w:eastAsia="Times New Roman" w:hAnsi="Trebuchet MS" w:cs="Times New Roman"/>
          <w:color w:val="45494B"/>
          <w:lang w:eastAsia="en-AU"/>
        </w:rPr>
        <w:t>Being an at-risk gambler is associated with lower overall life satisfaction, decreased mental health, high alcohol consumption and financial stress.</w:t>
      </w:r>
    </w:p>
    <w:p w:rsidR="00581655" w:rsidRPr="00581655" w:rsidRDefault="00581655" w:rsidP="00581655">
      <w:pPr>
        <w:spacing w:after="240"/>
        <w:rPr>
          <w:rFonts w:ascii="Trebuchet MS" w:eastAsia="Times New Roman" w:hAnsi="Trebuchet MS" w:cs="Times New Roman"/>
          <w:color w:val="45494B"/>
          <w:lang w:eastAsia="en-AU"/>
        </w:rPr>
      </w:pPr>
      <w:r w:rsidRPr="00581655">
        <w:rPr>
          <w:rFonts w:ascii="Trebuchet MS" w:eastAsia="Times New Roman" w:hAnsi="Trebuchet MS" w:cs="Times New Roman"/>
          <w:color w:val="45494B"/>
          <w:lang w:eastAsia="en-AU"/>
        </w:rPr>
        <w:t>Women who are risky gamblers are more likely (than women who are non-gamblers or non-problem gamblers) to experience lower life satisfaction and more likely to be heavy drinkers. Men who are risky gamblers are more likely to experience mental health issues and more likely to experience financial stress (Wilkins et al. 2024).</w:t>
      </w:r>
    </w:p>
    <w:p w:rsidR="00581655" w:rsidRPr="00581655" w:rsidRDefault="00581655" w:rsidP="002837DB">
      <w:pPr>
        <w:spacing w:before="480" w:after="120"/>
        <w:outlineLvl w:val="2"/>
        <w:rPr>
          <w:rFonts w:ascii="Trebuchet MS" w:eastAsia="Times New Roman" w:hAnsi="Trebuchet MS" w:cs="Times New Roman"/>
          <w:b/>
          <w:bCs/>
          <w:color w:val="45494B"/>
          <w:sz w:val="27"/>
          <w:szCs w:val="27"/>
          <w:lang w:eastAsia="en-AU"/>
        </w:rPr>
      </w:pPr>
      <w:r w:rsidRPr="00581655">
        <w:rPr>
          <w:rFonts w:ascii="Trebuchet MS" w:eastAsia="Times New Roman" w:hAnsi="Trebuchet MS" w:cs="Times New Roman"/>
          <w:b/>
          <w:bCs/>
          <w:color w:val="45494B"/>
          <w:sz w:val="27"/>
          <w:szCs w:val="27"/>
          <w:lang w:eastAsia="en-AU"/>
        </w:rPr>
        <w:t>Gambling harms and its impact on others</w:t>
      </w:r>
    </w:p>
    <w:p w:rsidR="00581655" w:rsidRPr="00581655" w:rsidRDefault="00581655" w:rsidP="00581655">
      <w:pPr>
        <w:rPr>
          <w:rFonts w:ascii="Trebuchet MS" w:eastAsia="Times New Roman" w:hAnsi="Trebuchet MS" w:cs="Times New Roman"/>
          <w:color w:val="45494B"/>
          <w:lang w:eastAsia="en-AU"/>
        </w:rPr>
      </w:pPr>
      <w:r w:rsidRPr="00581655">
        <w:rPr>
          <w:rFonts w:ascii="Trebuchet MS" w:eastAsia="Times New Roman" w:hAnsi="Trebuchet MS" w:cs="Times New Roman"/>
          <w:color w:val="45494B"/>
          <w:lang w:eastAsia="en-AU"/>
        </w:rPr>
        <w:t>The National Telephone Survey of the </w:t>
      </w:r>
      <w:hyperlink r:id="rId7" w:tgtFrame="_blank" w:history="1">
        <w:r w:rsidRPr="00D849D4">
          <w:rPr>
            <w:rFonts w:ascii="Trebuchet MS" w:eastAsia="Times New Roman" w:hAnsi="Trebuchet MS" w:cs="Times New Roman"/>
            <w:color w:val="6C518A"/>
            <w:u w:val="single"/>
            <w:bdr w:val="none" w:sz="0" w:space="0" w:color="auto" w:frame="1"/>
            <w:lang w:eastAsia="en-AU"/>
          </w:rPr>
          <w:t>2019 Interactive Gambling Study- external site opens in new window</w:t>
        </w:r>
      </w:hyperlink>
      <w:r w:rsidRPr="00581655">
        <w:rPr>
          <w:rFonts w:ascii="Trebuchet MS" w:eastAsia="Times New Roman" w:hAnsi="Trebuchet MS" w:cs="Times New Roman"/>
          <w:color w:val="45494B"/>
          <w:lang w:eastAsia="en-AU"/>
        </w:rPr>
        <w:t> estimated that 6.0% of Australian adults reported being harmed by someone else’s gambling (Hing et al. 2021). Those most commonly affected were:</w:t>
      </w:r>
    </w:p>
    <w:p w:rsidR="00581655" w:rsidRPr="00581655" w:rsidRDefault="00581655" w:rsidP="00581655">
      <w:pPr>
        <w:numPr>
          <w:ilvl w:val="0"/>
          <w:numId w:val="7"/>
        </w:numPr>
        <w:spacing w:before="100" w:beforeAutospacing="1" w:after="60"/>
        <w:ind w:left="495"/>
        <w:rPr>
          <w:rFonts w:ascii="Trebuchet MS" w:eastAsia="Times New Roman" w:hAnsi="Trebuchet MS" w:cs="Times New Roman"/>
          <w:color w:val="45494B"/>
          <w:lang w:eastAsia="en-AU"/>
        </w:rPr>
      </w:pPr>
      <w:r w:rsidRPr="00581655">
        <w:rPr>
          <w:rFonts w:ascii="Trebuchet MS" w:eastAsia="Times New Roman" w:hAnsi="Trebuchet MS" w:cs="Times New Roman"/>
          <w:color w:val="45494B"/>
          <w:lang w:eastAsia="en-AU"/>
        </w:rPr>
        <w:t>family members (including spouses/partners, other relatives, siblings, former spouse/partners)</w:t>
      </w:r>
    </w:p>
    <w:p w:rsidR="00581655" w:rsidRPr="00581655" w:rsidRDefault="00581655" w:rsidP="00581655">
      <w:pPr>
        <w:numPr>
          <w:ilvl w:val="0"/>
          <w:numId w:val="7"/>
        </w:numPr>
        <w:spacing w:before="100" w:beforeAutospacing="1" w:after="60"/>
        <w:ind w:left="495"/>
        <w:rPr>
          <w:rFonts w:ascii="Trebuchet MS" w:eastAsia="Times New Roman" w:hAnsi="Trebuchet MS" w:cs="Times New Roman"/>
          <w:color w:val="45494B"/>
          <w:lang w:eastAsia="en-AU"/>
        </w:rPr>
      </w:pPr>
      <w:r w:rsidRPr="00581655">
        <w:rPr>
          <w:rFonts w:ascii="Trebuchet MS" w:eastAsia="Times New Roman" w:hAnsi="Trebuchet MS" w:cs="Times New Roman"/>
          <w:color w:val="45494B"/>
          <w:lang w:eastAsia="en-AU"/>
        </w:rPr>
        <w:t>friends</w:t>
      </w:r>
    </w:p>
    <w:p w:rsidR="00581655" w:rsidRPr="00581655" w:rsidRDefault="00581655" w:rsidP="00581655">
      <w:pPr>
        <w:numPr>
          <w:ilvl w:val="0"/>
          <w:numId w:val="7"/>
        </w:numPr>
        <w:spacing w:before="100" w:beforeAutospacing="1" w:after="60"/>
        <w:ind w:left="495"/>
        <w:rPr>
          <w:rFonts w:ascii="Trebuchet MS" w:eastAsia="Times New Roman" w:hAnsi="Trebuchet MS" w:cs="Times New Roman"/>
          <w:color w:val="45494B"/>
          <w:lang w:eastAsia="en-AU"/>
        </w:rPr>
      </w:pPr>
      <w:proofErr w:type="gramStart"/>
      <w:r w:rsidRPr="00581655">
        <w:rPr>
          <w:rFonts w:ascii="Trebuchet MS" w:eastAsia="Times New Roman" w:hAnsi="Trebuchet MS" w:cs="Times New Roman"/>
          <w:color w:val="45494B"/>
          <w:lang w:eastAsia="en-AU"/>
        </w:rPr>
        <w:t>work</w:t>
      </w:r>
      <w:proofErr w:type="gramEnd"/>
      <w:r w:rsidRPr="00581655">
        <w:rPr>
          <w:rFonts w:ascii="Trebuchet MS" w:eastAsia="Times New Roman" w:hAnsi="Trebuchet MS" w:cs="Times New Roman"/>
          <w:color w:val="45494B"/>
          <w:lang w:eastAsia="en-AU"/>
        </w:rPr>
        <w:t xml:space="preserve"> colleagues.</w:t>
      </w:r>
    </w:p>
    <w:p w:rsidR="00581655" w:rsidRPr="00581655" w:rsidRDefault="00581655" w:rsidP="00581655">
      <w:pPr>
        <w:spacing w:before="100" w:beforeAutospacing="1" w:after="240"/>
        <w:rPr>
          <w:rFonts w:ascii="Trebuchet MS" w:eastAsia="Times New Roman" w:hAnsi="Trebuchet MS" w:cs="Times New Roman"/>
          <w:color w:val="45494B"/>
          <w:lang w:eastAsia="en-AU"/>
        </w:rPr>
      </w:pPr>
      <w:r w:rsidRPr="00581655">
        <w:rPr>
          <w:rFonts w:ascii="Trebuchet MS" w:eastAsia="Times New Roman" w:hAnsi="Trebuchet MS" w:cs="Times New Roman"/>
          <w:color w:val="45494B"/>
          <w:lang w:eastAsia="en-AU"/>
        </w:rPr>
        <w:t>The most common harms experienced due to another person’s gambling were feeling angry, distressed or hopeless about their gambling, and experiencing greater tension and conflict in their relationships. Reduction of available spending money or savings, loss of sleep and less enjoyment from time spent with people they care about were also commonly reported (Hing et al. 2021).</w:t>
      </w:r>
    </w:p>
    <w:p w:rsidR="00581655" w:rsidRPr="00581655" w:rsidRDefault="00581655" w:rsidP="00581655">
      <w:pPr>
        <w:shd w:val="clear" w:color="auto" w:fill="ECF6F8"/>
        <w:spacing w:after="300"/>
        <w:outlineLvl w:val="2"/>
        <w:rPr>
          <w:rFonts w:ascii="Trebuchet MS" w:eastAsia="Times New Roman" w:hAnsi="Trebuchet MS" w:cs="Times New Roman"/>
          <w:b/>
          <w:bCs/>
          <w:color w:val="45494B"/>
          <w:sz w:val="27"/>
          <w:szCs w:val="27"/>
          <w:lang w:eastAsia="en-AU"/>
        </w:rPr>
      </w:pPr>
      <w:r w:rsidRPr="00581655">
        <w:rPr>
          <w:rFonts w:ascii="Trebuchet MS" w:eastAsia="Times New Roman" w:hAnsi="Trebuchet MS" w:cs="Times New Roman"/>
          <w:b/>
          <w:bCs/>
          <w:color w:val="45494B"/>
          <w:sz w:val="27"/>
          <w:szCs w:val="27"/>
          <w:lang w:eastAsia="en-AU"/>
        </w:rPr>
        <w:t>Gambling advertising and marketing</w:t>
      </w:r>
    </w:p>
    <w:p w:rsidR="00581655" w:rsidRPr="00581655" w:rsidRDefault="00581655" w:rsidP="00581655">
      <w:pPr>
        <w:shd w:val="clear" w:color="auto" w:fill="ECF6F8"/>
        <w:spacing w:after="240"/>
        <w:rPr>
          <w:rFonts w:ascii="Trebuchet MS" w:eastAsia="Times New Roman" w:hAnsi="Trebuchet MS" w:cs="Times New Roman"/>
          <w:color w:val="45494B"/>
          <w:lang w:eastAsia="en-AU"/>
        </w:rPr>
      </w:pPr>
      <w:r w:rsidRPr="00581655">
        <w:rPr>
          <w:rFonts w:ascii="Trebuchet MS" w:eastAsia="Times New Roman" w:hAnsi="Trebuchet MS" w:cs="Times New Roman"/>
          <w:color w:val="45494B"/>
          <w:lang w:eastAsia="en-AU"/>
        </w:rPr>
        <w:t>Gambling advertising and marketing is heavily promoted in Australia. In 2022, the Australian Gambling Research Centre panel survey found an increase in exposure to gambling marketing, including advertising (for example, television, social media), promotions (for example, multi-bets, bonus bets, cash back offers, bet with mates), and sponsorships (for example, promotion of sports, by celebrities or athletes) (AGRC 2023).</w:t>
      </w:r>
    </w:p>
    <w:p w:rsidR="00581655" w:rsidRPr="00581655" w:rsidRDefault="00581655" w:rsidP="00581655">
      <w:pPr>
        <w:shd w:val="clear" w:color="auto" w:fill="ECF6F8"/>
        <w:rPr>
          <w:rFonts w:ascii="Trebuchet MS" w:eastAsia="Times New Roman" w:hAnsi="Trebuchet MS" w:cs="Times New Roman"/>
          <w:color w:val="45494B"/>
          <w:lang w:eastAsia="en-AU"/>
        </w:rPr>
      </w:pPr>
      <w:r w:rsidRPr="00581655">
        <w:rPr>
          <w:rFonts w:ascii="Trebuchet MS" w:eastAsia="Times New Roman" w:hAnsi="Trebuchet MS" w:cs="Times New Roman"/>
          <w:color w:val="45494B"/>
          <w:lang w:eastAsia="en-AU"/>
        </w:rPr>
        <w:lastRenderedPageBreak/>
        <w:t>From May 2022 to April 2023, more than one million gambling ads aired on free-to-air TV and metropolitan radio. Half (50%) of these ads were from providers of online gambling services (</w:t>
      </w:r>
      <w:proofErr w:type="spellStart"/>
      <w:r w:rsidRPr="00581655">
        <w:rPr>
          <w:rFonts w:ascii="Trebuchet MS" w:eastAsia="Times New Roman" w:hAnsi="Trebuchet MS" w:cs="Times New Roman"/>
          <w:color w:val="45494B"/>
          <w:lang w:eastAsia="en-AU"/>
        </w:rPr>
        <w:t>ACMA</w:t>
      </w:r>
      <w:proofErr w:type="spellEnd"/>
      <w:r w:rsidRPr="00581655">
        <w:rPr>
          <w:rFonts w:ascii="Trebuchet MS" w:eastAsia="Times New Roman" w:hAnsi="Trebuchet MS" w:cs="Times New Roman"/>
          <w:color w:val="45494B"/>
          <w:lang w:eastAsia="en-AU"/>
        </w:rPr>
        <w:t xml:space="preserve"> 2023).</w:t>
      </w:r>
    </w:p>
    <w:p w:rsidR="00581655" w:rsidRPr="00581655" w:rsidRDefault="00581655" w:rsidP="00581655">
      <w:pPr>
        <w:spacing w:before="100" w:beforeAutospacing="1" w:afterAutospacing="1"/>
        <w:outlineLvl w:val="1"/>
        <w:rPr>
          <w:rFonts w:ascii="Trebuchet MS" w:eastAsia="Times New Roman" w:hAnsi="Trebuchet MS" w:cs="Times New Roman"/>
          <w:b/>
          <w:bCs/>
          <w:color w:val="45494B"/>
          <w:sz w:val="36"/>
          <w:szCs w:val="36"/>
          <w:lang w:eastAsia="en-AU"/>
        </w:rPr>
      </w:pPr>
      <w:r w:rsidRPr="00581655">
        <w:rPr>
          <w:rFonts w:ascii="Trebuchet MS" w:eastAsia="Times New Roman" w:hAnsi="Trebuchet MS" w:cs="Times New Roman"/>
          <w:b/>
          <w:bCs/>
          <w:color w:val="45494B"/>
          <w:sz w:val="36"/>
          <w:szCs w:val="36"/>
          <w:lang w:eastAsia="en-AU"/>
        </w:rPr>
        <w:t>Gambling expenditure</w:t>
      </w:r>
    </w:p>
    <w:p w:rsidR="00581655" w:rsidRPr="002837DB" w:rsidRDefault="00581655" w:rsidP="00581655">
      <w:pPr>
        <w:rPr>
          <w:rFonts w:ascii="Trebuchet MS" w:eastAsia="Times New Roman" w:hAnsi="Trebuchet MS" w:cs="Times New Roman"/>
          <w:color w:val="45494B"/>
          <w:lang w:eastAsia="en-AU"/>
        </w:rPr>
      </w:pPr>
      <w:r w:rsidRPr="002837DB">
        <w:rPr>
          <w:rFonts w:ascii="Trebuchet MS" w:eastAsia="Times New Roman" w:hAnsi="Trebuchet MS" w:cs="Times New Roman"/>
          <w:color w:val="45494B"/>
          <w:lang w:eastAsia="en-AU"/>
        </w:rPr>
        <w:t>Gambling expenditure data</w:t>
      </w:r>
    </w:p>
    <w:p w:rsidR="00581655" w:rsidRPr="002837DB" w:rsidRDefault="00581655" w:rsidP="00581655">
      <w:pPr>
        <w:spacing w:after="240"/>
        <w:rPr>
          <w:rFonts w:ascii="Times New Roman" w:eastAsia="Times New Roman" w:hAnsi="Times New Roman" w:cs="Times New Roman"/>
          <w:lang w:eastAsia="en-AU"/>
        </w:rPr>
      </w:pPr>
      <w:r w:rsidRPr="002837DB">
        <w:rPr>
          <w:rFonts w:ascii="Trebuchet MS" w:eastAsia="Times New Roman" w:hAnsi="Trebuchet MS" w:cs="Times New Roman"/>
          <w:color w:val="45494B"/>
          <w:lang w:eastAsia="en-AU"/>
        </w:rPr>
        <w:t>In 2022–23, total gambling expenditure (net losses) in Australia was $31.5 billion, the highest it has been in the last 2 decades. Per capita gambling losses in Australia were estimated at around $1,527, up from $1,461 (in real terms) in 2021–22 (QGSO 2024). Despite a fall at the start of the COVID-19</w:t>
      </w:r>
    </w:p>
    <w:p w:rsidR="00581655" w:rsidRPr="002837DB" w:rsidRDefault="00581655" w:rsidP="00581655">
      <w:pPr>
        <w:rPr>
          <w:rFonts w:ascii="Times New Roman" w:eastAsia="Times New Roman" w:hAnsi="Times New Roman" w:cs="Times New Roman"/>
          <w:lang w:eastAsia="en-AU"/>
        </w:rPr>
      </w:pPr>
      <w:r w:rsidRPr="002837DB">
        <w:rPr>
          <w:rFonts w:ascii="Trebuchet MS" w:eastAsia="Times New Roman" w:hAnsi="Trebuchet MS" w:cs="Times New Roman"/>
          <w:color w:val="45494B"/>
          <w:lang w:eastAsia="en-AU"/>
        </w:rPr>
        <w:t> </w:t>
      </w:r>
      <w:proofErr w:type="gramStart"/>
      <w:r w:rsidRPr="002837DB">
        <w:rPr>
          <w:rFonts w:ascii="Trebuchet MS" w:eastAsia="Times New Roman" w:hAnsi="Trebuchet MS" w:cs="Times New Roman"/>
          <w:color w:val="45494B"/>
          <w:lang w:eastAsia="en-AU"/>
        </w:rPr>
        <w:t>pandemic</w:t>
      </w:r>
      <w:proofErr w:type="gramEnd"/>
      <w:r w:rsidRPr="002837DB">
        <w:rPr>
          <w:rFonts w:ascii="Trebuchet MS" w:eastAsia="Times New Roman" w:hAnsi="Trebuchet MS" w:cs="Times New Roman"/>
          <w:color w:val="45494B"/>
          <w:lang w:eastAsia="en-AU"/>
        </w:rPr>
        <w:t>, total gambling expenditure has generally continued to increase over time.</w:t>
      </w:r>
    </w:p>
    <w:p w:rsidR="00581655" w:rsidRPr="002837DB" w:rsidRDefault="00581655" w:rsidP="00581655">
      <w:pPr>
        <w:numPr>
          <w:ilvl w:val="0"/>
          <w:numId w:val="8"/>
        </w:numPr>
        <w:spacing w:before="100" w:beforeAutospacing="1" w:after="60"/>
        <w:ind w:left="495"/>
        <w:rPr>
          <w:rFonts w:ascii="Trebuchet MS" w:eastAsia="Times New Roman" w:hAnsi="Trebuchet MS" w:cs="Times New Roman"/>
          <w:color w:val="45494B"/>
          <w:lang w:eastAsia="en-AU"/>
        </w:rPr>
      </w:pPr>
      <w:r w:rsidRPr="002837DB">
        <w:rPr>
          <w:rFonts w:ascii="Trebuchet MS" w:eastAsia="Times New Roman" w:hAnsi="Trebuchet MS" w:cs="Times New Roman"/>
          <w:color w:val="45494B"/>
          <w:lang w:eastAsia="en-AU"/>
        </w:rPr>
        <w:t>At the start of the COVID-19 pandemic, total gambling expenditure in real terms fell from $29.5 billion in 2018–19 to $24.1 billion in 2019–20 before increasing to $31.5 billion in 2022–23. The decline in total gambling expenditure in 2019–20 mostly reflects decreases in land-based gambling expenditure such as casino gambling and poker machines in pubs/clubs, which were directly impacted by temporary venue closures during the COVID-19 restrictions. </w:t>
      </w:r>
    </w:p>
    <w:p w:rsidR="00581655" w:rsidRPr="002837DB" w:rsidRDefault="00581655" w:rsidP="00581655">
      <w:pPr>
        <w:numPr>
          <w:ilvl w:val="0"/>
          <w:numId w:val="8"/>
        </w:numPr>
        <w:spacing w:before="100" w:beforeAutospacing="1" w:after="60"/>
        <w:ind w:left="495"/>
        <w:rPr>
          <w:rFonts w:ascii="Trebuchet MS" w:eastAsia="Times New Roman" w:hAnsi="Trebuchet MS" w:cs="Times New Roman"/>
          <w:color w:val="45494B"/>
          <w:lang w:eastAsia="en-AU"/>
        </w:rPr>
      </w:pPr>
      <w:r w:rsidRPr="002837DB">
        <w:rPr>
          <w:rFonts w:ascii="Trebuchet MS" w:eastAsia="Times New Roman" w:hAnsi="Trebuchet MS" w:cs="Times New Roman"/>
          <w:color w:val="45494B"/>
          <w:lang w:eastAsia="en-AU"/>
        </w:rPr>
        <w:t>In each year since 2019–20, gambling expenditure has continued to increase.</w:t>
      </w:r>
    </w:p>
    <w:p w:rsidR="00581655" w:rsidRPr="002837DB" w:rsidRDefault="00581655" w:rsidP="00581655">
      <w:pPr>
        <w:numPr>
          <w:ilvl w:val="0"/>
          <w:numId w:val="8"/>
        </w:numPr>
        <w:spacing w:before="100" w:beforeAutospacing="1" w:after="60"/>
        <w:ind w:left="495"/>
        <w:rPr>
          <w:rFonts w:ascii="Times New Roman" w:eastAsia="Times New Roman" w:hAnsi="Times New Roman" w:cs="Times New Roman"/>
          <w:lang w:eastAsia="en-AU"/>
        </w:rPr>
      </w:pPr>
      <w:r w:rsidRPr="002837DB">
        <w:rPr>
          <w:rFonts w:ascii="Trebuchet MS" w:eastAsia="Times New Roman" w:hAnsi="Trebuchet MS" w:cs="Times New Roman"/>
          <w:color w:val="45494B"/>
          <w:lang w:eastAsia="en-AU"/>
        </w:rPr>
        <w:t>Prior to 2019–20, wagering</w:t>
      </w:r>
    </w:p>
    <w:p w:rsidR="00581655" w:rsidRPr="002837DB" w:rsidRDefault="00581655" w:rsidP="00581655">
      <w:pPr>
        <w:spacing w:beforeAutospacing="1"/>
        <w:ind w:left="495"/>
        <w:rPr>
          <w:rFonts w:ascii="Times New Roman" w:eastAsia="Times New Roman" w:hAnsi="Times New Roman" w:cs="Times New Roman"/>
          <w:lang w:eastAsia="en-AU"/>
        </w:rPr>
      </w:pPr>
      <w:r w:rsidRPr="002837DB">
        <w:rPr>
          <w:rFonts w:ascii="Trebuchet MS" w:eastAsia="Times New Roman" w:hAnsi="Trebuchet MS" w:cs="Times New Roman"/>
          <w:color w:val="45494B"/>
          <w:lang w:eastAsia="en-AU"/>
        </w:rPr>
        <w:t> (</w:t>
      </w:r>
      <w:proofErr w:type="gramStart"/>
      <w:r w:rsidRPr="002837DB">
        <w:rPr>
          <w:rFonts w:ascii="Trebuchet MS" w:eastAsia="Times New Roman" w:hAnsi="Trebuchet MS" w:cs="Times New Roman"/>
          <w:color w:val="45494B"/>
          <w:lang w:eastAsia="en-AU"/>
        </w:rPr>
        <w:t>which</w:t>
      </w:r>
      <w:proofErr w:type="gramEnd"/>
      <w:r w:rsidRPr="002837DB">
        <w:rPr>
          <w:rFonts w:ascii="Trebuchet MS" w:eastAsia="Times New Roman" w:hAnsi="Trebuchet MS" w:cs="Times New Roman"/>
          <w:color w:val="45494B"/>
          <w:lang w:eastAsia="en-AU"/>
        </w:rPr>
        <w:t xml:space="preserve"> includes racing and sports betting activities) losses were increasing steadily over time (from $3.4 billion in 2001–02 to $4 billion in 2008–09 and $5.8 billion in 2018–19). Despite a slight fall in 2019–20, when the COVID-19 pandemic began, wagering losses have increased in recent years and remained notably higher than the past 2 decades ($6.5 billion in 2020–21, $8.8 billion in 2021–22 and $8.4 billion in 2022–23) (Figure 2).</w:t>
      </w:r>
    </w:p>
    <w:p w:rsidR="00581655" w:rsidRPr="002837DB" w:rsidRDefault="00581655" w:rsidP="00581655">
      <w:pPr>
        <w:spacing w:before="100" w:beforeAutospacing="1"/>
        <w:rPr>
          <w:rFonts w:ascii="Trebuchet MS" w:eastAsia="Times New Roman" w:hAnsi="Trebuchet MS" w:cs="Times New Roman"/>
          <w:color w:val="45494B"/>
          <w:lang w:eastAsia="en-AU"/>
        </w:rPr>
      </w:pPr>
      <w:r w:rsidRPr="002837DB">
        <w:rPr>
          <w:rFonts w:ascii="Trebuchet MS" w:eastAsia="Times New Roman" w:hAnsi="Trebuchet MS" w:cs="Times New Roman"/>
          <w:color w:val="45494B"/>
          <w:lang w:eastAsia="en-AU"/>
        </w:rPr>
        <w:t>From 2020 until 2022, the COVID-19 pandemic impacted the availability of land-based gambling activities. It is important that recent years of gambling data be considered in the context of COVID-19 (QGSO 2024).</w:t>
      </w:r>
    </w:p>
    <w:p w:rsidR="00581655" w:rsidRPr="00581655" w:rsidRDefault="00581655" w:rsidP="00581655">
      <w:pPr>
        <w:shd w:val="clear" w:color="auto" w:fill="ECF6F8"/>
        <w:spacing w:after="300"/>
        <w:outlineLvl w:val="2"/>
        <w:rPr>
          <w:rFonts w:ascii="Trebuchet MS" w:eastAsia="Times New Roman" w:hAnsi="Trebuchet MS" w:cs="Times New Roman"/>
          <w:b/>
          <w:bCs/>
          <w:color w:val="45494B"/>
          <w:sz w:val="27"/>
          <w:szCs w:val="27"/>
          <w:lang w:eastAsia="en-AU"/>
        </w:rPr>
      </w:pPr>
      <w:r w:rsidRPr="00581655">
        <w:rPr>
          <w:rFonts w:ascii="Trebuchet MS" w:eastAsia="Times New Roman" w:hAnsi="Trebuchet MS" w:cs="Times New Roman"/>
          <w:b/>
          <w:bCs/>
          <w:color w:val="45494B"/>
          <w:sz w:val="27"/>
          <w:szCs w:val="27"/>
          <w:lang w:eastAsia="en-AU"/>
        </w:rPr>
        <w:t>Key data gaps and data improvement activities</w:t>
      </w:r>
    </w:p>
    <w:p w:rsidR="00581655" w:rsidRPr="00581655" w:rsidRDefault="00581655" w:rsidP="00581655">
      <w:pPr>
        <w:shd w:val="clear" w:color="auto" w:fill="ECF6F8"/>
        <w:rPr>
          <w:rFonts w:ascii="Trebuchet MS" w:eastAsia="Times New Roman" w:hAnsi="Trebuchet MS" w:cs="Times New Roman"/>
          <w:color w:val="45494B"/>
          <w:lang w:eastAsia="en-AU"/>
        </w:rPr>
      </w:pPr>
      <w:r w:rsidRPr="00581655">
        <w:rPr>
          <w:rFonts w:ascii="Trebuchet MS" w:eastAsia="Times New Roman" w:hAnsi="Trebuchet MS" w:cs="Times New Roman"/>
          <w:color w:val="45494B"/>
          <w:lang w:eastAsia="en-AU"/>
        </w:rPr>
        <w:t>This page draws on available data to describe trends in gambling participation, expenditure and related harms in Australia; however, there are limitations to these data sources (including a lack of consistency in study design, sample selection and measurement of gambling consumption and harm). A continuing, cost-effective system for monitoring gambling consumption and related harms is needed.</w:t>
      </w:r>
    </w:p>
    <w:p w:rsidR="00581655" w:rsidRPr="00581655" w:rsidRDefault="00581655" w:rsidP="00581655">
      <w:pPr>
        <w:spacing w:before="100" w:beforeAutospacing="1" w:after="100" w:afterAutospacing="1"/>
        <w:outlineLvl w:val="1"/>
        <w:rPr>
          <w:rFonts w:ascii="Trebuchet MS" w:eastAsia="Times New Roman" w:hAnsi="Trebuchet MS" w:cs="Times New Roman"/>
          <w:b/>
          <w:bCs/>
          <w:color w:val="45494B"/>
          <w:sz w:val="36"/>
          <w:szCs w:val="36"/>
          <w:lang w:eastAsia="en-AU"/>
        </w:rPr>
      </w:pPr>
      <w:r w:rsidRPr="00581655">
        <w:rPr>
          <w:rFonts w:ascii="Trebuchet MS" w:eastAsia="Times New Roman" w:hAnsi="Trebuchet MS" w:cs="Times New Roman"/>
          <w:b/>
          <w:bCs/>
          <w:color w:val="45494B"/>
          <w:sz w:val="36"/>
          <w:szCs w:val="36"/>
          <w:lang w:eastAsia="en-AU"/>
        </w:rPr>
        <w:t>Where do I go for more information?</w:t>
      </w:r>
    </w:p>
    <w:p w:rsidR="00581655" w:rsidRPr="00581655" w:rsidRDefault="00581655" w:rsidP="00581655">
      <w:pPr>
        <w:spacing w:after="240"/>
        <w:rPr>
          <w:rFonts w:ascii="Trebuchet MS" w:eastAsia="Times New Roman" w:hAnsi="Trebuchet MS" w:cs="Times New Roman"/>
          <w:color w:val="45494B"/>
          <w:lang w:eastAsia="en-AU"/>
        </w:rPr>
      </w:pPr>
      <w:r w:rsidRPr="00581655">
        <w:rPr>
          <w:rFonts w:ascii="Trebuchet MS" w:eastAsia="Times New Roman" w:hAnsi="Trebuchet MS" w:cs="Times New Roman"/>
          <w:color w:val="45494B"/>
          <w:lang w:eastAsia="en-AU"/>
        </w:rPr>
        <w:t>For more information on gambling, see:</w:t>
      </w:r>
    </w:p>
    <w:p w:rsidR="00581655" w:rsidRPr="00581655" w:rsidRDefault="00581655" w:rsidP="00581655">
      <w:pPr>
        <w:numPr>
          <w:ilvl w:val="0"/>
          <w:numId w:val="11"/>
        </w:numPr>
        <w:spacing w:beforeAutospacing="1"/>
        <w:ind w:left="495"/>
        <w:rPr>
          <w:rFonts w:ascii="Trebuchet MS" w:eastAsia="Times New Roman" w:hAnsi="Trebuchet MS" w:cs="Times New Roman"/>
          <w:color w:val="45494B"/>
          <w:lang w:eastAsia="en-AU"/>
        </w:rPr>
      </w:pPr>
      <w:r w:rsidRPr="00581655">
        <w:rPr>
          <w:rFonts w:ascii="Trebuchet MS" w:eastAsia="Times New Roman" w:hAnsi="Trebuchet MS" w:cs="Times New Roman"/>
          <w:color w:val="45494B"/>
          <w:lang w:eastAsia="en-AU"/>
        </w:rPr>
        <w:t>Melbourne Institute of Applied Economic and Social Research </w:t>
      </w:r>
      <w:hyperlink r:id="rId8" w:tgtFrame="_blank" w:history="1">
        <w:r w:rsidRPr="00D849D4">
          <w:rPr>
            <w:rFonts w:ascii="Trebuchet MS" w:eastAsia="Times New Roman" w:hAnsi="Trebuchet MS" w:cs="Times New Roman"/>
            <w:color w:val="6C518A"/>
            <w:u w:val="single"/>
            <w:bdr w:val="none" w:sz="0" w:space="0" w:color="auto" w:frame="1"/>
            <w:lang w:eastAsia="en-AU"/>
          </w:rPr>
          <w:t>HILDA Statistical Report- external site opens in new window</w:t>
        </w:r>
      </w:hyperlink>
    </w:p>
    <w:p w:rsidR="00581655" w:rsidRPr="00581655" w:rsidRDefault="00581655" w:rsidP="00581655">
      <w:pPr>
        <w:numPr>
          <w:ilvl w:val="0"/>
          <w:numId w:val="11"/>
        </w:numPr>
        <w:spacing w:beforeAutospacing="1"/>
        <w:ind w:left="495"/>
        <w:rPr>
          <w:rFonts w:ascii="Trebuchet MS" w:eastAsia="Times New Roman" w:hAnsi="Trebuchet MS" w:cs="Times New Roman"/>
          <w:color w:val="45494B"/>
          <w:lang w:eastAsia="en-AU"/>
        </w:rPr>
      </w:pPr>
      <w:r w:rsidRPr="00581655">
        <w:rPr>
          <w:rFonts w:ascii="Trebuchet MS" w:eastAsia="Times New Roman" w:hAnsi="Trebuchet MS" w:cs="Times New Roman"/>
          <w:color w:val="45494B"/>
          <w:lang w:eastAsia="en-AU"/>
        </w:rPr>
        <w:t>Australian Gambling Research Centre (AGRC) </w:t>
      </w:r>
      <w:hyperlink r:id="rId9" w:tgtFrame="_blank" w:history="1">
        <w:r w:rsidRPr="00D849D4">
          <w:rPr>
            <w:rFonts w:ascii="Trebuchet MS" w:eastAsia="Times New Roman" w:hAnsi="Trebuchet MS" w:cs="Times New Roman"/>
            <w:color w:val="6C518A"/>
            <w:u w:val="single"/>
            <w:bdr w:val="none" w:sz="0" w:space="0" w:color="auto" w:frame="1"/>
            <w:lang w:eastAsia="en-AU"/>
          </w:rPr>
          <w:t>Gambling participation, experience of harm and community views- external site opens in new window</w:t>
        </w:r>
      </w:hyperlink>
      <w:r w:rsidRPr="00581655">
        <w:rPr>
          <w:rFonts w:ascii="Trebuchet MS" w:eastAsia="Times New Roman" w:hAnsi="Trebuchet MS" w:cs="Times New Roman"/>
          <w:color w:val="45494B"/>
          <w:lang w:eastAsia="en-AU"/>
        </w:rPr>
        <w:t> </w:t>
      </w:r>
    </w:p>
    <w:p w:rsidR="00581655" w:rsidRPr="00581655" w:rsidRDefault="00581655" w:rsidP="00581655">
      <w:pPr>
        <w:numPr>
          <w:ilvl w:val="0"/>
          <w:numId w:val="11"/>
        </w:numPr>
        <w:spacing w:beforeAutospacing="1"/>
        <w:ind w:left="495"/>
        <w:rPr>
          <w:rFonts w:ascii="Trebuchet MS" w:eastAsia="Times New Roman" w:hAnsi="Trebuchet MS" w:cs="Times New Roman"/>
          <w:color w:val="45494B"/>
          <w:lang w:eastAsia="en-AU"/>
        </w:rPr>
      </w:pPr>
      <w:r w:rsidRPr="00581655">
        <w:rPr>
          <w:rFonts w:ascii="Trebuchet MS" w:eastAsia="Times New Roman" w:hAnsi="Trebuchet MS" w:cs="Times New Roman"/>
          <w:color w:val="45494B"/>
          <w:lang w:eastAsia="en-AU"/>
        </w:rPr>
        <w:t>AGRC </w:t>
      </w:r>
      <w:hyperlink r:id="rId10" w:tgtFrame="_blank" w:history="1">
        <w:r w:rsidRPr="00D849D4">
          <w:rPr>
            <w:rFonts w:ascii="Trebuchet MS" w:eastAsia="Times New Roman" w:hAnsi="Trebuchet MS" w:cs="Times New Roman"/>
            <w:color w:val="6C518A"/>
            <w:u w:val="single"/>
            <w:bdr w:val="none" w:sz="0" w:space="0" w:color="auto" w:frame="1"/>
            <w:lang w:eastAsia="en-AU"/>
          </w:rPr>
          <w:t>National Gambling Trends Study- external site opens in new window</w:t>
        </w:r>
      </w:hyperlink>
    </w:p>
    <w:p w:rsidR="00581655" w:rsidRPr="00581655" w:rsidRDefault="00581655" w:rsidP="00581655">
      <w:pPr>
        <w:numPr>
          <w:ilvl w:val="0"/>
          <w:numId w:val="11"/>
        </w:numPr>
        <w:spacing w:beforeAutospacing="1"/>
        <w:ind w:left="495"/>
        <w:rPr>
          <w:rFonts w:ascii="Trebuchet MS" w:eastAsia="Times New Roman" w:hAnsi="Trebuchet MS" w:cs="Times New Roman"/>
          <w:color w:val="45494B"/>
          <w:lang w:eastAsia="en-AU"/>
        </w:rPr>
      </w:pPr>
      <w:r w:rsidRPr="00581655">
        <w:rPr>
          <w:rFonts w:ascii="Trebuchet MS" w:eastAsia="Times New Roman" w:hAnsi="Trebuchet MS" w:cs="Times New Roman"/>
          <w:color w:val="45494B"/>
          <w:lang w:eastAsia="en-AU"/>
        </w:rPr>
        <w:t>Department of Social Services </w:t>
      </w:r>
      <w:hyperlink r:id="rId11" w:tgtFrame="_blank" w:history="1">
        <w:r w:rsidRPr="00D849D4">
          <w:rPr>
            <w:rFonts w:ascii="Trebuchet MS" w:eastAsia="Times New Roman" w:hAnsi="Trebuchet MS" w:cs="Times New Roman"/>
            <w:color w:val="6C518A"/>
            <w:u w:val="single"/>
            <w:bdr w:val="none" w:sz="0" w:space="0" w:color="auto" w:frame="1"/>
            <w:lang w:eastAsia="en-AU"/>
          </w:rPr>
          <w:t>Gambling- external site opens in new window</w:t>
        </w:r>
      </w:hyperlink>
    </w:p>
    <w:p w:rsidR="00581655" w:rsidRPr="00581655" w:rsidRDefault="00581655" w:rsidP="00581655">
      <w:pPr>
        <w:numPr>
          <w:ilvl w:val="0"/>
          <w:numId w:val="11"/>
        </w:numPr>
        <w:spacing w:beforeAutospacing="1"/>
        <w:ind w:left="495"/>
        <w:rPr>
          <w:rFonts w:ascii="Trebuchet MS" w:eastAsia="Times New Roman" w:hAnsi="Trebuchet MS" w:cs="Times New Roman"/>
          <w:color w:val="45494B"/>
          <w:lang w:eastAsia="en-AU"/>
        </w:rPr>
      </w:pPr>
      <w:r w:rsidRPr="00581655">
        <w:rPr>
          <w:rFonts w:ascii="Trebuchet MS" w:eastAsia="Times New Roman" w:hAnsi="Trebuchet MS" w:cs="Times New Roman"/>
          <w:color w:val="45494B"/>
          <w:lang w:eastAsia="en-AU"/>
        </w:rPr>
        <w:t>Grattan Institute </w:t>
      </w:r>
      <w:hyperlink r:id="rId12" w:tgtFrame="_blank" w:history="1">
        <w:r w:rsidRPr="00D849D4">
          <w:rPr>
            <w:rFonts w:ascii="Trebuchet MS" w:eastAsia="Times New Roman" w:hAnsi="Trebuchet MS" w:cs="Times New Roman"/>
            <w:color w:val="6C518A"/>
            <w:u w:val="single"/>
            <w:bdr w:val="none" w:sz="0" w:space="0" w:color="auto" w:frame="1"/>
            <w:lang w:eastAsia="en-AU"/>
          </w:rPr>
          <w:t>A better bet: How Australia should prevent gambling harm- external site opens in new window</w:t>
        </w:r>
      </w:hyperlink>
    </w:p>
    <w:p w:rsidR="00704784" w:rsidRDefault="00704784"/>
    <w:sectPr w:rsidR="00704784" w:rsidSect="00320C2A">
      <w:pgSz w:w="11906" w:h="16838"/>
      <w:pgMar w:top="454" w:right="510" w:bottom="454" w:left="45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023D64"/>
    <w:multiLevelType w:val="multilevel"/>
    <w:tmpl w:val="AAF06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857AAC"/>
    <w:multiLevelType w:val="multilevel"/>
    <w:tmpl w:val="F89E6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E1A2D2E"/>
    <w:multiLevelType w:val="multilevel"/>
    <w:tmpl w:val="D6CE1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2FA35AE"/>
    <w:multiLevelType w:val="multilevel"/>
    <w:tmpl w:val="33523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4F35C8F"/>
    <w:multiLevelType w:val="multilevel"/>
    <w:tmpl w:val="4F528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AAB4720"/>
    <w:multiLevelType w:val="multilevel"/>
    <w:tmpl w:val="AB22E8F8"/>
    <w:lvl w:ilvl="0">
      <w:start w:val="1"/>
      <w:numFmt w:val="bullet"/>
      <w:lvlText w:val=""/>
      <w:lvlJc w:val="left"/>
      <w:pPr>
        <w:tabs>
          <w:tab w:val="num" w:pos="786"/>
        </w:tabs>
        <w:ind w:left="786" w:hanging="360"/>
      </w:pPr>
      <w:rPr>
        <w:rFonts w:ascii="Symbol" w:hAnsi="Symbol" w:hint="default"/>
        <w:sz w:val="20"/>
      </w:rPr>
    </w:lvl>
    <w:lvl w:ilvl="1" w:tentative="1">
      <w:start w:val="1"/>
      <w:numFmt w:val="bullet"/>
      <w:lvlText w:val="o"/>
      <w:lvlJc w:val="left"/>
      <w:pPr>
        <w:tabs>
          <w:tab w:val="num" w:pos="1506"/>
        </w:tabs>
        <w:ind w:left="1506" w:hanging="360"/>
      </w:pPr>
      <w:rPr>
        <w:rFonts w:ascii="Courier New" w:hAnsi="Courier New" w:hint="default"/>
        <w:sz w:val="20"/>
      </w:rPr>
    </w:lvl>
    <w:lvl w:ilvl="2" w:tentative="1">
      <w:start w:val="1"/>
      <w:numFmt w:val="bullet"/>
      <w:lvlText w:val=""/>
      <w:lvlJc w:val="left"/>
      <w:pPr>
        <w:tabs>
          <w:tab w:val="num" w:pos="2226"/>
        </w:tabs>
        <w:ind w:left="2226" w:hanging="360"/>
      </w:pPr>
      <w:rPr>
        <w:rFonts w:ascii="Wingdings" w:hAnsi="Wingdings" w:hint="default"/>
        <w:sz w:val="20"/>
      </w:rPr>
    </w:lvl>
    <w:lvl w:ilvl="3" w:tentative="1">
      <w:start w:val="1"/>
      <w:numFmt w:val="bullet"/>
      <w:lvlText w:val=""/>
      <w:lvlJc w:val="left"/>
      <w:pPr>
        <w:tabs>
          <w:tab w:val="num" w:pos="2946"/>
        </w:tabs>
        <w:ind w:left="2946" w:hanging="360"/>
      </w:pPr>
      <w:rPr>
        <w:rFonts w:ascii="Wingdings" w:hAnsi="Wingdings" w:hint="default"/>
        <w:sz w:val="20"/>
      </w:rPr>
    </w:lvl>
    <w:lvl w:ilvl="4" w:tentative="1">
      <w:start w:val="1"/>
      <w:numFmt w:val="bullet"/>
      <w:lvlText w:val=""/>
      <w:lvlJc w:val="left"/>
      <w:pPr>
        <w:tabs>
          <w:tab w:val="num" w:pos="3666"/>
        </w:tabs>
        <w:ind w:left="3666" w:hanging="360"/>
      </w:pPr>
      <w:rPr>
        <w:rFonts w:ascii="Wingdings" w:hAnsi="Wingdings" w:hint="default"/>
        <w:sz w:val="20"/>
      </w:rPr>
    </w:lvl>
    <w:lvl w:ilvl="5" w:tentative="1">
      <w:start w:val="1"/>
      <w:numFmt w:val="bullet"/>
      <w:lvlText w:val=""/>
      <w:lvlJc w:val="left"/>
      <w:pPr>
        <w:tabs>
          <w:tab w:val="num" w:pos="4386"/>
        </w:tabs>
        <w:ind w:left="4386" w:hanging="360"/>
      </w:pPr>
      <w:rPr>
        <w:rFonts w:ascii="Wingdings" w:hAnsi="Wingdings" w:hint="default"/>
        <w:sz w:val="20"/>
      </w:rPr>
    </w:lvl>
    <w:lvl w:ilvl="6" w:tentative="1">
      <w:start w:val="1"/>
      <w:numFmt w:val="bullet"/>
      <w:lvlText w:val=""/>
      <w:lvlJc w:val="left"/>
      <w:pPr>
        <w:tabs>
          <w:tab w:val="num" w:pos="5106"/>
        </w:tabs>
        <w:ind w:left="5106" w:hanging="360"/>
      </w:pPr>
      <w:rPr>
        <w:rFonts w:ascii="Wingdings" w:hAnsi="Wingdings" w:hint="default"/>
        <w:sz w:val="20"/>
      </w:rPr>
    </w:lvl>
    <w:lvl w:ilvl="7" w:tentative="1">
      <w:start w:val="1"/>
      <w:numFmt w:val="bullet"/>
      <w:lvlText w:val=""/>
      <w:lvlJc w:val="left"/>
      <w:pPr>
        <w:tabs>
          <w:tab w:val="num" w:pos="5826"/>
        </w:tabs>
        <w:ind w:left="5826" w:hanging="360"/>
      </w:pPr>
      <w:rPr>
        <w:rFonts w:ascii="Wingdings" w:hAnsi="Wingdings" w:hint="default"/>
        <w:sz w:val="20"/>
      </w:rPr>
    </w:lvl>
    <w:lvl w:ilvl="8" w:tentative="1">
      <w:start w:val="1"/>
      <w:numFmt w:val="bullet"/>
      <w:lvlText w:val=""/>
      <w:lvlJc w:val="left"/>
      <w:pPr>
        <w:tabs>
          <w:tab w:val="num" w:pos="6546"/>
        </w:tabs>
        <w:ind w:left="6546" w:hanging="360"/>
      </w:pPr>
      <w:rPr>
        <w:rFonts w:ascii="Wingdings" w:hAnsi="Wingdings" w:hint="default"/>
        <w:sz w:val="20"/>
      </w:rPr>
    </w:lvl>
  </w:abstractNum>
  <w:abstractNum w:abstractNumId="6">
    <w:nsid w:val="52C213E7"/>
    <w:multiLevelType w:val="multilevel"/>
    <w:tmpl w:val="78967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4447312"/>
    <w:multiLevelType w:val="multilevel"/>
    <w:tmpl w:val="923A2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6B24079"/>
    <w:multiLevelType w:val="multilevel"/>
    <w:tmpl w:val="43404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91F3119"/>
    <w:multiLevelType w:val="multilevel"/>
    <w:tmpl w:val="AC5CD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C9B74AC"/>
    <w:multiLevelType w:val="multilevel"/>
    <w:tmpl w:val="8AFE93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3EC2C79"/>
    <w:multiLevelType w:val="multilevel"/>
    <w:tmpl w:val="D31A2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90F4127"/>
    <w:multiLevelType w:val="multilevel"/>
    <w:tmpl w:val="86444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C35046A"/>
    <w:multiLevelType w:val="multilevel"/>
    <w:tmpl w:val="2F089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76F2BE9"/>
    <w:multiLevelType w:val="multilevel"/>
    <w:tmpl w:val="98022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
  </w:num>
  <w:num w:numId="3">
    <w:abstractNumId w:val="13"/>
  </w:num>
  <w:num w:numId="4">
    <w:abstractNumId w:val="8"/>
  </w:num>
  <w:num w:numId="5">
    <w:abstractNumId w:val="7"/>
  </w:num>
  <w:num w:numId="6">
    <w:abstractNumId w:val="10"/>
  </w:num>
  <w:num w:numId="7">
    <w:abstractNumId w:val="9"/>
  </w:num>
  <w:num w:numId="8">
    <w:abstractNumId w:val="1"/>
  </w:num>
  <w:num w:numId="9">
    <w:abstractNumId w:val="2"/>
  </w:num>
  <w:num w:numId="10">
    <w:abstractNumId w:val="0"/>
  </w:num>
  <w:num w:numId="11">
    <w:abstractNumId w:val="6"/>
  </w:num>
  <w:num w:numId="12">
    <w:abstractNumId w:val="14"/>
  </w:num>
  <w:num w:numId="13">
    <w:abstractNumId w:val="4"/>
  </w:num>
  <w:num w:numId="14">
    <w:abstractNumId w:val="12"/>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655"/>
    <w:rsid w:val="00036C46"/>
    <w:rsid w:val="000E114F"/>
    <w:rsid w:val="001E6402"/>
    <w:rsid w:val="002837DB"/>
    <w:rsid w:val="00320C2A"/>
    <w:rsid w:val="00581655"/>
    <w:rsid w:val="00704784"/>
    <w:rsid w:val="00B12C81"/>
    <w:rsid w:val="00D849D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A88047B-4F37-4E5B-BB98-167EE42AB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en-A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581655"/>
    <w:pPr>
      <w:spacing w:before="100" w:beforeAutospacing="1" w:after="100" w:afterAutospacing="1"/>
      <w:outlineLvl w:val="1"/>
    </w:pPr>
    <w:rPr>
      <w:rFonts w:ascii="Times New Roman" w:eastAsia="Times New Roman" w:hAnsi="Times New Roman" w:cs="Times New Roman"/>
      <w:b/>
      <w:bCs/>
      <w:sz w:val="36"/>
      <w:szCs w:val="36"/>
      <w:lang w:eastAsia="en-AU"/>
    </w:rPr>
  </w:style>
  <w:style w:type="paragraph" w:styleId="Heading3">
    <w:name w:val="heading 3"/>
    <w:basedOn w:val="Normal"/>
    <w:link w:val="Heading3Char"/>
    <w:uiPriority w:val="9"/>
    <w:qFormat/>
    <w:rsid w:val="00581655"/>
    <w:pPr>
      <w:spacing w:before="100" w:beforeAutospacing="1" w:after="100" w:afterAutospacing="1"/>
      <w:outlineLvl w:val="2"/>
    </w:pPr>
    <w:rPr>
      <w:rFonts w:ascii="Times New Roman" w:eastAsia="Times New Roman" w:hAnsi="Times New Roman" w:cs="Times New Roman"/>
      <w:b/>
      <w:bCs/>
      <w:sz w:val="27"/>
      <w:szCs w:val="27"/>
      <w:lang w:eastAsia="en-AU"/>
    </w:rPr>
  </w:style>
  <w:style w:type="paragraph" w:styleId="Heading4">
    <w:name w:val="heading 4"/>
    <w:basedOn w:val="Normal"/>
    <w:link w:val="Heading4Char"/>
    <w:uiPriority w:val="9"/>
    <w:qFormat/>
    <w:rsid w:val="00581655"/>
    <w:pPr>
      <w:spacing w:before="100" w:beforeAutospacing="1" w:after="100" w:afterAutospacing="1"/>
      <w:outlineLvl w:val="3"/>
    </w:pPr>
    <w:rPr>
      <w:rFonts w:ascii="Times New Roman" w:eastAsia="Times New Roman" w:hAnsi="Times New Roman" w:cs="Times New Roman"/>
      <w:b/>
      <w:bCs/>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81655"/>
    <w:rPr>
      <w:rFonts w:ascii="Times New Roman" w:eastAsia="Times New Roman" w:hAnsi="Times New Roman" w:cs="Times New Roman"/>
      <w:b/>
      <w:bCs/>
      <w:sz w:val="36"/>
      <w:szCs w:val="36"/>
      <w:lang w:eastAsia="en-AU"/>
    </w:rPr>
  </w:style>
  <w:style w:type="character" w:customStyle="1" w:styleId="Heading3Char">
    <w:name w:val="Heading 3 Char"/>
    <w:basedOn w:val="DefaultParagraphFont"/>
    <w:link w:val="Heading3"/>
    <w:uiPriority w:val="9"/>
    <w:rsid w:val="00581655"/>
    <w:rPr>
      <w:rFonts w:ascii="Times New Roman" w:eastAsia="Times New Roman" w:hAnsi="Times New Roman" w:cs="Times New Roman"/>
      <w:b/>
      <w:bCs/>
      <w:sz w:val="27"/>
      <w:szCs w:val="27"/>
      <w:lang w:eastAsia="en-AU"/>
    </w:rPr>
  </w:style>
  <w:style w:type="character" w:customStyle="1" w:styleId="Heading4Char">
    <w:name w:val="Heading 4 Char"/>
    <w:basedOn w:val="DefaultParagraphFont"/>
    <w:link w:val="Heading4"/>
    <w:uiPriority w:val="9"/>
    <w:rsid w:val="00581655"/>
    <w:rPr>
      <w:rFonts w:ascii="Times New Roman" w:eastAsia="Times New Roman" w:hAnsi="Times New Roman" w:cs="Times New Roman"/>
      <w:b/>
      <w:bCs/>
      <w:lang w:eastAsia="en-AU"/>
    </w:rPr>
  </w:style>
  <w:style w:type="paragraph" w:styleId="NormalWeb">
    <w:name w:val="Normal (Web)"/>
    <w:basedOn w:val="Normal"/>
    <w:uiPriority w:val="99"/>
    <w:semiHidden/>
    <w:unhideWhenUsed/>
    <w:rsid w:val="00581655"/>
    <w:pPr>
      <w:spacing w:before="100" w:beforeAutospacing="1" w:after="100" w:afterAutospacing="1"/>
    </w:pPr>
    <w:rPr>
      <w:rFonts w:ascii="Times New Roman" w:eastAsia="Times New Roman" w:hAnsi="Times New Roman" w:cs="Times New Roman"/>
      <w:lang w:eastAsia="en-AU"/>
    </w:rPr>
  </w:style>
  <w:style w:type="character" w:customStyle="1" w:styleId="fr-glossary-term">
    <w:name w:val="fr-glossary-term"/>
    <w:basedOn w:val="DefaultParagraphFont"/>
    <w:rsid w:val="00581655"/>
  </w:style>
  <w:style w:type="character" w:styleId="Hyperlink">
    <w:name w:val="Hyperlink"/>
    <w:basedOn w:val="DefaultParagraphFont"/>
    <w:uiPriority w:val="99"/>
    <w:unhideWhenUsed/>
    <w:rsid w:val="00581655"/>
    <w:rPr>
      <w:color w:val="0000FF"/>
      <w:u w:val="single"/>
    </w:rPr>
  </w:style>
  <w:style w:type="character" w:customStyle="1" w:styleId="sr-only">
    <w:name w:val="sr-only"/>
    <w:basedOn w:val="DefaultParagraphFont"/>
    <w:rsid w:val="00581655"/>
  </w:style>
  <w:style w:type="paragraph" w:customStyle="1" w:styleId="c-data-chartfootnotes">
    <w:name w:val="c-data-chart__footnotes"/>
    <w:basedOn w:val="Normal"/>
    <w:rsid w:val="00581655"/>
    <w:pPr>
      <w:spacing w:before="100" w:beforeAutospacing="1" w:after="100" w:afterAutospacing="1"/>
    </w:pPr>
    <w:rPr>
      <w:rFonts w:ascii="Times New Roman" w:eastAsia="Times New Roman" w:hAnsi="Times New Roman" w:cs="Times New Roman"/>
      <w:lang w:eastAsia="en-AU"/>
    </w:rPr>
  </w:style>
  <w:style w:type="character" w:styleId="Strong">
    <w:name w:val="Strong"/>
    <w:basedOn w:val="DefaultParagraphFont"/>
    <w:uiPriority w:val="22"/>
    <w:qFormat/>
    <w:rsid w:val="00581655"/>
    <w:rPr>
      <w:b/>
      <w:bCs/>
    </w:rPr>
  </w:style>
  <w:style w:type="paragraph" w:customStyle="1" w:styleId="note">
    <w:name w:val="note"/>
    <w:basedOn w:val="Normal"/>
    <w:rsid w:val="00581655"/>
    <w:pPr>
      <w:spacing w:before="100" w:beforeAutospacing="1" w:after="100" w:afterAutospacing="1"/>
    </w:pPr>
    <w:rPr>
      <w:rFonts w:ascii="Times New Roman" w:eastAsia="Times New Roman" w:hAnsi="Times New Roman" w:cs="Times New Roman"/>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8045673">
      <w:bodyDiv w:val="1"/>
      <w:marLeft w:val="0"/>
      <w:marRight w:val="0"/>
      <w:marTop w:val="0"/>
      <w:marBottom w:val="0"/>
      <w:divBdr>
        <w:top w:val="none" w:sz="0" w:space="0" w:color="auto"/>
        <w:left w:val="none" w:sz="0" w:space="0" w:color="auto"/>
        <w:bottom w:val="none" w:sz="0" w:space="0" w:color="auto"/>
        <w:right w:val="none" w:sz="0" w:space="0" w:color="auto"/>
      </w:divBdr>
      <w:divsChild>
        <w:div w:id="1887523847">
          <w:marLeft w:val="0"/>
          <w:marRight w:val="0"/>
          <w:marTop w:val="0"/>
          <w:marBottom w:val="0"/>
          <w:divBdr>
            <w:top w:val="none" w:sz="0" w:space="0" w:color="auto"/>
            <w:left w:val="none" w:sz="0" w:space="0" w:color="auto"/>
            <w:bottom w:val="none" w:sz="0" w:space="0" w:color="auto"/>
            <w:right w:val="none" w:sz="0" w:space="0" w:color="auto"/>
          </w:divBdr>
          <w:divsChild>
            <w:div w:id="1317506">
              <w:marLeft w:val="0"/>
              <w:marRight w:val="0"/>
              <w:marTop w:val="100"/>
              <w:marBottom w:val="100"/>
              <w:divBdr>
                <w:top w:val="none" w:sz="0" w:space="0" w:color="auto"/>
                <w:left w:val="none" w:sz="0" w:space="0" w:color="auto"/>
                <w:bottom w:val="none" w:sz="0" w:space="0" w:color="auto"/>
                <w:right w:val="none" w:sz="0" w:space="0" w:color="auto"/>
              </w:divBdr>
              <w:divsChild>
                <w:div w:id="1634823409">
                  <w:marLeft w:val="0"/>
                  <w:marRight w:val="0"/>
                  <w:marTop w:val="0"/>
                  <w:marBottom w:val="0"/>
                  <w:divBdr>
                    <w:top w:val="none" w:sz="0" w:space="0" w:color="auto"/>
                    <w:left w:val="none" w:sz="0" w:space="0" w:color="auto"/>
                    <w:bottom w:val="none" w:sz="0" w:space="0" w:color="auto"/>
                    <w:right w:val="none" w:sz="0" w:space="0" w:color="auto"/>
                  </w:divBdr>
                  <w:divsChild>
                    <w:div w:id="1595288568">
                      <w:marLeft w:val="-225"/>
                      <w:marRight w:val="-225"/>
                      <w:marTop w:val="0"/>
                      <w:marBottom w:val="0"/>
                      <w:divBdr>
                        <w:top w:val="none" w:sz="0" w:space="0" w:color="auto"/>
                        <w:left w:val="none" w:sz="0" w:space="0" w:color="auto"/>
                        <w:bottom w:val="none" w:sz="0" w:space="0" w:color="auto"/>
                        <w:right w:val="none" w:sz="0" w:space="0" w:color="auto"/>
                      </w:divBdr>
                      <w:divsChild>
                        <w:div w:id="1347249498">
                          <w:marLeft w:val="0"/>
                          <w:marRight w:val="0"/>
                          <w:marTop w:val="0"/>
                          <w:marBottom w:val="0"/>
                          <w:divBdr>
                            <w:top w:val="none" w:sz="0" w:space="0" w:color="auto"/>
                            <w:left w:val="none" w:sz="0" w:space="0" w:color="auto"/>
                            <w:bottom w:val="none" w:sz="0" w:space="0" w:color="auto"/>
                            <w:right w:val="none" w:sz="0" w:space="0" w:color="auto"/>
                          </w:divBdr>
                          <w:divsChild>
                            <w:div w:id="1330333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3612911">
          <w:marLeft w:val="0"/>
          <w:marRight w:val="0"/>
          <w:marTop w:val="0"/>
          <w:marBottom w:val="0"/>
          <w:divBdr>
            <w:top w:val="none" w:sz="0" w:space="0" w:color="auto"/>
            <w:left w:val="none" w:sz="0" w:space="0" w:color="auto"/>
            <w:bottom w:val="none" w:sz="0" w:space="0" w:color="auto"/>
            <w:right w:val="none" w:sz="0" w:space="0" w:color="auto"/>
          </w:divBdr>
          <w:divsChild>
            <w:div w:id="1120105891">
              <w:marLeft w:val="0"/>
              <w:marRight w:val="0"/>
              <w:marTop w:val="0"/>
              <w:marBottom w:val="0"/>
              <w:divBdr>
                <w:top w:val="none" w:sz="0" w:space="0" w:color="auto"/>
                <w:left w:val="none" w:sz="0" w:space="0" w:color="auto"/>
                <w:bottom w:val="none" w:sz="0" w:space="0" w:color="auto"/>
                <w:right w:val="none" w:sz="0" w:space="0" w:color="auto"/>
              </w:divBdr>
            </w:div>
          </w:divsChild>
        </w:div>
        <w:div w:id="220559478">
          <w:marLeft w:val="0"/>
          <w:marRight w:val="0"/>
          <w:marTop w:val="0"/>
          <w:marBottom w:val="0"/>
          <w:divBdr>
            <w:top w:val="none" w:sz="0" w:space="0" w:color="auto"/>
            <w:left w:val="none" w:sz="0" w:space="0" w:color="auto"/>
            <w:bottom w:val="none" w:sz="0" w:space="0" w:color="auto"/>
            <w:right w:val="none" w:sz="0" w:space="0" w:color="auto"/>
          </w:divBdr>
          <w:divsChild>
            <w:div w:id="1425763493">
              <w:marLeft w:val="0"/>
              <w:marRight w:val="0"/>
              <w:marTop w:val="100"/>
              <w:marBottom w:val="100"/>
              <w:divBdr>
                <w:top w:val="none" w:sz="0" w:space="0" w:color="auto"/>
                <w:left w:val="none" w:sz="0" w:space="0" w:color="auto"/>
                <w:bottom w:val="none" w:sz="0" w:space="0" w:color="auto"/>
                <w:right w:val="none" w:sz="0" w:space="0" w:color="auto"/>
              </w:divBdr>
              <w:divsChild>
                <w:div w:id="2091735659">
                  <w:marLeft w:val="0"/>
                  <w:marRight w:val="0"/>
                  <w:marTop w:val="0"/>
                  <w:marBottom w:val="0"/>
                  <w:divBdr>
                    <w:top w:val="none" w:sz="0" w:space="0" w:color="auto"/>
                    <w:left w:val="none" w:sz="0" w:space="0" w:color="auto"/>
                    <w:bottom w:val="none" w:sz="0" w:space="0" w:color="auto"/>
                    <w:right w:val="none" w:sz="0" w:space="0" w:color="auto"/>
                  </w:divBdr>
                  <w:divsChild>
                    <w:div w:id="341132086">
                      <w:marLeft w:val="-225"/>
                      <w:marRight w:val="-225"/>
                      <w:marTop w:val="0"/>
                      <w:marBottom w:val="0"/>
                      <w:divBdr>
                        <w:top w:val="none" w:sz="0" w:space="0" w:color="auto"/>
                        <w:left w:val="none" w:sz="0" w:space="0" w:color="auto"/>
                        <w:bottom w:val="none" w:sz="0" w:space="0" w:color="auto"/>
                        <w:right w:val="none" w:sz="0" w:space="0" w:color="auto"/>
                      </w:divBdr>
                      <w:divsChild>
                        <w:div w:id="825433140">
                          <w:marLeft w:val="0"/>
                          <w:marRight w:val="0"/>
                          <w:marTop w:val="0"/>
                          <w:marBottom w:val="0"/>
                          <w:divBdr>
                            <w:top w:val="none" w:sz="0" w:space="0" w:color="auto"/>
                            <w:left w:val="none" w:sz="0" w:space="0" w:color="auto"/>
                            <w:bottom w:val="none" w:sz="0" w:space="0" w:color="auto"/>
                            <w:right w:val="none" w:sz="0" w:space="0" w:color="auto"/>
                          </w:divBdr>
                          <w:divsChild>
                            <w:div w:id="157621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2647425">
          <w:marLeft w:val="0"/>
          <w:marRight w:val="0"/>
          <w:marTop w:val="0"/>
          <w:marBottom w:val="0"/>
          <w:divBdr>
            <w:top w:val="none" w:sz="0" w:space="0" w:color="auto"/>
            <w:left w:val="none" w:sz="0" w:space="0" w:color="auto"/>
            <w:bottom w:val="none" w:sz="0" w:space="0" w:color="auto"/>
            <w:right w:val="none" w:sz="0" w:space="0" w:color="auto"/>
          </w:divBdr>
          <w:divsChild>
            <w:div w:id="1346788868">
              <w:marLeft w:val="0"/>
              <w:marRight w:val="0"/>
              <w:marTop w:val="100"/>
              <w:marBottom w:val="100"/>
              <w:divBdr>
                <w:top w:val="none" w:sz="0" w:space="0" w:color="auto"/>
                <w:left w:val="none" w:sz="0" w:space="0" w:color="auto"/>
                <w:bottom w:val="none" w:sz="0" w:space="0" w:color="auto"/>
                <w:right w:val="none" w:sz="0" w:space="0" w:color="auto"/>
              </w:divBdr>
              <w:divsChild>
                <w:div w:id="1764452368">
                  <w:marLeft w:val="0"/>
                  <w:marRight w:val="0"/>
                  <w:marTop w:val="0"/>
                  <w:marBottom w:val="0"/>
                  <w:divBdr>
                    <w:top w:val="none" w:sz="0" w:space="0" w:color="auto"/>
                    <w:left w:val="none" w:sz="0" w:space="0" w:color="auto"/>
                    <w:bottom w:val="none" w:sz="0" w:space="0" w:color="auto"/>
                    <w:right w:val="none" w:sz="0" w:space="0" w:color="auto"/>
                  </w:divBdr>
                  <w:divsChild>
                    <w:div w:id="39208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157394">
          <w:marLeft w:val="0"/>
          <w:marRight w:val="0"/>
          <w:marTop w:val="0"/>
          <w:marBottom w:val="0"/>
          <w:divBdr>
            <w:top w:val="none" w:sz="0" w:space="0" w:color="auto"/>
            <w:left w:val="none" w:sz="0" w:space="0" w:color="auto"/>
            <w:bottom w:val="none" w:sz="0" w:space="0" w:color="auto"/>
            <w:right w:val="none" w:sz="0" w:space="0" w:color="auto"/>
          </w:divBdr>
          <w:divsChild>
            <w:div w:id="1376195901">
              <w:marLeft w:val="0"/>
              <w:marRight w:val="0"/>
              <w:marTop w:val="100"/>
              <w:marBottom w:val="100"/>
              <w:divBdr>
                <w:top w:val="none" w:sz="0" w:space="0" w:color="auto"/>
                <w:left w:val="none" w:sz="0" w:space="0" w:color="auto"/>
                <w:bottom w:val="none" w:sz="0" w:space="0" w:color="auto"/>
                <w:right w:val="none" w:sz="0" w:space="0" w:color="auto"/>
              </w:divBdr>
              <w:divsChild>
                <w:div w:id="1539973631">
                  <w:marLeft w:val="0"/>
                  <w:marRight w:val="0"/>
                  <w:marTop w:val="0"/>
                  <w:marBottom w:val="0"/>
                  <w:divBdr>
                    <w:top w:val="none" w:sz="0" w:space="0" w:color="auto"/>
                    <w:left w:val="none" w:sz="0" w:space="0" w:color="auto"/>
                    <w:bottom w:val="none" w:sz="0" w:space="0" w:color="auto"/>
                    <w:right w:val="none" w:sz="0" w:space="0" w:color="auto"/>
                  </w:divBdr>
                  <w:divsChild>
                    <w:div w:id="475412980">
                      <w:marLeft w:val="-225"/>
                      <w:marRight w:val="-225"/>
                      <w:marTop w:val="0"/>
                      <w:marBottom w:val="0"/>
                      <w:divBdr>
                        <w:top w:val="none" w:sz="0" w:space="0" w:color="auto"/>
                        <w:left w:val="none" w:sz="0" w:space="0" w:color="auto"/>
                        <w:bottom w:val="none" w:sz="0" w:space="0" w:color="auto"/>
                        <w:right w:val="none" w:sz="0" w:space="0" w:color="auto"/>
                      </w:divBdr>
                      <w:divsChild>
                        <w:div w:id="170220214">
                          <w:marLeft w:val="0"/>
                          <w:marRight w:val="0"/>
                          <w:marTop w:val="0"/>
                          <w:marBottom w:val="0"/>
                          <w:divBdr>
                            <w:top w:val="none" w:sz="0" w:space="0" w:color="auto"/>
                            <w:left w:val="none" w:sz="0" w:space="0" w:color="auto"/>
                            <w:bottom w:val="none" w:sz="0" w:space="0" w:color="auto"/>
                            <w:right w:val="none" w:sz="0" w:space="0" w:color="auto"/>
                          </w:divBdr>
                          <w:divsChild>
                            <w:div w:id="775561385">
                              <w:marLeft w:val="0"/>
                              <w:marRight w:val="0"/>
                              <w:marTop w:val="0"/>
                              <w:marBottom w:val="0"/>
                              <w:divBdr>
                                <w:top w:val="none" w:sz="0" w:space="0" w:color="auto"/>
                                <w:left w:val="none" w:sz="0" w:space="0" w:color="auto"/>
                                <w:bottom w:val="none" w:sz="0" w:space="0" w:color="auto"/>
                                <w:right w:val="none" w:sz="0" w:space="0" w:color="auto"/>
                              </w:divBdr>
                              <w:divsChild>
                                <w:div w:id="1644658198">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8097775">
          <w:marLeft w:val="0"/>
          <w:marRight w:val="0"/>
          <w:marTop w:val="0"/>
          <w:marBottom w:val="0"/>
          <w:divBdr>
            <w:top w:val="none" w:sz="0" w:space="0" w:color="auto"/>
            <w:left w:val="none" w:sz="0" w:space="0" w:color="auto"/>
            <w:bottom w:val="none" w:sz="0" w:space="0" w:color="auto"/>
            <w:right w:val="none" w:sz="0" w:space="0" w:color="auto"/>
          </w:divBdr>
          <w:divsChild>
            <w:div w:id="1321159024">
              <w:marLeft w:val="0"/>
              <w:marRight w:val="0"/>
              <w:marTop w:val="100"/>
              <w:marBottom w:val="100"/>
              <w:divBdr>
                <w:top w:val="none" w:sz="0" w:space="0" w:color="auto"/>
                <w:left w:val="none" w:sz="0" w:space="0" w:color="auto"/>
                <w:bottom w:val="none" w:sz="0" w:space="0" w:color="auto"/>
                <w:right w:val="none" w:sz="0" w:space="0" w:color="auto"/>
              </w:divBdr>
              <w:divsChild>
                <w:div w:id="1435637036">
                  <w:marLeft w:val="0"/>
                  <w:marRight w:val="0"/>
                  <w:marTop w:val="0"/>
                  <w:marBottom w:val="0"/>
                  <w:divBdr>
                    <w:top w:val="none" w:sz="0" w:space="0" w:color="auto"/>
                    <w:left w:val="none" w:sz="0" w:space="0" w:color="auto"/>
                    <w:bottom w:val="none" w:sz="0" w:space="0" w:color="auto"/>
                    <w:right w:val="none" w:sz="0" w:space="0" w:color="auto"/>
                  </w:divBdr>
                  <w:divsChild>
                    <w:div w:id="385488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472492">
          <w:marLeft w:val="0"/>
          <w:marRight w:val="0"/>
          <w:marTop w:val="0"/>
          <w:marBottom w:val="0"/>
          <w:divBdr>
            <w:top w:val="none" w:sz="0" w:space="0" w:color="auto"/>
            <w:left w:val="none" w:sz="0" w:space="0" w:color="auto"/>
            <w:bottom w:val="none" w:sz="0" w:space="0" w:color="auto"/>
            <w:right w:val="none" w:sz="0" w:space="0" w:color="auto"/>
          </w:divBdr>
          <w:divsChild>
            <w:div w:id="166403604">
              <w:marLeft w:val="0"/>
              <w:marRight w:val="0"/>
              <w:marTop w:val="100"/>
              <w:marBottom w:val="100"/>
              <w:divBdr>
                <w:top w:val="none" w:sz="0" w:space="0" w:color="auto"/>
                <w:left w:val="none" w:sz="0" w:space="0" w:color="auto"/>
                <w:bottom w:val="none" w:sz="0" w:space="0" w:color="auto"/>
                <w:right w:val="none" w:sz="0" w:space="0" w:color="auto"/>
              </w:divBdr>
              <w:divsChild>
                <w:div w:id="1154836284">
                  <w:marLeft w:val="0"/>
                  <w:marRight w:val="0"/>
                  <w:marTop w:val="0"/>
                  <w:marBottom w:val="0"/>
                  <w:divBdr>
                    <w:top w:val="none" w:sz="0" w:space="0" w:color="auto"/>
                    <w:left w:val="none" w:sz="0" w:space="0" w:color="auto"/>
                    <w:bottom w:val="none" w:sz="0" w:space="0" w:color="auto"/>
                    <w:right w:val="none" w:sz="0" w:space="0" w:color="auto"/>
                  </w:divBdr>
                  <w:divsChild>
                    <w:div w:id="1875607252">
                      <w:marLeft w:val="-225"/>
                      <w:marRight w:val="-225"/>
                      <w:marTop w:val="0"/>
                      <w:marBottom w:val="0"/>
                      <w:divBdr>
                        <w:top w:val="none" w:sz="0" w:space="0" w:color="auto"/>
                        <w:left w:val="none" w:sz="0" w:space="0" w:color="auto"/>
                        <w:bottom w:val="none" w:sz="0" w:space="0" w:color="auto"/>
                        <w:right w:val="none" w:sz="0" w:space="0" w:color="auto"/>
                      </w:divBdr>
                      <w:divsChild>
                        <w:div w:id="397675841">
                          <w:marLeft w:val="0"/>
                          <w:marRight w:val="0"/>
                          <w:marTop w:val="0"/>
                          <w:marBottom w:val="0"/>
                          <w:divBdr>
                            <w:top w:val="none" w:sz="0" w:space="0" w:color="auto"/>
                            <w:left w:val="none" w:sz="0" w:space="0" w:color="auto"/>
                            <w:bottom w:val="none" w:sz="0" w:space="0" w:color="auto"/>
                            <w:right w:val="none" w:sz="0" w:space="0" w:color="auto"/>
                          </w:divBdr>
                          <w:divsChild>
                            <w:div w:id="1885408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4964149">
          <w:marLeft w:val="0"/>
          <w:marRight w:val="0"/>
          <w:marTop w:val="0"/>
          <w:marBottom w:val="0"/>
          <w:divBdr>
            <w:top w:val="none" w:sz="0" w:space="0" w:color="auto"/>
            <w:left w:val="none" w:sz="0" w:space="0" w:color="auto"/>
            <w:bottom w:val="none" w:sz="0" w:space="0" w:color="auto"/>
            <w:right w:val="none" w:sz="0" w:space="0" w:color="auto"/>
          </w:divBdr>
          <w:divsChild>
            <w:div w:id="215509205">
              <w:marLeft w:val="0"/>
              <w:marRight w:val="0"/>
              <w:marTop w:val="100"/>
              <w:marBottom w:val="100"/>
              <w:divBdr>
                <w:top w:val="none" w:sz="0" w:space="0" w:color="auto"/>
                <w:left w:val="none" w:sz="0" w:space="0" w:color="auto"/>
                <w:bottom w:val="none" w:sz="0" w:space="0" w:color="auto"/>
                <w:right w:val="none" w:sz="0" w:space="0" w:color="auto"/>
              </w:divBdr>
              <w:divsChild>
                <w:div w:id="1813282495">
                  <w:marLeft w:val="0"/>
                  <w:marRight w:val="0"/>
                  <w:marTop w:val="0"/>
                  <w:marBottom w:val="0"/>
                  <w:divBdr>
                    <w:top w:val="none" w:sz="0" w:space="0" w:color="auto"/>
                    <w:left w:val="none" w:sz="0" w:space="0" w:color="auto"/>
                    <w:bottom w:val="none" w:sz="0" w:space="0" w:color="auto"/>
                    <w:right w:val="none" w:sz="0" w:space="0" w:color="auto"/>
                  </w:divBdr>
                  <w:divsChild>
                    <w:div w:id="1711151035">
                      <w:marLeft w:val="0"/>
                      <w:marRight w:val="0"/>
                      <w:marTop w:val="0"/>
                      <w:marBottom w:val="0"/>
                      <w:divBdr>
                        <w:top w:val="none" w:sz="0" w:space="0" w:color="auto"/>
                        <w:left w:val="none" w:sz="0" w:space="0" w:color="auto"/>
                        <w:bottom w:val="none" w:sz="0" w:space="0" w:color="auto"/>
                        <w:right w:val="none" w:sz="0" w:space="0" w:color="auto"/>
                      </w:divBdr>
                    </w:div>
                    <w:div w:id="1758166484">
                      <w:marLeft w:val="0"/>
                      <w:marRight w:val="0"/>
                      <w:marTop w:val="0"/>
                      <w:marBottom w:val="0"/>
                      <w:divBdr>
                        <w:top w:val="none" w:sz="0" w:space="0" w:color="auto"/>
                        <w:left w:val="none" w:sz="0" w:space="0" w:color="auto"/>
                        <w:bottom w:val="none" w:sz="0" w:space="0" w:color="auto"/>
                        <w:right w:val="none" w:sz="0" w:space="0" w:color="auto"/>
                      </w:divBdr>
                      <w:divsChild>
                        <w:div w:id="653876968">
                          <w:marLeft w:val="0"/>
                          <w:marRight w:val="0"/>
                          <w:marTop w:val="0"/>
                          <w:marBottom w:val="0"/>
                          <w:divBdr>
                            <w:top w:val="none" w:sz="0" w:space="0" w:color="auto"/>
                            <w:left w:val="none" w:sz="0" w:space="0" w:color="auto"/>
                            <w:bottom w:val="none" w:sz="0" w:space="0" w:color="auto"/>
                            <w:right w:val="none" w:sz="0" w:space="0" w:color="auto"/>
                          </w:divBdr>
                          <w:divsChild>
                            <w:div w:id="1917938449">
                              <w:marLeft w:val="0"/>
                              <w:marRight w:val="0"/>
                              <w:marTop w:val="0"/>
                              <w:marBottom w:val="0"/>
                              <w:divBdr>
                                <w:top w:val="none" w:sz="0" w:space="0" w:color="auto"/>
                                <w:left w:val="none" w:sz="0" w:space="0" w:color="auto"/>
                                <w:bottom w:val="none" w:sz="0" w:space="0" w:color="auto"/>
                                <w:right w:val="none" w:sz="0" w:space="0" w:color="auto"/>
                              </w:divBdr>
                            </w:div>
                            <w:div w:id="722752846">
                              <w:marLeft w:val="0"/>
                              <w:marRight w:val="0"/>
                              <w:marTop w:val="0"/>
                              <w:marBottom w:val="0"/>
                              <w:divBdr>
                                <w:top w:val="none" w:sz="0" w:space="0" w:color="auto"/>
                                <w:left w:val="none" w:sz="0" w:space="0" w:color="auto"/>
                                <w:bottom w:val="none" w:sz="0" w:space="0" w:color="auto"/>
                                <w:right w:val="none" w:sz="0" w:space="0" w:color="auto"/>
                              </w:divBdr>
                            </w:div>
                          </w:divsChild>
                        </w:div>
                        <w:div w:id="1169713806">
                          <w:marLeft w:val="0"/>
                          <w:marRight w:val="0"/>
                          <w:marTop w:val="0"/>
                          <w:marBottom w:val="0"/>
                          <w:divBdr>
                            <w:top w:val="none" w:sz="0" w:space="0" w:color="auto"/>
                            <w:left w:val="none" w:sz="0" w:space="0" w:color="auto"/>
                            <w:bottom w:val="none" w:sz="0" w:space="0" w:color="auto"/>
                            <w:right w:val="none" w:sz="0" w:space="0" w:color="auto"/>
                          </w:divBdr>
                          <w:divsChild>
                            <w:div w:id="912079316">
                              <w:marLeft w:val="0"/>
                              <w:marRight w:val="0"/>
                              <w:marTop w:val="0"/>
                              <w:marBottom w:val="0"/>
                              <w:divBdr>
                                <w:top w:val="none" w:sz="0" w:space="0" w:color="auto"/>
                                <w:left w:val="none" w:sz="0" w:space="0" w:color="auto"/>
                                <w:bottom w:val="none" w:sz="0" w:space="0" w:color="auto"/>
                                <w:right w:val="none" w:sz="0" w:space="0" w:color="auto"/>
                              </w:divBdr>
                              <w:divsChild>
                                <w:div w:id="14622019">
                                  <w:marLeft w:val="0"/>
                                  <w:marRight w:val="0"/>
                                  <w:marTop w:val="0"/>
                                  <w:marBottom w:val="0"/>
                                  <w:divBdr>
                                    <w:top w:val="none" w:sz="0" w:space="0" w:color="auto"/>
                                    <w:left w:val="none" w:sz="0" w:space="0" w:color="auto"/>
                                    <w:bottom w:val="none" w:sz="0" w:space="0" w:color="auto"/>
                                    <w:right w:val="none" w:sz="0" w:space="0" w:color="auto"/>
                                  </w:divBdr>
                                  <w:divsChild>
                                    <w:div w:id="2123305201">
                                      <w:marLeft w:val="0"/>
                                      <w:marRight w:val="0"/>
                                      <w:marTop w:val="0"/>
                                      <w:marBottom w:val="0"/>
                                      <w:divBdr>
                                        <w:top w:val="none" w:sz="0" w:space="0" w:color="auto"/>
                                        <w:left w:val="none" w:sz="0" w:space="0" w:color="auto"/>
                                        <w:bottom w:val="none" w:sz="0" w:space="0" w:color="auto"/>
                                        <w:right w:val="none" w:sz="0" w:space="0" w:color="auto"/>
                                      </w:divBdr>
                                      <w:divsChild>
                                        <w:div w:id="473959618">
                                          <w:marLeft w:val="0"/>
                                          <w:marRight w:val="0"/>
                                          <w:marTop w:val="0"/>
                                          <w:marBottom w:val="0"/>
                                          <w:divBdr>
                                            <w:top w:val="none" w:sz="0" w:space="0" w:color="auto"/>
                                            <w:left w:val="none" w:sz="0" w:space="0" w:color="auto"/>
                                            <w:bottom w:val="none" w:sz="0" w:space="0" w:color="auto"/>
                                            <w:right w:val="none" w:sz="0" w:space="0" w:color="auto"/>
                                          </w:divBdr>
                                          <w:divsChild>
                                            <w:div w:id="192304070">
                                              <w:marLeft w:val="0"/>
                                              <w:marRight w:val="0"/>
                                              <w:marTop w:val="0"/>
                                              <w:marBottom w:val="0"/>
                                              <w:divBdr>
                                                <w:top w:val="none" w:sz="0" w:space="0" w:color="auto"/>
                                                <w:left w:val="none" w:sz="0" w:space="0" w:color="auto"/>
                                                <w:bottom w:val="none" w:sz="0" w:space="0" w:color="auto"/>
                                                <w:right w:val="none" w:sz="0" w:space="0" w:color="auto"/>
                                              </w:divBdr>
                                            </w:div>
                                            <w:div w:id="1708598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054056">
                                      <w:marLeft w:val="0"/>
                                      <w:marRight w:val="0"/>
                                      <w:marTop w:val="0"/>
                                      <w:marBottom w:val="0"/>
                                      <w:divBdr>
                                        <w:top w:val="none" w:sz="0" w:space="0" w:color="auto"/>
                                        <w:left w:val="none" w:sz="0" w:space="0" w:color="auto"/>
                                        <w:bottom w:val="none" w:sz="0" w:space="0" w:color="auto"/>
                                        <w:right w:val="none" w:sz="0" w:space="0" w:color="auto"/>
                                      </w:divBdr>
                                      <w:divsChild>
                                        <w:div w:id="1708179">
                                          <w:marLeft w:val="0"/>
                                          <w:marRight w:val="0"/>
                                          <w:marTop w:val="0"/>
                                          <w:marBottom w:val="0"/>
                                          <w:divBdr>
                                            <w:top w:val="none" w:sz="0" w:space="0" w:color="auto"/>
                                            <w:left w:val="none" w:sz="0" w:space="0" w:color="auto"/>
                                            <w:bottom w:val="none" w:sz="0" w:space="0" w:color="auto"/>
                                            <w:right w:val="none" w:sz="0" w:space="0" w:color="auto"/>
                                          </w:divBdr>
                                          <w:divsChild>
                                            <w:div w:id="1803302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1530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09916">
          <w:marLeft w:val="0"/>
          <w:marRight w:val="0"/>
          <w:marTop w:val="0"/>
          <w:marBottom w:val="0"/>
          <w:divBdr>
            <w:top w:val="none" w:sz="0" w:space="0" w:color="auto"/>
            <w:left w:val="none" w:sz="0" w:space="0" w:color="auto"/>
            <w:bottom w:val="none" w:sz="0" w:space="0" w:color="auto"/>
            <w:right w:val="none" w:sz="0" w:space="0" w:color="auto"/>
          </w:divBdr>
          <w:divsChild>
            <w:div w:id="1124348111">
              <w:marLeft w:val="0"/>
              <w:marRight w:val="0"/>
              <w:marTop w:val="100"/>
              <w:marBottom w:val="100"/>
              <w:divBdr>
                <w:top w:val="none" w:sz="0" w:space="0" w:color="auto"/>
                <w:left w:val="none" w:sz="0" w:space="0" w:color="auto"/>
                <w:bottom w:val="none" w:sz="0" w:space="0" w:color="auto"/>
                <w:right w:val="none" w:sz="0" w:space="0" w:color="auto"/>
              </w:divBdr>
              <w:divsChild>
                <w:div w:id="1856189836">
                  <w:marLeft w:val="0"/>
                  <w:marRight w:val="0"/>
                  <w:marTop w:val="0"/>
                  <w:marBottom w:val="0"/>
                  <w:divBdr>
                    <w:top w:val="none" w:sz="0" w:space="0" w:color="auto"/>
                    <w:left w:val="none" w:sz="0" w:space="0" w:color="auto"/>
                    <w:bottom w:val="none" w:sz="0" w:space="0" w:color="auto"/>
                    <w:right w:val="none" w:sz="0" w:space="0" w:color="auto"/>
                  </w:divBdr>
                  <w:divsChild>
                    <w:div w:id="1668424">
                      <w:marLeft w:val="-225"/>
                      <w:marRight w:val="-225"/>
                      <w:marTop w:val="0"/>
                      <w:marBottom w:val="0"/>
                      <w:divBdr>
                        <w:top w:val="none" w:sz="0" w:space="0" w:color="auto"/>
                        <w:left w:val="none" w:sz="0" w:space="0" w:color="auto"/>
                        <w:bottom w:val="none" w:sz="0" w:space="0" w:color="auto"/>
                        <w:right w:val="none" w:sz="0" w:space="0" w:color="auto"/>
                      </w:divBdr>
                      <w:divsChild>
                        <w:div w:id="540484397">
                          <w:marLeft w:val="0"/>
                          <w:marRight w:val="0"/>
                          <w:marTop w:val="0"/>
                          <w:marBottom w:val="0"/>
                          <w:divBdr>
                            <w:top w:val="none" w:sz="0" w:space="0" w:color="auto"/>
                            <w:left w:val="none" w:sz="0" w:space="0" w:color="auto"/>
                            <w:bottom w:val="none" w:sz="0" w:space="0" w:color="auto"/>
                            <w:right w:val="none" w:sz="0" w:space="0" w:color="auto"/>
                          </w:divBdr>
                          <w:divsChild>
                            <w:div w:id="1344362826">
                              <w:marLeft w:val="0"/>
                              <w:marRight w:val="0"/>
                              <w:marTop w:val="0"/>
                              <w:marBottom w:val="0"/>
                              <w:divBdr>
                                <w:top w:val="none" w:sz="0" w:space="0" w:color="auto"/>
                                <w:left w:val="none" w:sz="0" w:space="0" w:color="auto"/>
                                <w:bottom w:val="none" w:sz="0" w:space="0" w:color="auto"/>
                                <w:right w:val="none" w:sz="0" w:space="0" w:color="auto"/>
                              </w:divBdr>
                              <w:divsChild>
                                <w:div w:id="392699855">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15577493">
      <w:bodyDiv w:val="1"/>
      <w:marLeft w:val="0"/>
      <w:marRight w:val="0"/>
      <w:marTop w:val="0"/>
      <w:marBottom w:val="0"/>
      <w:divBdr>
        <w:top w:val="none" w:sz="0" w:space="0" w:color="auto"/>
        <w:left w:val="none" w:sz="0" w:space="0" w:color="auto"/>
        <w:bottom w:val="none" w:sz="0" w:space="0" w:color="auto"/>
        <w:right w:val="none" w:sz="0" w:space="0" w:color="auto"/>
      </w:divBdr>
      <w:divsChild>
        <w:div w:id="1995379516">
          <w:marLeft w:val="0"/>
          <w:marRight w:val="0"/>
          <w:marTop w:val="0"/>
          <w:marBottom w:val="0"/>
          <w:divBdr>
            <w:top w:val="none" w:sz="0" w:space="0" w:color="auto"/>
            <w:left w:val="none" w:sz="0" w:space="0" w:color="auto"/>
            <w:bottom w:val="none" w:sz="0" w:space="0" w:color="auto"/>
            <w:right w:val="none" w:sz="0" w:space="0" w:color="auto"/>
          </w:divBdr>
          <w:divsChild>
            <w:div w:id="1350644412">
              <w:marLeft w:val="0"/>
              <w:marRight w:val="0"/>
              <w:marTop w:val="100"/>
              <w:marBottom w:val="100"/>
              <w:divBdr>
                <w:top w:val="none" w:sz="0" w:space="0" w:color="auto"/>
                <w:left w:val="none" w:sz="0" w:space="0" w:color="auto"/>
                <w:bottom w:val="none" w:sz="0" w:space="0" w:color="auto"/>
                <w:right w:val="none" w:sz="0" w:space="0" w:color="auto"/>
              </w:divBdr>
              <w:divsChild>
                <w:div w:id="1390491764">
                  <w:marLeft w:val="0"/>
                  <w:marRight w:val="0"/>
                  <w:marTop w:val="0"/>
                  <w:marBottom w:val="0"/>
                  <w:divBdr>
                    <w:top w:val="none" w:sz="0" w:space="0" w:color="auto"/>
                    <w:left w:val="none" w:sz="0" w:space="0" w:color="auto"/>
                    <w:bottom w:val="none" w:sz="0" w:space="0" w:color="auto"/>
                    <w:right w:val="none" w:sz="0" w:space="0" w:color="auto"/>
                  </w:divBdr>
                  <w:divsChild>
                    <w:div w:id="1454514497">
                      <w:marLeft w:val="-225"/>
                      <w:marRight w:val="-225"/>
                      <w:marTop w:val="0"/>
                      <w:marBottom w:val="0"/>
                      <w:divBdr>
                        <w:top w:val="none" w:sz="0" w:space="0" w:color="auto"/>
                        <w:left w:val="none" w:sz="0" w:space="0" w:color="auto"/>
                        <w:bottom w:val="none" w:sz="0" w:space="0" w:color="auto"/>
                        <w:right w:val="none" w:sz="0" w:space="0" w:color="auto"/>
                      </w:divBdr>
                      <w:divsChild>
                        <w:div w:id="232545018">
                          <w:marLeft w:val="0"/>
                          <w:marRight w:val="0"/>
                          <w:marTop w:val="0"/>
                          <w:marBottom w:val="0"/>
                          <w:divBdr>
                            <w:top w:val="none" w:sz="0" w:space="0" w:color="auto"/>
                            <w:left w:val="none" w:sz="0" w:space="0" w:color="auto"/>
                            <w:bottom w:val="none" w:sz="0" w:space="0" w:color="auto"/>
                            <w:right w:val="none" w:sz="0" w:space="0" w:color="auto"/>
                          </w:divBdr>
                          <w:divsChild>
                            <w:div w:id="618923526">
                              <w:marLeft w:val="0"/>
                              <w:marRight w:val="0"/>
                              <w:marTop w:val="0"/>
                              <w:marBottom w:val="0"/>
                              <w:divBdr>
                                <w:top w:val="none" w:sz="0" w:space="0" w:color="auto"/>
                                <w:left w:val="none" w:sz="0" w:space="0" w:color="auto"/>
                                <w:bottom w:val="none" w:sz="0" w:space="0" w:color="auto"/>
                                <w:right w:val="none" w:sz="0" w:space="0" w:color="auto"/>
                              </w:divBdr>
                              <w:divsChild>
                                <w:div w:id="34812095">
                                  <w:marLeft w:val="0"/>
                                  <w:marRight w:val="0"/>
                                  <w:marTop w:val="15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0523116">
          <w:marLeft w:val="0"/>
          <w:marRight w:val="0"/>
          <w:marTop w:val="0"/>
          <w:marBottom w:val="0"/>
          <w:divBdr>
            <w:top w:val="none" w:sz="0" w:space="0" w:color="auto"/>
            <w:left w:val="none" w:sz="0" w:space="0" w:color="auto"/>
            <w:bottom w:val="none" w:sz="0" w:space="0" w:color="auto"/>
            <w:right w:val="none" w:sz="0" w:space="0" w:color="auto"/>
          </w:divBdr>
          <w:divsChild>
            <w:div w:id="1673295465">
              <w:marLeft w:val="0"/>
              <w:marRight w:val="0"/>
              <w:marTop w:val="100"/>
              <w:marBottom w:val="100"/>
              <w:divBdr>
                <w:top w:val="none" w:sz="0" w:space="0" w:color="auto"/>
                <w:left w:val="none" w:sz="0" w:space="0" w:color="auto"/>
                <w:bottom w:val="none" w:sz="0" w:space="0" w:color="auto"/>
                <w:right w:val="none" w:sz="0" w:space="0" w:color="auto"/>
              </w:divBdr>
              <w:divsChild>
                <w:div w:id="1195998609">
                  <w:marLeft w:val="0"/>
                  <w:marRight w:val="0"/>
                  <w:marTop w:val="0"/>
                  <w:marBottom w:val="0"/>
                  <w:divBdr>
                    <w:top w:val="none" w:sz="0" w:space="0" w:color="auto"/>
                    <w:left w:val="none" w:sz="0" w:space="0" w:color="auto"/>
                    <w:bottom w:val="none" w:sz="0" w:space="0" w:color="auto"/>
                    <w:right w:val="none" w:sz="0" w:space="0" w:color="auto"/>
                  </w:divBdr>
                  <w:divsChild>
                    <w:div w:id="1832141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3607778">
          <w:marLeft w:val="0"/>
          <w:marRight w:val="0"/>
          <w:marTop w:val="0"/>
          <w:marBottom w:val="0"/>
          <w:divBdr>
            <w:top w:val="none" w:sz="0" w:space="0" w:color="auto"/>
            <w:left w:val="none" w:sz="0" w:space="0" w:color="auto"/>
            <w:bottom w:val="none" w:sz="0" w:space="0" w:color="auto"/>
            <w:right w:val="none" w:sz="0" w:space="0" w:color="auto"/>
          </w:divBdr>
          <w:divsChild>
            <w:div w:id="2068410148">
              <w:marLeft w:val="0"/>
              <w:marRight w:val="0"/>
              <w:marTop w:val="100"/>
              <w:marBottom w:val="100"/>
              <w:divBdr>
                <w:top w:val="none" w:sz="0" w:space="0" w:color="auto"/>
                <w:left w:val="none" w:sz="0" w:space="0" w:color="auto"/>
                <w:bottom w:val="none" w:sz="0" w:space="0" w:color="auto"/>
                <w:right w:val="none" w:sz="0" w:space="0" w:color="auto"/>
              </w:divBdr>
              <w:divsChild>
                <w:div w:id="1343584304">
                  <w:marLeft w:val="0"/>
                  <w:marRight w:val="0"/>
                  <w:marTop w:val="0"/>
                  <w:marBottom w:val="0"/>
                  <w:divBdr>
                    <w:top w:val="none" w:sz="0" w:space="0" w:color="auto"/>
                    <w:left w:val="none" w:sz="0" w:space="0" w:color="auto"/>
                    <w:bottom w:val="none" w:sz="0" w:space="0" w:color="auto"/>
                    <w:right w:val="none" w:sz="0" w:space="0" w:color="auto"/>
                  </w:divBdr>
                  <w:divsChild>
                    <w:div w:id="714961490">
                      <w:marLeft w:val="-225"/>
                      <w:marRight w:val="-225"/>
                      <w:marTop w:val="0"/>
                      <w:marBottom w:val="0"/>
                      <w:divBdr>
                        <w:top w:val="none" w:sz="0" w:space="0" w:color="auto"/>
                        <w:left w:val="none" w:sz="0" w:space="0" w:color="auto"/>
                        <w:bottom w:val="none" w:sz="0" w:space="0" w:color="auto"/>
                        <w:right w:val="none" w:sz="0" w:space="0" w:color="auto"/>
                      </w:divBdr>
                      <w:divsChild>
                        <w:div w:id="964625499">
                          <w:marLeft w:val="0"/>
                          <w:marRight w:val="0"/>
                          <w:marTop w:val="0"/>
                          <w:marBottom w:val="0"/>
                          <w:divBdr>
                            <w:top w:val="none" w:sz="0" w:space="0" w:color="auto"/>
                            <w:left w:val="none" w:sz="0" w:space="0" w:color="auto"/>
                            <w:bottom w:val="none" w:sz="0" w:space="0" w:color="auto"/>
                            <w:right w:val="none" w:sz="0" w:space="0" w:color="auto"/>
                          </w:divBdr>
                          <w:divsChild>
                            <w:div w:id="1722627948">
                              <w:marLeft w:val="0"/>
                              <w:marRight w:val="0"/>
                              <w:marTop w:val="0"/>
                              <w:marBottom w:val="0"/>
                              <w:divBdr>
                                <w:top w:val="none" w:sz="0" w:space="0" w:color="auto"/>
                                <w:left w:val="none" w:sz="0" w:space="0" w:color="auto"/>
                                <w:bottom w:val="none" w:sz="0" w:space="0" w:color="auto"/>
                                <w:right w:val="none" w:sz="0" w:space="0" w:color="auto"/>
                              </w:divBdr>
                              <w:divsChild>
                                <w:div w:id="736166373">
                                  <w:marLeft w:val="0"/>
                                  <w:marRight w:val="0"/>
                                  <w:marTop w:val="0"/>
                                  <w:marBottom w:val="0"/>
                                  <w:divBdr>
                                    <w:top w:val="none" w:sz="0" w:space="0" w:color="auto"/>
                                    <w:left w:val="none" w:sz="0" w:space="0" w:color="auto"/>
                                    <w:bottom w:val="none" w:sz="0" w:space="0" w:color="auto"/>
                                    <w:right w:val="none" w:sz="0" w:space="0" w:color="auto"/>
                                  </w:divBdr>
                                </w:div>
                                <w:div w:id="636761719">
                                  <w:marLeft w:val="0"/>
                                  <w:marRight w:val="0"/>
                                  <w:marTop w:val="0"/>
                                  <w:marBottom w:val="0"/>
                                  <w:divBdr>
                                    <w:top w:val="none" w:sz="0" w:space="0" w:color="auto"/>
                                    <w:left w:val="none" w:sz="0" w:space="0" w:color="auto"/>
                                    <w:bottom w:val="none" w:sz="0" w:space="0" w:color="auto"/>
                                    <w:right w:val="none" w:sz="0" w:space="0" w:color="auto"/>
                                  </w:divBdr>
                                </w:div>
                                <w:div w:id="2045976756">
                                  <w:marLeft w:val="0"/>
                                  <w:marRight w:val="0"/>
                                  <w:marTop w:val="0"/>
                                  <w:marBottom w:val="0"/>
                                  <w:divBdr>
                                    <w:top w:val="none" w:sz="0" w:space="0" w:color="auto"/>
                                    <w:left w:val="none" w:sz="0" w:space="0" w:color="auto"/>
                                    <w:bottom w:val="none" w:sz="0" w:space="0" w:color="auto"/>
                                    <w:right w:val="none" w:sz="0" w:space="0" w:color="auto"/>
                                  </w:divBdr>
                                </w:div>
                                <w:div w:id="520705272">
                                  <w:marLeft w:val="0"/>
                                  <w:marRight w:val="0"/>
                                  <w:marTop w:val="0"/>
                                  <w:marBottom w:val="0"/>
                                  <w:divBdr>
                                    <w:top w:val="none" w:sz="0" w:space="0" w:color="auto"/>
                                    <w:left w:val="none" w:sz="0" w:space="0" w:color="auto"/>
                                    <w:bottom w:val="none" w:sz="0" w:space="0" w:color="auto"/>
                                    <w:right w:val="none" w:sz="0" w:space="0" w:color="auto"/>
                                  </w:divBdr>
                                </w:div>
                                <w:div w:id="1377271539">
                                  <w:marLeft w:val="0"/>
                                  <w:marRight w:val="0"/>
                                  <w:marTop w:val="0"/>
                                  <w:marBottom w:val="0"/>
                                  <w:divBdr>
                                    <w:top w:val="none" w:sz="0" w:space="0" w:color="auto"/>
                                    <w:left w:val="none" w:sz="0" w:space="0" w:color="auto"/>
                                    <w:bottom w:val="none" w:sz="0" w:space="0" w:color="auto"/>
                                    <w:right w:val="none" w:sz="0" w:space="0" w:color="auto"/>
                                  </w:divBdr>
                                </w:div>
                                <w:div w:id="1620603747">
                                  <w:marLeft w:val="0"/>
                                  <w:marRight w:val="0"/>
                                  <w:marTop w:val="0"/>
                                  <w:marBottom w:val="0"/>
                                  <w:divBdr>
                                    <w:top w:val="none" w:sz="0" w:space="0" w:color="auto"/>
                                    <w:left w:val="none" w:sz="0" w:space="0" w:color="auto"/>
                                    <w:bottom w:val="none" w:sz="0" w:space="0" w:color="auto"/>
                                    <w:right w:val="none" w:sz="0" w:space="0" w:color="auto"/>
                                  </w:divBdr>
                                </w:div>
                                <w:div w:id="994340013">
                                  <w:marLeft w:val="0"/>
                                  <w:marRight w:val="0"/>
                                  <w:marTop w:val="0"/>
                                  <w:marBottom w:val="0"/>
                                  <w:divBdr>
                                    <w:top w:val="none" w:sz="0" w:space="0" w:color="auto"/>
                                    <w:left w:val="none" w:sz="0" w:space="0" w:color="auto"/>
                                    <w:bottom w:val="none" w:sz="0" w:space="0" w:color="auto"/>
                                    <w:right w:val="none" w:sz="0" w:space="0" w:color="auto"/>
                                  </w:divBdr>
                                </w:div>
                                <w:div w:id="1437872767">
                                  <w:marLeft w:val="0"/>
                                  <w:marRight w:val="0"/>
                                  <w:marTop w:val="0"/>
                                  <w:marBottom w:val="0"/>
                                  <w:divBdr>
                                    <w:top w:val="none" w:sz="0" w:space="0" w:color="auto"/>
                                    <w:left w:val="none" w:sz="0" w:space="0" w:color="auto"/>
                                    <w:bottom w:val="none" w:sz="0" w:space="0" w:color="auto"/>
                                    <w:right w:val="none" w:sz="0" w:space="0" w:color="auto"/>
                                  </w:divBdr>
                                </w:div>
                                <w:div w:id="912007790">
                                  <w:marLeft w:val="0"/>
                                  <w:marRight w:val="0"/>
                                  <w:marTop w:val="0"/>
                                  <w:marBottom w:val="0"/>
                                  <w:divBdr>
                                    <w:top w:val="none" w:sz="0" w:space="0" w:color="auto"/>
                                    <w:left w:val="none" w:sz="0" w:space="0" w:color="auto"/>
                                    <w:bottom w:val="none" w:sz="0" w:space="0" w:color="auto"/>
                                    <w:right w:val="none" w:sz="0" w:space="0" w:color="auto"/>
                                  </w:divBdr>
                                </w:div>
                                <w:div w:id="1906720924">
                                  <w:marLeft w:val="0"/>
                                  <w:marRight w:val="0"/>
                                  <w:marTop w:val="0"/>
                                  <w:marBottom w:val="0"/>
                                  <w:divBdr>
                                    <w:top w:val="none" w:sz="0" w:space="0" w:color="auto"/>
                                    <w:left w:val="none" w:sz="0" w:space="0" w:color="auto"/>
                                    <w:bottom w:val="none" w:sz="0" w:space="0" w:color="auto"/>
                                    <w:right w:val="none" w:sz="0" w:space="0" w:color="auto"/>
                                  </w:divBdr>
                                </w:div>
                                <w:div w:id="757218011">
                                  <w:marLeft w:val="0"/>
                                  <w:marRight w:val="0"/>
                                  <w:marTop w:val="0"/>
                                  <w:marBottom w:val="0"/>
                                  <w:divBdr>
                                    <w:top w:val="none" w:sz="0" w:space="0" w:color="auto"/>
                                    <w:left w:val="none" w:sz="0" w:space="0" w:color="auto"/>
                                    <w:bottom w:val="none" w:sz="0" w:space="0" w:color="auto"/>
                                    <w:right w:val="none" w:sz="0" w:space="0" w:color="auto"/>
                                  </w:divBdr>
                                </w:div>
                                <w:div w:id="1876582605">
                                  <w:marLeft w:val="0"/>
                                  <w:marRight w:val="0"/>
                                  <w:marTop w:val="0"/>
                                  <w:marBottom w:val="0"/>
                                  <w:divBdr>
                                    <w:top w:val="none" w:sz="0" w:space="0" w:color="auto"/>
                                    <w:left w:val="none" w:sz="0" w:space="0" w:color="auto"/>
                                    <w:bottom w:val="none" w:sz="0" w:space="0" w:color="auto"/>
                                    <w:right w:val="none" w:sz="0" w:space="0" w:color="auto"/>
                                  </w:divBdr>
                                </w:div>
                                <w:div w:id="1156455654">
                                  <w:marLeft w:val="0"/>
                                  <w:marRight w:val="0"/>
                                  <w:marTop w:val="0"/>
                                  <w:marBottom w:val="0"/>
                                  <w:divBdr>
                                    <w:top w:val="none" w:sz="0" w:space="0" w:color="auto"/>
                                    <w:left w:val="none" w:sz="0" w:space="0" w:color="auto"/>
                                    <w:bottom w:val="none" w:sz="0" w:space="0" w:color="auto"/>
                                    <w:right w:val="none" w:sz="0" w:space="0" w:color="auto"/>
                                  </w:divBdr>
                                </w:div>
                                <w:div w:id="1041058869">
                                  <w:marLeft w:val="0"/>
                                  <w:marRight w:val="0"/>
                                  <w:marTop w:val="0"/>
                                  <w:marBottom w:val="0"/>
                                  <w:divBdr>
                                    <w:top w:val="none" w:sz="0" w:space="0" w:color="auto"/>
                                    <w:left w:val="none" w:sz="0" w:space="0" w:color="auto"/>
                                    <w:bottom w:val="none" w:sz="0" w:space="0" w:color="auto"/>
                                    <w:right w:val="none" w:sz="0" w:space="0" w:color="auto"/>
                                  </w:divBdr>
                                </w:div>
                                <w:div w:id="621615323">
                                  <w:marLeft w:val="0"/>
                                  <w:marRight w:val="0"/>
                                  <w:marTop w:val="0"/>
                                  <w:marBottom w:val="0"/>
                                  <w:divBdr>
                                    <w:top w:val="none" w:sz="0" w:space="0" w:color="auto"/>
                                    <w:left w:val="none" w:sz="0" w:space="0" w:color="auto"/>
                                    <w:bottom w:val="none" w:sz="0" w:space="0" w:color="auto"/>
                                    <w:right w:val="none" w:sz="0" w:space="0" w:color="auto"/>
                                  </w:divBdr>
                                </w:div>
                                <w:div w:id="416947401">
                                  <w:marLeft w:val="0"/>
                                  <w:marRight w:val="0"/>
                                  <w:marTop w:val="0"/>
                                  <w:marBottom w:val="0"/>
                                  <w:divBdr>
                                    <w:top w:val="none" w:sz="0" w:space="0" w:color="auto"/>
                                    <w:left w:val="none" w:sz="0" w:space="0" w:color="auto"/>
                                    <w:bottom w:val="none" w:sz="0" w:space="0" w:color="auto"/>
                                    <w:right w:val="none" w:sz="0" w:space="0" w:color="auto"/>
                                  </w:divBdr>
                                </w:div>
                                <w:div w:id="1541744124">
                                  <w:marLeft w:val="0"/>
                                  <w:marRight w:val="0"/>
                                  <w:marTop w:val="0"/>
                                  <w:marBottom w:val="0"/>
                                  <w:divBdr>
                                    <w:top w:val="none" w:sz="0" w:space="0" w:color="auto"/>
                                    <w:left w:val="none" w:sz="0" w:space="0" w:color="auto"/>
                                    <w:bottom w:val="none" w:sz="0" w:space="0" w:color="auto"/>
                                    <w:right w:val="none" w:sz="0" w:space="0" w:color="auto"/>
                                  </w:divBdr>
                                </w:div>
                                <w:div w:id="1275946364">
                                  <w:marLeft w:val="0"/>
                                  <w:marRight w:val="0"/>
                                  <w:marTop w:val="0"/>
                                  <w:marBottom w:val="0"/>
                                  <w:divBdr>
                                    <w:top w:val="none" w:sz="0" w:space="0" w:color="auto"/>
                                    <w:left w:val="none" w:sz="0" w:space="0" w:color="auto"/>
                                    <w:bottom w:val="none" w:sz="0" w:space="0" w:color="auto"/>
                                    <w:right w:val="none" w:sz="0" w:space="0" w:color="auto"/>
                                  </w:divBdr>
                                </w:div>
                                <w:div w:id="1551846842">
                                  <w:marLeft w:val="0"/>
                                  <w:marRight w:val="0"/>
                                  <w:marTop w:val="0"/>
                                  <w:marBottom w:val="0"/>
                                  <w:divBdr>
                                    <w:top w:val="none" w:sz="0" w:space="0" w:color="auto"/>
                                    <w:left w:val="none" w:sz="0" w:space="0" w:color="auto"/>
                                    <w:bottom w:val="none" w:sz="0" w:space="0" w:color="auto"/>
                                    <w:right w:val="none" w:sz="0" w:space="0" w:color="auto"/>
                                  </w:divBdr>
                                </w:div>
                                <w:div w:id="128016275">
                                  <w:marLeft w:val="0"/>
                                  <w:marRight w:val="0"/>
                                  <w:marTop w:val="0"/>
                                  <w:marBottom w:val="0"/>
                                  <w:divBdr>
                                    <w:top w:val="none" w:sz="0" w:space="0" w:color="auto"/>
                                    <w:left w:val="none" w:sz="0" w:space="0" w:color="auto"/>
                                    <w:bottom w:val="none" w:sz="0" w:space="0" w:color="auto"/>
                                    <w:right w:val="none" w:sz="0" w:space="0" w:color="auto"/>
                                  </w:divBdr>
                                </w:div>
                                <w:div w:id="749623947">
                                  <w:marLeft w:val="0"/>
                                  <w:marRight w:val="0"/>
                                  <w:marTop w:val="0"/>
                                  <w:marBottom w:val="0"/>
                                  <w:divBdr>
                                    <w:top w:val="none" w:sz="0" w:space="0" w:color="auto"/>
                                    <w:left w:val="none" w:sz="0" w:space="0" w:color="auto"/>
                                    <w:bottom w:val="none" w:sz="0" w:space="0" w:color="auto"/>
                                    <w:right w:val="none" w:sz="0" w:space="0" w:color="auto"/>
                                  </w:divBdr>
                                </w:div>
                                <w:div w:id="787554749">
                                  <w:marLeft w:val="0"/>
                                  <w:marRight w:val="0"/>
                                  <w:marTop w:val="0"/>
                                  <w:marBottom w:val="0"/>
                                  <w:divBdr>
                                    <w:top w:val="none" w:sz="0" w:space="0" w:color="auto"/>
                                    <w:left w:val="none" w:sz="0" w:space="0" w:color="auto"/>
                                    <w:bottom w:val="none" w:sz="0" w:space="0" w:color="auto"/>
                                    <w:right w:val="none" w:sz="0" w:space="0" w:color="auto"/>
                                  </w:divBdr>
                                </w:div>
                                <w:div w:id="1548419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lbourneinstitute.unimelb.edu.au/hilda/publications/hilda-statistical-report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amblingresearch.org.au/publications/second-national-study-interactive-gambling-australia-2019-20" TargetMode="External"/><Relationship Id="rId12" Type="http://schemas.openxmlformats.org/officeDocument/2006/relationships/hyperlink" Target="https://grattan.edu.au/report/a-better-bet-how-australia-should-prevent-gambling-har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ink.springer.com/article/10.1186/s12889-019-7391-z" TargetMode="External"/><Relationship Id="rId11" Type="http://schemas.openxmlformats.org/officeDocument/2006/relationships/hyperlink" Target="https://www.dss.gov.au/gambling" TargetMode="External"/><Relationship Id="rId5" Type="http://schemas.openxmlformats.org/officeDocument/2006/relationships/hyperlink" Target="https://pubmed.ncbi.nlm.nih.gov/32402594/" TargetMode="External"/><Relationship Id="rId10" Type="http://schemas.openxmlformats.org/officeDocument/2006/relationships/hyperlink" Target="https://aifs.gov.au/research_programs/australian-gambling-research-centre/gambling-trends-study" TargetMode="External"/><Relationship Id="rId4" Type="http://schemas.openxmlformats.org/officeDocument/2006/relationships/webSettings" Target="webSettings.xml"/><Relationship Id="rId9" Type="http://schemas.openxmlformats.org/officeDocument/2006/relationships/hyperlink" Target="https://aifs.gov.au/research/research-snapshots/gambling-participation-experience-harm-and-community-view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4</Pages>
  <Words>1706</Words>
  <Characters>9726</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2</cp:revision>
  <dcterms:created xsi:type="dcterms:W3CDTF">2026-06-16T22:46:00Z</dcterms:created>
  <dcterms:modified xsi:type="dcterms:W3CDTF">2026-06-16T23:50:00Z</dcterms:modified>
</cp:coreProperties>
</file>