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header3.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A87" w:rsidRDefault="00F417A0" w:rsidP="00F417A0">
      <w:pPr>
        <w:jc w:val="center"/>
      </w:pPr>
      <w:bookmarkStart w:id="0" w:name="_Toc381705780"/>
      <w:r>
        <w:rPr>
          <w:noProof/>
          <w:lang w:val="en-US"/>
        </w:rPr>
        <w:drawing>
          <wp:inline distT="0" distB="0" distL="0" distR="0" wp14:anchorId="005F22CC" wp14:editId="1E474A4B">
            <wp:extent cx="1926336" cy="1194816"/>
            <wp:effectExtent l="0" t="0" r="0" b="571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26336" cy="1194816"/>
                    </a:xfrm>
                    <a:prstGeom prst="rect">
                      <a:avLst/>
                    </a:prstGeom>
                  </pic:spPr>
                </pic:pic>
              </a:graphicData>
            </a:graphic>
          </wp:inline>
        </w:drawing>
      </w:r>
    </w:p>
    <w:p w:rsidR="00B30A87" w:rsidRDefault="00B30A87"/>
    <w:p w:rsidR="00B30A87" w:rsidRDefault="00B30A87">
      <w:bookmarkStart w:id="1" w:name="_GoBack"/>
      <w:bookmarkEnd w:id="1"/>
    </w:p>
    <w:p w:rsidR="00F417A0" w:rsidRDefault="00F417A0" w:rsidP="00B30A87">
      <w:pPr>
        <w:jc w:val="center"/>
        <w:rPr>
          <w:b/>
          <w:color w:val="000080"/>
          <w:sz w:val="56"/>
        </w:rPr>
      </w:pPr>
    </w:p>
    <w:p w:rsidR="00B30A87" w:rsidRDefault="00B30A87" w:rsidP="00B30A87">
      <w:pPr>
        <w:jc w:val="center"/>
        <w:rPr>
          <w:b/>
          <w:color w:val="000080"/>
          <w:sz w:val="56"/>
        </w:rPr>
      </w:pPr>
      <w:r w:rsidRPr="00B30A87">
        <w:rPr>
          <w:b/>
          <w:color w:val="000080"/>
          <w:sz w:val="56"/>
        </w:rPr>
        <w:t xml:space="preserve">The </w:t>
      </w:r>
      <w:r w:rsidR="00F2512C">
        <w:rPr>
          <w:b/>
          <w:color w:val="000080"/>
          <w:sz w:val="56"/>
        </w:rPr>
        <w:t xml:space="preserve">Department of the </w:t>
      </w:r>
      <w:r w:rsidRPr="00B30A87">
        <w:rPr>
          <w:b/>
          <w:color w:val="000080"/>
          <w:sz w:val="56"/>
        </w:rPr>
        <w:t xml:space="preserve">Treasury’s submission </w:t>
      </w:r>
    </w:p>
    <w:p w:rsidR="00A7602C" w:rsidRPr="00B30A87" w:rsidRDefault="00B30A87" w:rsidP="00B30A87">
      <w:pPr>
        <w:jc w:val="center"/>
        <w:rPr>
          <w:b/>
          <w:color w:val="000080"/>
          <w:sz w:val="56"/>
        </w:rPr>
      </w:pPr>
      <w:r w:rsidRPr="00B30A87">
        <w:rPr>
          <w:b/>
          <w:color w:val="000080"/>
          <w:sz w:val="56"/>
        </w:rPr>
        <w:t>to the Financial System Inquiry</w:t>
      </w:r>
    </w:p>
    <w:p w:rsidR="00F417A0" w:rsidRDefault="00F417A0" w:rsidP="00B30A87">
      <w:pPr>
        <w:jc w:val="center"/>
        <w:rPr>
          <w:b/>
          <w:sz w:val="28"/>
          <w:szCs w:val="24"/>
        </w:rPr>
      </w:pPr>
    </w:p>
    <w:p w:rsidR="00F417A0" w:rsidRDefault="00F417A0" w:rsidP="00B30A87">
      <w:pPr>
        <w:jc w:val="center"/>
        <w:rPr>
          <w:sz w:val="32"/>
          <w:szCs w:val="24"/>
        </w:rPr>
      </w:pPr>
    </w:p>
    <w:p w:rsidR="004261C9" w:rsidRDefault="00F2512C" w:rsidP="00F417A0">
      <w:pPr>
        <w:jc w:val="center"/>
        <w:rPr>
          <w:b/>
        </w:rPr>
      </w:pPr>
      <w:r>
        <w:rPr>
          <w:sz w:val="32"/>
          <w:szCs w:val="24"/>
        </w:rPr>
        <w:t>3</w:t>
      </w:r>
      <w:r w:rsidR="00B30A87" w:rsidRPr="00F417A0">
        <w:rPr>
          <w:sz w:val="32"/>
          <w:szCs w:val="24"/>
        </w:rPr>
        <w:t xml:space="preserve"> </w:t>
      </w:r>
      <w:r w:rsidR="00201E91">
        <w:rPr>
          <w:sz w:val="32"/>
          <w:szCs w:val="24"/>
        </w:rPr>
        <w:t>April</w:t>
      </w:r>
      <w:r w:rsidR="00B30A87" w:rsidRPr="00F417A0">
        <w:rPr>
          <w:sz w:val="32"/>
          <w:szCs w:val="24"/>
        </w:rPr>
        <w:t xml:space="preserve"> 2014</w:t>
      </w:r>
    </w:p>
    <w:p w:rsidR="004261C9" w:rsidRDefault="004261C9" w:rsidP="007340B3">
      <w:pPr>
        <w:rPr>
          <w:b/>
        </w:rPr>
      </w:pPr>
    </w:p>
    <w:p w:rsidR="00A25EEF" w:rsidRPr="009A3368" w:rsidRDefault="00A25EEF" w:rsidP="00BC12A7">
      <w:pPr>
        <w:pStyle w:val="Bullet"/>
        <w:numPr>
          <w:ilvl w:val="0"/>
          <w:numId w:val="0"/>
        </w:numPr>
        <w:ind w:left="1134" w:hanging="567"/>
      </w:pPr>
    </w:p>
    <w:p w:rsidR="00B30A87" w:rsidRDefault="00B30A87" w:rsidP="00B30A87">
      <w:pPr>
        <w:jc w:val="center"/>
        <w:rPr>
          <w:b/>
        </w:rPr>
      </w:pPr>
    </w:p>
    <w:p w:rsidR="008A7B94" w:rsidRDefault="008A7B94">
      <w:pPr>
        <w:spacing w:after="0" w:line="240" w:lineRule="auto"/>
        <w:rPr>
          <w:rFonts w:ascii="Arial Bold" w:hAnsi="Arial Bold"/>
          <w:color w:val="000080"/>
          <w:sz w:val="48"/>
          <w:szCs w:val="48"/>
        </w:rPr>
      </w:pPr>
      <w:bookmarkStart w:id="2" w:name="_Toc381951903"/>
      <w:r>
        <w:rPr>
          <w:rFonts w:ascii="Arial Bold" w:hAnsi="Arial Bold"/>
          <w:color w:val="000080"/>
          <w:sz w:val="48"/>
          <w:szCs w:val="48"/>
        </w:rPr>
        <w:br w:type="page"/>
      </w:r>
    </w:p>
    <w:p w:rsidR="0003563D" w:rsidRPr="0003563D" w:rsidRDefault="00D01B63" w:rsidP="0003563D">
      <w:pPr>
        <w:rPr>
          <w:rFonts w:ascii="Arial Bold" w:hAnsi="Arial Bold"/>
          <w:sz w:val="48"/>
          <w:szCs w:val="48"/>
        </w:rPr>
      </w:pPr>
      <w:r>
        <w:rPr>
          <w:rFonts w:ascii="Arial Bold" w:hAnsi="Arial Bold"/>
          <w:color w:val="000080"/>
          <w:sz w:val="48"/>
          <w:szCs w:val="48"/>
        </w:rPr>
        <w:lastRenderedPageBreak/>
        <w:t>Contents</w:t>
      </w:r>
    </w:p>
    <w:sdt>
      <w:sdtPr>
        <w:rPr>
          <w:rFonts w:ascii="Calibri" w:eastAsia="Calibri" w:hAnsi="Calibri"/>
          <w:bCs w:val="0"/>
          <w:color w:val="auto"/>
          <w:sz w:val="24"/>
          <w:szCs w:val="22"/>
          <w:lang w:val="en-AU" w:eastAsia="en-US"/>
        </w:rPr>
        <w:id w:val="-745256596"/>
        <w:docPartObj>
          <w:docPartGallery w:val="Table of Contents"/>
          <w:docPartUnique/>
        </w:docPartObj>
      </w:sdtPr>
      <w:sdtEndPr>
        <w:rPr>
          <w:b/>
          <w:noProof/>
        </w:rPr>
      </w:sdtEndPr>
      <w:sdtContent>
        <w:p w:rsidR="0003563D" w:rsidRDefault="0003563D">
          <w:pPr>
            <w:pStyle w:val="TOCHeading"/>
          </w:pPr>
        </w:p>
        <w:p w:rsidR="00B92722" w:rsidRDefault="0003563D">
          <w:pPr>
            <w:pStyle w:val="TOC1"/>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384278489" w:history="1">
            <w:r w:rsidR="00B92722" w:rsidRPr="005D1DF8">
              <w:rPr>
                <w:rStyle w:val="Hyperlink"/>
                <w:noProof/>
              </w:rPr>
              <w:t>Introduction</w:t>
            </w:r>
            <w:r w:rsidR="00B92722">
              <w:rPr>
                <w:noProof/>
                <w:webHidden/>
              </w:rPr>
              <w:tab/>
            </w:r>
            <w:r w:rsidR="00B92722">
              <w:rPr>
                <w:noProof/>
                <w:webHidden/>
              </w:rPr>
              <w:fldChar w:fldCharType="begin"/>
            </w:r>
            <w:r w:rsidR="00B92722">
              <w:rPr>
                <w:noProof/>
                <w:webHidden/>
              </w:rPr>
              <w:instrText xml:space="preserve"> PAGEREF _Toc384278489 \h </w:instrText>
            </w:r>
            <w:r w:rsidR="00B92722">
              <w:rPr>
                <w:noProof/>
                <w:webHidden/>
              </w:rPr>
            </w:r>
            <w:r w:rsidR="00B92722">
              <w:rPr>
                <w:noProof/>
                <w:webHidden/>
              </w:rPr>
              <w:fldChar w:fldCharType="separate"/>
            </w:r>
            <w:r w:rsidR="0050148E">
              <w:rPr>
                <w:noProof/>
                <w:webHidden/>
              </w:rPr>
              <w:t>4</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490" w:history="1">
            <w:r w:rsidR="00B92722" w:rsidRPr="005D1DF8">
              <w:rPr>
                <w:rStyle w:val="Hyperlink"/>
                <w:noProof/>
              </w:rPr>
              <w:t>Executive Summary</w:t>
            </w:r>
            <w:r w:rsidR="00B92722">
              <w:rPr>
                <w:noProof/>
                <w:webHidden/>
              </w:rPr>
              <w:tab/>
            </w:r>
            <w:r w:rsidR="00B92722">
              <w:rPr>
                <w:noProof/>
                <w:webHidden/>
              </w:rPr>
              <w:fldChar w:fldCharType="begin"/>
            </w:r>
            <w:r w:rsidR="00B92722">
              <w:rPr>
                <w:noProof/>
                <w:webHidden/>
              </w:rPr>
              <w:instrText xml:space="preserve"> PAGEREF _Toc384278490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1" w:history="1">
            <w:r w:rsidR="00B92722" w:rsidRPr="005D1DF8">
              <w:rPr>
                <w:rStyle w:val="Hyperlink"/>
                <w:noProof/>
              </w:rPr>
              <w:t>Australia’s financial system has performed well</w:t>
            </w:r>
            <w:r w:rsidR="00B92722">
              <w:rPr>
                <w:noProof/>
                <w:webHidden/>
              </w:rPr>
              <w:tab/>
            </w:r>
            <w:r w:rsidR="00B92722">
              <w:rPr>
                <w:noProof/>
                <w:webHidden/>
              </w:rPr>
              <w:fldChar w:fldCharType="begin"/>
            </w:r>
            <w:r w:rsidR="00B92722">
              <w:rPr>
                <w:noProof/>
                <w:webHidden/>
              </w:rPr>
              <w:instrText xml:space="preserve"> PAGEREF _Toc384278491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2" w:history="1">
            <w:r w:rsidR="00B92722" w:rsidRPr="005D1DF8">
              <w:rPr>
                <w:rStyle w:val="Hyperlink"/>
                <w:noProof/>
              </w:rPr>
              <w:t>The regulatory framework remains appropriate</w:t>
            </w:r>
            <w:r w:rsidR="00B92722">
              <w:rPr>
                <w:noProof/>
                <w:webHidden/>
              </w:rPr>
              <w:tab/>
            </w:r>
            <w:r w:rsidR="00B92722">
              <w:rPr>
                <w:noProof/>
                <w:webHidden/>
              </w:rPr>
              <w:fldChar w:fldCharType="begin"/>
            </w:r>
            <w:r w:rsidR="00B92722">
              <w:rPr>
                <w:noProof/>
                <w:webHidden/>
              </w:rPr>
              <w:instrText xml:space="preserve"> PAGEREF _Toc384278492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3" w:history="1">
            <w:r w:rsidR="00B92722" w:rsidRPr="005D1DF8">
              <w:rPr>
                <w:rStyle w:val="Hyperlink"/>
                <w:noProof/>
              </w:rPr>
              <w:t>Australia’s financial regulation will continue to be shaped by global standards</w:t>
            </w:r>
            <w:r w:rsidR="00B92722">
              <w:rPr>
                <w:noProof/>
                <w:webHidden/>
              </w:rPr>
              <w:tab/>
            </w:r>
            <w:r w:rsidR="00B92722">
              <w:rPr>
                <w:noProof/>
                <w:webHidden/>
              </w:rPr>
              <w:fldChar w:fldCharType="begin"/>
            </w:r>
            <w:r w:rsidR="00B92722">
              <w:rPr>
                <w:noProof/>
                <w:webHidden/>
              </w:rPr>
              <w:instrText xml:space="preserve"> PAGEREF _Toc384278493 \h </w:instrText>
            </w:r>
            <w:r w:rsidR="00B92722">
              <w:rPr>
                <w:noProof/>
                <w:webHidden/>
              </w:rPr>
            </w:r>
            <w:r w:rsidR="00B92722">
              <w:rPr>
                <w:noProof/>
                <w:webHidden/>
              </w:rPr>
              <w:fldChar w:fldCharType="separate"/>
            </w:r>
            <w:r w:rsidR="0050148E">
              <w:rPr>
                <w:noProof/>
                <w:webHidden/>
              </w:rPr>
              <w:t>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4" w:history="1">
            <w:r w:rsidR="00B92722" w:rsidRPr="005D1DF8">
              <w:rPr>
                <w:rStyle w:val="Hyperlink"/>
                <w:noProof/>
              </w:rPr>
              <w:t>Refinements to Australia’s regulation to improve efficiency and stability</w:t>
            </w:r>
            <w:r w:rsidR="00B92722">
              <w:rPr>
                <w:noProof/>
                <w:webHidden/>
              </w:rPr>
              <w:tab/>
            </w:r>
            <w:r w:rsidR="00B92722">
              <w:rPr>
                <w:noProof/>
                <w:webHidden/>
              </w:rPr>
              <w:fldChar w:fldCharType="begin"/>
            </w:r>
            <w:r w:rsidR="00B92722">
              <w:rPr>
                <w:noProof/>
                <w:webHidden/>
              </w:rPr>
              <w:instrText xml:space="preserve"> PAGEREF _Toc384278494 \h </w:instrText>
            </w:r>
            <w:r w:rsidR="00B92722">
              <w:rPr>
                <w:noProof/>
                <w:webHidden/>
              </w:rPr>
            </w:r>
            <w:r w:rsidR="00B92722">
              <w:rPr>
                <w:noProof/>
                <w:webHidden/>
              </w:rPr>
              <w:fldChar w:fldCharType="separate"/>
            </w:r>
            <w:r w:rsidR="0050148E">
              <w:rPr>
                <w:noProof/>
                <w:webHidden/>
              </w:rPr>
              <w:t>6</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5" w:history="1">
            <w:r w:rsidR="00B92722" w:rsidRPr="005D1DF8">
              <w:rPr>
                <w:rStyle w:val="Hyperlink"/>
                <w:noProof/>
              </w:rPr>
              <w:t>New policy tools can achieve more cost-effective consumer empowerment</w:t>
            </w:r>
            <w:r w:rsidR="00B92722">
              <w:rPr>
                <w:noProof/>
                <w:webHidden/>
              </w:rPr>
              <w:tab/>
            </w:r>
            <w:r w:rsidR="00B92722">
              <w:rPr>
                <w:noProof/>
                <w:webHidden/>
              </w:rPr>
              <w:fldChar w:fldCharType="begin"/>
            </w:r>
            <w:r w:rsidR="00B92722">
              <w:rPr>
                <w:noProof/>
                <w:webHidden/>
              </w:rPr>
              <w:instrText xml:space="preserve"> PAGEREF _Toc384278495 \h </w:instrText>
            </w:r>
            <w:r w:rsidR="00B92722">
              <w:rPr>
                <w:noProof/>
                <w:webHidden/>
              </w:rPr>
            </w:r>
            <w:r w:rsidR="00B92722">
              <w:rPr>
                <w:noProof/>
                <w:webHidden/>
              </w:rPr>
              <w:fldChar w:fldCharType="separate"/>
            </w:r>
            <w:r w:rsidR="0050148E">
              <w:rPr>
                <w:noProof/>
                <w:webHidden/>
              </w:rPr>
              <w:t>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6" w:history="1">
            <w:r w:rsidR="00B92722" w:rsidRPr="005D1DF8">
              <w:rPr>
                <w:rStyle w:val="Hyperlink"/>
                <w:noProof/>
              </w:rPr>
              <w:t>Financial system must evolve to meet the needs of retirees</w:t>
            </w:r>
            <w:r w:rsidR="00B92722">
              <w:rPr>
                <w:noProof/>
                <w:webHidden/>
              </w:rPr>
              <w:tab/>
            </w:r>
            <w:r w:rsidR="00B92722">
              <w:rPr>
                <w:noProof/>
                <w:webHidden/>
              </w:rPr>
              <w:fldChar w:fldCharType="begin"/>
            </w:r>
            <w:r w:rsidR="00B92722">
              <w:rPr>
                <w:noProof/>
                <w:webHidden/>
              </w:rPr>
              <w:instrText xml:space="preserve"> PAGEREF _Toc384278496 \h </w:instrText>
            </w:r>
            <w:r w:rsidR="00B92722">
              <w:rPr>
                <w:noProof/>
                <w:webHidden/>
              </w:rPr>
            </w:r>
            <w:r w:rsidR="00B92722">
              <w:rPr>
                <w:noProof/>
                <w:webHidden/>
              </w:rPr>
              <w:fldChar w:fldCharType="separate"/>
            </w:r>
            <w:r w:rsidR="0050148E">
              <w:rPr>
                <w:noProof/>
                <w:webHidden/>
              </w:rPr>
              <w:t>7</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497" w:history="1">
            <w:r w:rsidR="00B92722" w:rsidRPr="005D1DF8">
              <w:rPr>
                <w:rStyle w:val="Hyperlink"/>
                <w:noProof/>
              </w:rPr>
              <w:t>Part 1:  The objectives of the financial system and its regulation</w:t>
            </w:r>
            <w:r w:rsidR="00B92722">
              <w:rPr>
                <w:noProof/>
                <w:webHidden/>
              </w:rPr>
              <w:tab/>
            </w:r>
            <w:r w:rsidR="00B92722">
              <w:rPr>
                <w:noProof/>
                <w:webHidden/>
              </w:rPr>
              <w:fldChar w:fldCharType="begin"/>
            </w:r>
            <w:r w:rsidR="00B92722">
              <w:rPr>
                <w:noProof/>
                <w:webHidden/>
              </w:rPr>
              <w:instrText xml:space="preserve"> PAGEREF _Toc384278497 \h </w:instrText>
            </w:r>
            <w:r w:rsidR="00B92722">
              <w:rPr>
                <w:noProof/>
                <w:webHidden/>
              </w:rPr>
            </w:r>
            <w:r w:rsidR="00B92722">
              <w:rPr>
                <w:noProof/>
                <w:webHidden/>
              </w:rPr>
              <w:fldChar w:fldCharType="separate"/>
            </w:r>
            <w:r w:rsidR="0050148E">
              <w:rPr>
                <w:noProof/>
                <w:webHidden/>
              </w:rPr>
              <w:t>9</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8"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_Toc384278498 \h </w:instrText>
            </w:r>
            <w:r w:rsidR="00B92722">
              <w:rPr>
                <w:noProof/>
                <w:webHidden/>
              </w:rPr>
            </w:r>
            <w:r w:rsidR="00B92722">
              <w:rPr>
                <w:noProof/>
                <w:webHidden/>
              </w:rPr>
              <w:fldChar w:fldCharType="separate"/>
            </w:r>
            <w:r w:rsidR="0050148E">
              <w:rPr>
                <w:noProof/>
                <w:webHidden/>
              </w:rPr>
              <w:t>9</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499" w:history="1">
            <w:r w:rsidR="00B92722" w:rsidRPr="005D1DF8">
              <w:rPr>
                <w:rStyle w:val="Hyperlink"/>
                <w:noProof/>
              </w:rPr>
              <w:t xml:space="preserve">Objective and functions of </w:t>
            </w:r>
            <w:r w:rsidR="00B92722" w:rsidRPr="005D1DF8">
              <w:rPr>
                <w:rStyle w:val="Hyperlink"/>
                <w:noProof/>
                <w:lang w:eastAsia="en-AU"/>
              </w:rPr>
              <w:t>the financial system</w:t>
            </w:r>
            <w:r w:rsidR="00B92722">
              <w:rPr>
                <w:noProof/>
                <w:webHidden/>
              </w:rPr>
              <w:tab/>
            </w:r>
            <w:r w:rsidR="00B92722">
              <w:rPr>
                <w:noProof/>
                <w:webHidden/>
              </w:rPr>
              <w:fldChar w:fldCharType="begin"/>
            </w:r>
            <w:r w:rsidR="00B92722">
              <w:rPr>
                <w:noProof/>
                <w:webHidden/>
              </w:rPr>
              <w:instrText xml:space="preserve"> PAGEREF _Toc384278499 \h </w:instrText>
            </w:r>
            <w:r w:rsidR="00B92722">
              <w:rPr>
                <w:noProof/>
                <w:webHidden/>
              </w:rPr>
            </w:r>
            <w:r w:rsidR="00B92722">
              <w:rPr>
                <w:noProof/>
                <w:webHidden/>
              </w:rPr>
              <w:fldChar w:fldCharType="separate"/>
            </w:r>
            <w:r w:rsidR="0050148E">
              <w:rPr>
                <w:noProof/>
                <w:webHidden/>
              </w:rPr>
              <w:t>10</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0" w:history="1">
            <w:r w:rsidR="00B92722" w:rsidRPr="005D1DF8">
              <w:rPr>
                <w:rStyle w:val="Hyperlink"/>
                <w:noProof/>
                <w:lang w:eastAsia="en-AU"/>
              </w:rPr>
              <w:t>The financial system warrants special regulatory attention which involves trade-offs</w:t>
            </w:r>
            <w:r w:rsidR="00B92722">
              <w:rPr>
                <w:noProof/>
                <w:webHidden/>
              </w:rPr>
              <w:tab/>
            </w:r>
            <w:r w:rsidR="00B92722">
              <w:rPr>
                <w:noProof/>
                <w:webHidden/>
              </w:rPr>
              <w:fldChar w:fldCharType="begin"/>
            </w:r>
            <w:r w:rsidR="00B92722">
              <w:rPr>
                <w:noProof/>
                <w:webHidden/>
              </w:rPr>
              <w:instrText xml:space="preserve"> PAGEREF _Toc384278500 \h </w:instrText>
            </w:r>
            <w:r w:rsidR="00B92722">
              <w:rPr>
                <w:noProof/>
                <w:webHidden/>
              </w:rPr>
            </w:r>
            <w:r w:rsidR="00B92722">
              <w:rPr>
                <w:noProof/>
                <w:webHidden/>
              </w:rPr>
              <w:fldChar w:fldCharType="separate"/>
            </w:r>
            <w:r w:rsidR="0050148E">
              <w:rPr>
                <w:noProof/>
                <w:webHidden/>
              </w:rPr>
              <w:t>11</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1" w:history="1">
            <w:r w:rsidR="00B92722" w:rsidRPr="005D1DF8">
              <w:rPr>
                <w:rStyle w:val="Hyperlink"/>
                <w:noProof/>
              </w:rPr>
              <w:t>Systemic risk</w:t>
            </w:r>
            <w:r w:rsidR="00B92722">
              <w:rPr>
                <w:noProof/>
                <w:webHidden/>
              </w:rPr>
              <w:tab/>
            </w:r>
            <w:r w:rsidR="00B92722">
              <w:rPr>
                <w:noProof/>
                <w:webHidden/>
              </w:rPr>
              <w:fldChar w:fldCharType="begin"/>
            </w:r>
            <w:r w:rsidR="00B92722">
              <w:rPr>
                <w:noProof/>
                <w:webHidden/>
              </w:rPr>
              <w:instrText xml:space="preserve"> PAGEREF _Toc384278501 \h </w:instrText>
            </w:r>
            <w:r w:rsidR="00B92722">
              <w:rPr>
                <w:noProof/>
                <w:webHidden/>
              </w:rPr>
            </w:r>
            <w:r w:rsidR="00B92722">
              <w:rPr>
                <w:noProof/>
                <w:webHidden/>
              </w:rPr>
              <w:fldChar w:fldCharType="separate"/>
            </w:r>
            <w:r w:rsidR="0050148E">
              <w:rPr>
                <w:noProof/>
                <w:webHidden/>
              </w:rPr>
              <w:t>11</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2" w:history="1">
            <w:r w:rsidR="00B92722" w:rsidRPr="005D1DF8">
              <w:rPr>
                <w:rStyle w:val="Hyperlink"/>
                <w:noProof/>
              </w:rPr>
              <w:t>Agency costs</w:t>
            </w:r>
            <w:r w:rsidR="00B92722">
              <w:rPr>
                <w:noProof/>
                <w:webHidden/>
              </w:rPr>
              <w:tab/>
            </w:r>
            <w:r w:rsidR="00B92722">
              <w:rPr>
                <w:noProof/>
                <w:webHidden/>
              </w:rPr>
              <w:fldChar w:fldCharType="begin"/>
            </w:r>
            <w:r w:rsidR="00B92722">
              <w:rPr>
                <w:noProof/>
                <w:webHidden/>
              </w:rPr>
              <w:instrText xml:space="preserve"> PAGEREF _Toc384278502 \h </w:instrText>
            </w:r>
            <w:r w:rsidR="00B92722">
              <w:rPr>
                <w:noProof/>
                <w:webHidden/>
              </w:rPr>
            </w:r>
            <w:r w:rsidR="00B92722">
              <w:rPr>
                <w:noProof/>
                <w:webHidden/>
              </w:rPr>
              <w:fldChar w:fldCharType="separate"/>
            </w:r>
            <w:r w:rsidR="0050148E">
              <w:rPr>
                <w:noProof/>
                <w:webHidden/>
              </w:rPr>
              <w:t>15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3" w:history="1">
            <w:r w:rsidR="00B92722" w:rsidRPr="005D1DF8">
              <w:rPr>
                <w:rStyle w:val="Hyperlink"/>
                <w:noProof/>
              </w:rPr>
              <w:t>Wallis addressed these regulatory trade-offs</w:t>
            </w:r>
            <w:r w:rsidR="00B92722">
              <w:rPr>
                <w:noProof/>
                <w:webHidden/>
              </w:rPr>
              <w:tab/>
            </w:r>
            <w:r w:rsidR="00B92722">
              <w:rPr>
                <w:noProof/>
                <w:webHidden/>
              </w:rPr>
              <w:fldChar w:fldCharType="begin"/>
            </w:r>
            <w:r w:rsidR="00B92722">
              <w:rPr>
                <w:noProof/>
                <w:webHidden/>
              </w:rPr>
              <w:instrText xml:space="preserve"> PAGEREF _Toc384278503 \h </w:instrText>
            </w:r>
            <w:r w:rsidR="00B92722">
              <w:rPr>
                <w:noProof/>
                <w:webHidden/>
              </w:rPr>
            </w:r>
            <w:r w:rsidR="00B92722">
              <w:rPr>
                <w:noProof/>
                <w:webHidden/>
              </w:rPr>
              <w:fldChar w:fldCharType="separate"/>
            </w:r>
            <w:r w:rsidR="0050148E">
              <w:rPr>
                <w:noProof/>
                <w:webHidden/>
              </w:rPr>
              <w:t>16</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4" w:history="1">
            <w:r w:rsidR="00B92722" w:rsidRPr="005D1DF8">
              <w:rPr>
                <w:rStyle w:val="Hyperlink"/>
                <w:noProof/>
                <w:lang w:eastAsia="en-AU"/>
              </w:rPr>
              <w:t>Wallis regulatory philosophy remains valid but needs updating</w:t>
            </w:r>
            <w:r w:rsidR="00B92722">
              <w:rPr>
                <w:noProof/>
                <w:webHidden/>
              </w:rPr>
              <w:tab/>
            </w:r>
            <w:r w:rsidR="00B92722">
              <w:rPr>
                <w:noProof/>
                <w:webHidden/>
              </w:rPr>
              <w:fldChar w:fldCharType="begin"/>
            </w:r>
            <w:r w:rsidR="00B92722">
              <w:rPr>
                <w:noProof/>
                <w:webHidden/>
              </w:rPr>
              <w:instrText xml:space="preserve"> PAGEREF _Toc384278504 \h </w:instrText>
            </w:r>
            <w:r w:rsidR="00B92722">
              <w:rPr>
                <w:noProof/>
                <w:webHidden/>
              </w:rPr>
            </w:r>
            <w:r w:rsidR="00B92722">
              <w:rPr>
                <w:noProof/>
                <w:webHidden/>
              </w:rPr>
              <w:fldChar w:fldCharType="separate"/>
            </w:r>
            <w:r w:rsidR="0050148E">
              <w:rPr>
                <w:noProof/>
                <w:webHidden/>
              </w:rPr>
              <w:t>19</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5" w:history="1">
            <w:r w:rsidR="00B92722" w:rsidRPr="005D1DF8">
              <w:rPr>
                <w:rStyle w:val="Hyperlink"/>
                <w:noProof/>
              </w:rPr>
              <w:t>More cost-effective methods of consumer empowerment are emerging</w:t>
            </w:r>
            <w:r w:rsidR="00B92722">
              <w:rPr>
                <w:noProof/>
                <w:webHidden/>
              </w:rPr>
              <w:tab/>
            </w:r>
            <w:r w:rsidR="00B92722">
              <w:rPr>
                <w:noProof/>
                <w:webHidden/>
              </w:rPr>
              <w:fldChar w:fldCharType="begin"/>
            </w:r>
            <w:r w:rsidR="00B92722">
              <w:rPr>
                <w:noProof/>
                <w:webHidden/>
              </w:rPr>
              <w:instrText xml:space="preserve"> PAGEREF _Toc384278505 \h </w:instrText>
            </w:r>
            <w:r w:rsidR="00B92722">
              <w:rPr>
                <w:noProof/>
                <w:webHidden/>
              </w:rPr>
            </w:r>
            <w:r w:rsidR="00B92722">
              <w:rPr>
                <w:noProof/>
                <w:webHidden/>
              </w:rPr>
              <w:fldChar w:fldCharType="separate"/>
            </w:r>
            <w:r w:rsidR="0050148E">
              <w:rPr>
                <w:noProof/>
                <w:webHidden/>
              </w:rPr>
              <w:t>24</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506" w:history="1">
            <w:r w:rsidR="00B92722" w:rsidRPr="005D1DF8">
              <w:rPr>
                <w:rStyle w:val="Hyperlink"/>
                <w:noProof/>
              </w:rPr>
              <w:t>Part 2:  The effectiveness of Australia’s regulatory architecture</w:t>
            </w:r>
            <w:r w:rsidR="00B92722">
              <w:rPr>
                <w:noProof/>
                <w:webHidden/>
              </w:rPr>
              <w:tab/>
            </w:r>
            <w:r w:rsidR="00B92722">
              <w:rPr>
                <w:noProof/>
                <w:webHidden/>
              </w:rPr>
              <w:fldChar w:fldCharType="begin"/>
            </w:r>
            <w:r w:rsidR="00B92722">
              <w:rPr>
                <w:noProof/>
                <w:webHidden/>
              </w:rPr>
              <w:instrText xml:space="preserve"> PAGEREF _Toc384278506 \h </w:instrText>
            </w:r>
            <w:r w:rsidR="00B92722">
              <w:rPr>
                <w:noProof/>
                <w:webHidden/>
              </w:rPr>
            </w:r>
            <w:r w:rsidR="00B92722">
              <w:rPr>
                <w:noProof/>
                <w:webHidden/>
              </w:rPr>
              <w:fldChar w:fldCharType="separate"/>
            </w:r>
            <w:r w:rsidR="0050148E">
              <w:rPr>
                <w:noProof/>
                <w:webHidden/>
              </w:rPr>
              <w:t>26</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7"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_Toc384278507 \h </w:instrText>
            </w:r>
            <w:r w:rsidR="00B92722">
              <w:rPr>
                <w:noProof/>
                <w:webHidden/>
              </w:rPr>
            </w:r>
            <w:r w:rsidR="00B92722">
              <w:rPr>
                <w:noProof/>
                <w:webHidden/>
              </w:rPr>
              <w:fldChar w:fldCharType="separate"/>
            </w:r>
            <w:r w:rsidR="0050148E">
              <w:rPr>
                <w:noProof/>
                <w:webHidden/>
              </w:rPr>
              <w:t>26</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8" w:history="1">
            <w:r w:rsidR="00B92722" w:rsidRPr="005D1DF8">
              <w:rPr>
                <w:rStyle w:val="Hyperlink"/>
                <w:noProof/>
              </w:rPr>
              <w:t>Independence is necessary for effective regulatory supervision, but needs to be balanced by accountability</w:t>
            </w:r>
            <w:r w:rsidR="00B92722">
              <w:rPr>
                <w:noProof/>
                <w:webHidden/>
              </w:rPr>
              <w:tab/>
            </w:r>
            <w:r w:rsidR="00B92722">
              <w:rPr>
                <w:noProof/>
                <w:webHidden/>
              </w:rPr>
              <w:fldChar w:fldCharType="begin"/>
            </w:r>
            <w:r w:rsidR="00B92722">
              <w:rPr>
                <w:noProof/>
                <w:webHidden/>
              </w:rPr>
              <w:instrText xml:space="preserve"> PAGEREF _Toc384278508 \h </w:instrText>
            </w:r>
            <w:r w:rsidR="00B92722">
              <w:rPr>
                <w:noProof/>
                <w:webHidden/>
              </w:rPr>
            </w:r>
            <w:r w:rsidR="00B92722">
              <w:rPr>
                <w:noProof/>
                <w:webHidden/>
              </w:rPr>
              <w:fldChar w:fldCharType="separate"/>
            </w:r>
            <w:r w:rsidR="0050148E">
              <w:rPr>
                <w:noProof/>
                <w:webHidden/>
              </w:rPr>
              <w:t>27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09" w:history="1">
            <w:r w:rsidR="00B92722" w:rsidRPr="005D1DF8">
              <w:rPr>
                <w:rStyle w:val="Hyperlink"/>
                <w:noProof/>
              </w:rPr>
              <w:t>Overlaps and gaps require attention</w:t>
            </w:r>
            <w:r w:rsidR="00B92722">
              <w:rPr>
                <w:noProof/>
                <w:webHidden/>
              </w:rPr>
              <w:tab/>
            </w:r>
            <w:r w:rsidR="00B92722">
              <w:rPr>
                <w:noProof/>
                <w:webHidden/>
              </w:rPr>
              <w:fldChar w:fldCharType="begin"/>
            </w:r>
            <w:r w:rsidR="00B92722">
              <w:rPr>
                <w:noProof/>
                <w:webHidden/>
              </w:rPr>
              <w:instrText xml:space="preserve"> PAGEREF _Toc384278509 \h </w:instrText>
            </w:r>
            <w:r w:rsidR="00B92722">
              <w:rPr>
                <w:noProof/>
                <w:webHidden/>
              </w:rPr>
            </w:r>
            <w:r w:rsidR="00B92722">
              <w:rPr>
                <w:noProof/>
                <w:webHidden/>
              </w:rPr>
              <w:fldChar w:fldCharType="separate"/>
            </w:r>
            <w:r w:rsidR="0050148E">
              <w:rPr>
                <w:noProof/>
                <w:webHidden/>
              </w:rPr>
              <w:t>28</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510" w:history="1">
            <w:r w:rsidR="00B92722" w:rsidRPr="005D1DF8">
              <w:rPr>
                <w:rStyle w:val="Hyperlink"/>
                <w:noProof/>
              </w:rPr>
              <w:t>Part 3:  Sectoral issues</w:t>
            </w:r>
            <w:r w:rsidR="00B92722">
              <w:rPr>
                <w:noProof/>
                <w:webHidden/>
              </w:rPr>
              <w:tab/>
            </w:r>
            <w:r w:rsidR="00B92722">
              <w:rPr>
                <w:noProof/>
                <w:webHidden/>
              </w:rPr>
              <w:fldChar w:fldCharType="begin"/>
            </w:r>
            <w:r w:rsidR="00B92722">
              <w:rPr>
                <w:noProof/>
                <w:webHidden/>
              </w:rPr>
              <w:instrText xml:space="preserve"> PAGEREF _Toc384278510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0A480B">
          <w:pPr>
            <w:pStyle w:val="TOC2"/>
            <w:tabs>
              <w:tab w:val="right" w:leader="dot" w:pos="9016"/>
            </w:tabs>
            <w:rPr>
              <w:rFonts w:asciiTheme="minorHAnsi" w:eastAsiaTheme="minorEastAsia" w:hAnsiTheme="minorHAnsi" w:cstheme="minorBidi"/>
              <w:b w:val="0"/>
              <w:noProof/>
              <w:sz w:val="22"/>
              <w:lang w:eastAsia="en-AU"/>
            </w:rPr>
          </w:pPr>
          <w:hyperlink w:anchor="_Toc384278511" w:history="1">
            <w:r w:rsidR="00B92722" w:rsidRPr="005D1DF8">
              <w:rPr>
                <w:rStyle w:val="Hyperlink"/>
                <w:noProof/>
              </w:rPr>
              <w:t>Banking</w:t>
            </w:r>
            <w:r w:rsidR="00B92722">
              <w:rPr>
                <w:noProof/>
                <w:webHidden/>
              </w:rPr>
              <w:tab/>
            </w:r>
            <w:r w:rsidR="00B92722">
              <w:rPr>
                <w:noProof/>
                <w:webHidden/>
              </w:rPr>
              <w:fldChar w:fldCharType="begin"/>
            </w:r>
            <w:r w:rsidR="00B92722">
              <w:rPr>
                <w:noProof/>
                <w:webHidden/>
              </w:rPr>
              <w:instrText xml:space="preserve"> PAGEREF _Toc384278511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2"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_Toc384278512 \h </w:instrText>
            </w:r>
            <w:r w:rsidR="00B92722">
              <w:rPr>
                <w:noProof/>
                <w:webHidden/>
              </w:rPr>
            </w:r>
            <w:r w:rsidR="00B92722">
              <w:rPr>
                <w:noProof/>
                <w:webHidden/>
              </w:rPr>
              <w:fldChar w:fldCharType="separate"/>
            </w:r>
            <w:r w:rsidR="0050148E">
              <w:rPr>
                <w:noProof/>
                <w:webHidden/>
              </w:rPr>
              <w:t>32</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3" w:history="1">
            <w:r w:rsidR="00B92722" w:rsidRPr="005D1DF8">
              <w:rPr>
                <w:rStyle w:val="Hyperlink"/>
                <w:noProof/>
              </w:rPr>
              <w:t>The banking sector is concentrated but reasonably competitive</w:t>
            </w:r>
            <w:r w:rsidR="00B92722">
              <w:rPr>
                <w:noProof/>
                <w:webHidden/>
              </w:rPr>
              <w:tab/>
            </w:r>
            <w:r w:rsidR="00B92722">
              <w:rPr>
                <w:noProof/>
                <w:webHidden/>
              </w:rPr>
              <w:fldChar w:fldCharType="begin"/>
            </w:r>
            <w:r w:rsidR="00B92722">
              <w:rPr>
                <w:noProof/>
                <w:webHidden/>
              </w:rPr>
              <w:instrText xml:space="preserve"> PAGEREF _Toc384278513 \h </w:instrText>
            </w:r>
            <w:r w:rsidR="00B92722">
              <w:rPr>
                <w:noProof/>
                <w:webHidden/>
              </w:rPr>
            </w:r>
            <w:r w:rsidR="00B92722">
              <w:rPr>
                <w:noProof/>
                <w:webHidden/>
              </w:rPr>
              <w:fldChar w:fldCharType="separate"/>
            </w:r>
            <w:r w:rsidR="0050148E">
              <w:rPr>
                <w:noProof/>
                <w:webHidden/>
              </w:rPr>
              <w:t>33</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4" w:history="1">
            <w:r w:rsidR="00B92722" w:rsidRPr="005D1DF8">
              <w:rPr>
                <w:rStyle w:val="Hyperlink"/>
                <w:noProof/>
              </w:rPr>
              <w:t>The Financial Claims Scheme is not properly priced</w:t>
            </w:r>
            <w:r w:rsidR="00B92722">
              <w:rPr>
                <w:noProof/>
                <w:webHidden/>
              </w:rPr>
              <w:tab/>
            </w:r>
            <w:r w:rsidR="00B92722">
              <w:rPr>
                <w:noProof/>
                <w:webHidden/>
              </w:rPr>
              <w:fldChar w:fldCharType="begin"/>
            </w:r>
            <w:r w:rsidR="00B92722">
              <w:rPr>
                <w:noProof/>
                <w:webHidden/>
              </w:rPr>
              <w:instrText xml:space="preserve"> PAGEREF _Toc384278514 \h </w:instrText>
            </w:r>
            <w:r w:rsidR="00B92722">
              <w:rPr>
                <w:noProof/>
                <w:webHidden/>
              </w:rPr>
            </w:r>
            <w:r w:rsidR="00B92722">
              <w:rPr>
                <w:noProof/>
                <w:webHidden/>
              </w:rPr>
              <w:fldChar w:fldCharType="separate"/>
            </w:r>
            <w:r w:rsidR="0050148E">
              <w:rPr>
                <w:noProof/>
                <w:webHidden/>
              </w:rPr>
              <w:t>36</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5" w:history="1">
            <w:r w:rsidR="00B92722" w:rsidRPr="005D1DF8">
              <w:rPr>
                <w:rStyle w:val="Hyperlink"/>
                <w:noProof/>
              </w:rPr>
              <w:t>‘Too big to fail’ is distorting the financial system</w:t>
            </w:r>
            <w:r w:rsidR="00B92722">
              <w:rPr>
                <w:noProof/>
                <w:webHidden/>
              </w:rPr>
              <w:tab/>
            </w:r>
            <w:r w:rsidR="00B92722">
              <w:rPr>
                <w:noProof/>
                <w:webHidden/>
              </w:rPr>
              <w:fldChar w:fldCharType="begin"/>
            </w:r>
            <w:r w:rsidR="00B92722">
              <w:rPr>
                <w:noProof/>
                <w:webHidden/>
              </w:rPr>
              <w:instrText xml:space="preserve"> PAGEREF _Toc384278515 \h </w:instrText>
            </w:r>
            <w:r w:rsidR="00B92722">
              <w:rPr>
                <w:noProof/>
                <w:webHidden/>
              </w:rPr>
            </w:r>
            <w:r w:rsidR="00B92722">
              <w:rPr>
                <w:noProof/>
                <w:webHidden/>
              </w:rPr>
              <w:fldChar w:fldCharType="separate"/>
            </w:r>
            <w:r w:rsidR="0050148E">
              <w:rPr>
                <w:noProof/>
                <w:webHidden/>
              </w:rPr>
              <w:t>38</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6" w:history="1">
            <w:r w:rsidR="00B92722" w:rsidRPr="005D1DF8">
              <w:rPr>
                <w:rStyle w:val="Hyperlink"/>
                <w:noProof/>
              </w:rPr>
              <w:t>Bank’s capital requirements need to reflect risk</w:t>
            </w:r>
            <w:r w:rsidR="00B92722">
              <w:rPr>
                <w:noProof/>
                <w:webHidden/>
              </w:rPr>
              <w:tab/>
            </w:r>
            <w:r w:rsidR="00B92722">
              <w:rPr>
                <w:noProof/>
                <w:webHidden/>
              </w:rPr>
              <w:fldChar w:fldCharType="begin"/>
            </w:r>
            <w:r w:rsidR="00B92722">
              <w:rPr>
                <w:noProof/>
                <w:webHidden/>
              </w:rPr>
              <w:instrText xml:space="preserve"> PAGEREF _Toc384278516 \h </w:instrText>
            </w:r>
            <w:r w:rsidR="00B92722">
              <w:rPr>
                <w:noProof/>
                <w:webHidden/>
              </w:rPr>
            </w:r>
            <w:r w:rsidR="00B92722">
              <w:rPr>
                <w:noProof/>
                <w:webHidden/>
              </w:rPr>
              <w:fldChar w:fldCharType="separate"/>
            </w:r>
            <w:r w:rsidR="0050148E">
              <w:rPr>
                <w:noProof/>
                <w:webHidden/>
              </w:rPr>
              <w:t>41</w:t>
            </w:r>
            <w:r w:rsidR="00B92722">
              <w:rPr>
                <w:noProof/>
                <w:webHidden/>
              </w:rPr>
              <w:fldChar w:fldCharType="end"/>
            </w:r>
          </w:hyperlink>
        </w:p>
        <w:p w:rsidR="00B92722" w:rsidRDefault="000A480B">
          <w:pPr>
            <w:pStyle w:val="TOC2"/>
            <w:tabs>
              <w:tab w:val="right" w:leader="dot" w:pos="9016"/>
            </w:tabs>
            <w:rPr>
              <w:rFonts w:asciiTheme="minorHAnsi" w:eastAsiaTheme="minorEastAsia" w:hAnsiTheme="minorHAnsi" w:cstheme="minorBidi"/>
              <w:b w:val="0"/>
              <w:noProof/>
              <w:sz w:val="22"/>
              <w:lang w:eastAsia="en-AU"/>
            </w:rPr>
          </w:pPr>
          <w:hyperlink w:anchor="_Toc384278517" w:history="1">
            <w:r w:rsidR="00B92722" w:rsidRPr="005D1DF8">
              <w:rPr>
                <w:rStyle w:val="Hyperlink"/>
                <w:noProof/>
              </w:rPr>
              <w:t>Superannuation</w:t>
            </w:r>
            <w:r w:rsidR="00B92722">
              <w:rPr>
                <w:noProof/>
                <w:webHidden/>
              </w:rPr>
              <w:tab/>
            </w:r>
            <w:r w:rsidR="00B92722">
              <w:rPr>
                <w:noProof/>
                <w:webHidden/>
              </w:rPr>
              <w:fldChar w:fldCharType="begin"/>
            </w:r>
            <w:r w:rsidR="00B92722">
              <w:rPr>
                <w:noProof/>
                <w:webHidden/>
              </w:rPr>
              <w:instrText xml:space="preserve"> PAGEREF _Toc384278517 \h </w:instrText>
            </w:r>
            <w:r w:rsidR="00B92722">
              <w:rPr>
                <w:noProof/>
                <w:webHidden/>
              </w:rPr>
            </w:r>
            <w:r w:rsidR="00B92722">
              <w:rPr>
                <w:noProof/>
                <w:webHidden/>
              </w:rPr>
              <w:fldChar w:fldCharType="separate"/>
            </w:r>
            <w:r w:rsidR="0050148E">
              <w:rPr>
                <w:noProof/>
                <w:webHidden/>
              </w:rPr>
              <w:t>43</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8"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_Toc384278518 \h </w:instrText>
            </w:r>
            <w:r w:rsidR="00B92722">
              <w:rPr>
                <w:noProof/>
                <w:webHidden/>
              </w:rPr>
            </w:r>
            <w:r w:rsidR="00B92722">
              <w:rPr>
                <w:noProof/>
                <w:webHidden/>
              </w:rPr>
              <w:fldChar w:fldCharType="separate"/>
            </w:r>
            <w:r w:rsidR="0050148E">
              <w:rPr>
                <w:noProof/>
                <w:webHidden/>
              </w:rPr>
              <w:t>43</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19" w:history="1">
            <w:r w:rsidR="00B92722" w:rsidRPr="005D1DF8">
              <w:rPr>
                <w:rStyle w:val="Hyperlink"/>
                <w:noProof/>
              </w:rPr>
              <w:t>Superannuation is fundamental to Australia’s retirement income policy</w:t>
            </w:r>
            <w:r w:rsidR="00B92722">
              <w:rPr>
                <w:noProof/>
                <w:webHidden/>
              </w:rPr>
              <w:tab/>
            </w:r>
            <w:r w:rsidR="00B92722">
              <w:rPr>
                <w:noProof/>
                <w:webHidden/>
              </w:rPr>
              <w:fldChar w:fldCharType="begin"/>
            </w:r>
            <w:r w:rsidR="00B92722">
              <w:rPr>
                <w:noProof/>
                <w:webHidden/>
              </w:rPr>
              <w:instrText xml:space="preserve"> PAGEREF _Toc384278519 \h </w:instrText>
            </w:r>
            <w:r w:rsidR="00B92722">
              <w:rPr>
                <w:noProof/>
                <w:webHidden/>
              </w:rPr>
            </w:r>
            <w:r w:rsidR="00B92722">
              <w:rPr>
                <w:noProof/>
                <w:webHidden/>
              </w:rPr>
              <w:fldChar w:fldCharType="separate"/>
            </w:r>
            <w:r w:rsidR="0050148E">
              <w:rPr>
                <w:noProof/>
                <w:webHidden/>
              </w:rPr>
              <w:t>45</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0" w:history="1">
            <w:r w:rsidR="00B92722" w:rsidRPr="005D1DF8">
              <w:rPr>
                <w:rStyle w:val="Hyperlink"/>
                <w:noProof/>
              </w:rPr>
              <w:t>The superannuation sector has ballooned since Wallis</w:t>
            </w:r>
            <w:r w:rsidR="00B92722">
              <w:rPr>
                <w:noProof/>
                <w:webHidden/>
              </w:rPr>
              <w:tab/>
            </w:r>
            <w:r w:rsidR="00B92722">
              <w:rPr>
                <w:noProof/>
                <w:webHidden/>
              </w:rPr>
              <w:fldChar w:fldCharType="begin"/>
            </w:r>
            <w:r w:rsidR="00B92722">
              <w:rPr>
                <w:noProof/>
                <w:webHidden/>
              </w:rPr>
              <w:instrText xml:space="preserve"> PAGEREF _Toc384278520 \h </w:instrText>
            </w:r>
            <w:r w:rsidR="00B92722">
              <w:rPr>
                <w:noProof/>
                <w:webHidden/>
              </w:rPr>
            </w:r>
            <w:r w:rsidR="00B92722">
              <w:rPr>
                <w:noProof/>
                <w:webHidden/>
              </w:rPr>
              <w:fldChar w:fldCharType="separate"/>
            </w:r>
            <w:r w:rsidR="0050148E">
              <w:rPr>
                <w:noProof/>
                <w:webHidden/>
              </w:rPr>
              <w:t>47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1" w:history="1">
            <w:r w:rsidR="00B92722" w:rsidRPr="005D1DF8">
              <w:rPr>
                <w:rStyle w:val="Hyperlink"/>
                <w:noProof/>
              </w:rPr>
              <w:t>The superannuation sector is broadly conducive to the efficient allocation of investments</w:t>
            </w:r>
            <w:r w:rsidR="00B92722">
              <w:rPr>
                <w:noProof/>
                <w:webHidden/>
              </w:rPr>
              <w:tab/>
            </w:r>
            <w:r w:rsidR="00B92722">
              <w:rPr>
                <w:noProof/>
                <w:webHidden/>
              </w:rPr>
              <w:fldChar w:fldCharType="begin"/>
            </w:r>
            <w:r w:rsidR="00B92722">
              <w:rPr>
                <w:noProof/>
                <w:webHidden/>
              </w:rPr>
              <w:instrText xml:space="preserve"> PAGEREF _Toc384278521 \h </w:instrText>
            </w:r>
            <w:r w:rsidR="00B92722">
              <w:rPr>
                <w:noProof/>
                <w:webHidden/>
              </w:rPr>
            </w:r>
            <w:r w:rsidR="00B92722">
              <w:rPr>
                <w:noProof/>
                <w:webHidden/>
              </w:rPr>
              <w:fldChar w:fldCharType="separate"/>
            </w:r>
            <w:r w:rsidR="0050148E">
              <w:rPr>
                <w:noProof/>
                <w:webHidden/>
              </w:rPr>
              <w:t>48</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2" w:history="1">
            <w:r w:rsidR="00B92722" w:rsidRPr="005D1DF8">
              <w:rPr>
                <w:rStyle w:val="Hyperlink"/>
                <w:noProof/>
              </w:rPr>
              <w:t>Scope for the superannuation sector to improve dynamic efficiency</w:t>
            </w:r>
            <w:r w:rsidR="00B92722">
              <w:rPr>
                <w:noProof/>
                <w:webHidden/>
              </w:rPr>
              <w:tab/>
            </w:r>
            <w:r w:rsidR="00B92722">
              <w:rPr>
                <w:noProof/>
                <w:webHidden/>
              </w:rPr>
              <w:fldChar w:fldCharType="begin"/>
            </w:r>
            <w:r w:rsidR="00B92722">
              <w:rPr>
                <w:noProof/>
                <w:webHidden/>
              </w:rPr>
              <w:instrText xml:space="preserve"> PAGEREF _Toc384278522 \h </w:instrText>
            </w:r>
            <w:r w:rsidR="00B92722">
              <w:rPr>
                <w:noProof/>
                <w:webHidden/>
              </w:rPr>
            </w:r>
            <w:r w:rsidR="00B92722">
              <w:rPr>
                <w:noProof/>
                <w:webHidden/>
              </w:rPr>
              <w:fldChar w:fldCharType="separate"/>
            </w:r>
            <w:r w:rsidR="0050148E">
              <w:rPr>
                <w:noProof/>
                <w:webHidden/>
              </w:rPr>
              <w:t>53</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3" w:history="1">
            <w:r w:rsidR="00B92722" w:rsidRPr="005D1DF8">
              <w:rPr>
                <w:rStyle w:val="Hyperlink"/>
                <w:noProof/>
              </w:rPr>
              <w:t>Self-managed superannuation funds support consumer choice and should not be prudentially regulated</w:t>
            </w:r>
            <w:r w:rsidR="00B92722">
              <w:rPr>
                <w:noProof/>
                <w:webHidden/>
              </w:rPr>
              <w:tab/>
            </w:r>
            <w:r w:rsidR="00B92722">
              <w:rPr>
                <w:noProof/>
                <w:webHidden/>
              </w:rPr>
              <w:fldChar w:fldCharType="begin"/>
            </w:r>
            <w:r w:rsidR="00B92722">
              <w:rPr>
                <w:noProof/>
                <w:webHidden/>
              </w:rPr>
              <w:instrText xml:space="preserve"> PAGEREF _Toc384278523 \h </w:instrText>
            </w:r>
            <w:r w:rsidR="00B92722">
              <w:rPr>
                <w:noProof/>
                <w:webHidden/>
              </w:rPr>
            </w:r>
            <w:r w:rsidR="00B92722">
              <w:rPr>
                <w:noProof/>
                <w:webHidden/>
              </w:rPr>
              <w:fldChar w:fldCharType="separate"/>
            </w:r>
            <w:r w:rsidR="0050148E">
              <w:rPr>
                <w:noProof/>
                <w:webHidden/>
              </w:rPr>
              <w:t>55</w:t>
            </w:r>
            <w:r w:rsidR="00B92722">
              <w:rPr>
                <w:noProof/>
                <w:webHidden/>
              </w:rPr>
              <w:fldChar w:fldCharType="end"/>
            </w:r>
          </w:hyperlink>
        </w:p>
        <w:p w:rsidR="00B92722" w:rsidRDefault="000A480B">
          <w:pPr>
            <w:pStyle w:val="TOC2"/>
            <w:tabs>
              <w:tab w:val="right" w:leader="dot" w:pos="9016"/>
            </w:tabs>
            <w:rPr>
              <w:rFonts w:asciiTheme="minorHAnsi" w:eastAsiaTheme="minorEastAsia" w:hAnsiTheme="minorHAnsi" w:cstheme="minorBidi"/>
              <w:b w:val="0"/>
              <w:noProof/>
              <w:sz w:val="22"/>
              <w:lang w:eastAsia="en-AU"/>
            </w:rPr>
          </w:pPr>
          <w:hyperlink w:anchor="_Toc384278524" w:history="1">
            <w:r w:rsidR="00B92722" w:rsidRPr="005D1DF8">
              <w:rPr>
                <w:rStyle w:val="Hyperlink"/>
                <w:noProof/>
              </w:rPr>
              <w:t>Insurance</w:t>
            </w:r>
            <w:r w:rsidR="00B92722">
              <w:rPr>
                <w:noProof/>
                <w:webHidden/>
              </w:rPr>
              <w:tab/>
            </w:r>
            <w:r w:rsidR="00B92722">
              <w:rPr>
                <w:noProof/>
                <w:webHidden/>
              </w:rPr>
              <w:fldChar w:fldCharType="begin"/>
            </w:r>
            <w:r w:rsidR="00B92722">
              <w:rPr>
                <w:noProof/>
                <w:webHidden/>
              </w:rPr>
              <w:instrText xml:space="preserve"> PAGEREF _Toc384278524 \h </w:instrText>
            </w:r>
            <w:r w:rsidR="00B92722">
              <w:rPr>
                <w:noProof/>
                <w:webHidden/>
              </w:rPr>
            </w:r>
            <w:r w:rsidR="00B92722">
              <w:rPr>
                <w:noProof/>
                <w:webHidden/>
              </w:rPr>
              <w:fldChar w:fldCharType="separate"/>
            </w:r>
            <w:r w:rsidR="0050148E">
              <w:rPr>
                <w:noProof/>
                <w:webHidden/>
              </w:rPr>
              <w:t>57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5"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_Toc384278525 \h </w:instrText>
            </w:r>
            <w:r w:rsidR="00B92722">
              <w:rPr>
                <w:noProof/>
                <w:webHidden/>
              </w:rPr>
            </w:r>
            <w:r w:rsidR="00B92722">
              <w:rPr>
                <w:noProof/>
                <w:webHidden/>
              </w:rPr>
              <w:fldChar w:fldCharType="separate"/>
            </w:r>
            <w:r w:rsidR="0050148E">
              <w:rPr>
                <w:noProof/>
                <w:webHidden/>
              </w:rPr>
              <w:t>57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6" w:history="1">
            <w:r w:rsidR="00B92722" w:rsidRPr="005D1DF8">
              <w:rPr>
                <w:rStyle w:val="Hyperlink"/>
                <w:noProof/>
              </w:rPr>
              <w:t>Australia’s life insurance sector is heavily influenced by the design of income support systems</w:t>
            </w:r>
            <w:r w:rsidR="00B92722">
              <w:rPr>
                <w:noProof/>
                <w:webHidden/>
              </w:rPr>
              <w:tab/>
            </w:r>
            <w:r w:rsidR="00B92722">
              <w:rPr>
                <w:noProof/>
                <w:webHidden/>
              </w:rPr>
              <w:fldChar w:fldCharType="begin"/>
            </w:r>
            <w:r w:rsidR="00B92722">
              <w:rPr>
                <w:noProof/>
                <w:webHidden/>
              </w:rPr>
              <w:instrText xml:space="preserve"> PAGEREF _Toc384278526 \h </w:instrText>
            </w:r>
            <w:r w:rsidR="00B92722">
              <w:rPr>
                <w:noProof/>
                <w:webHidden/>
              </w:rPr>
            </w:r>
            <w:r w:rsidR="00B92722">
              <w:rPr>
                <w:noProof/>
                <w:webHidden/>
              </w:rPr>
              <w:fldChar w:fldCharType="separate"/>
            </w:r>
            <w:r w:rsidR="0050148E">
              <w:rPr>
                <w:noProof/>
                <w:webHidden/>
              </w:rPr>
              <w:t>58</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7" w:history="1">
            <w:r w:rsidR="00B92722" w:rsidRPr="005D1DF8">
              <w:rPr>
                <w:rStyle w:val="Hyperlink"/>
                <w:noProof/>
              </w:rPr>
              <w:t>Challenging business conditions for some life insurance sectors are being addressed</w:t>
            </w:r>
            <w:r w:rsidR="00B92722">
              <w:rPr>
                <w:noProof/>
                <w:webHidden/>
              </w:rPr>
              <w:tab/>
            </w:r>
            <w:r w:rsidR="00B92722">
              <w:rPr>
                <w:noProof/>
                <w:webHidden/>
              </w:rPr>
              <w:fldChar w:fldCharType="begin"/>
            </w:r>
            <w:r w:rsidR="00B92722">
              <w:rPr>
                <w:noProof/>
                <w:webHidden/>
              </w:rPr>
              <w:instrText xml:space="preserve"> PAGEREF _Toc384278527 \h </w:instrText>
            </w:r>
            <w:r w:rsidR="00B92722">
              <w:rPr>
                <w:noProof/>
                <w:webHidden/>
              </w:rPr>
            </w:r>
            <w:r w:rsidR="00B92722">
              <w:rPr>
                <w:noProof/>
                <w:webHidden/>
              </w:rPr>
              <w:fldChar w:fldCharType="separate"/>
            </w:r>
            <w:r w:rsidR="0050148E">
              <w:rPr>
                <w:noProof/>
                <w:webHidden/>
              </w:rPr>
              <w:t>58</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8" w:history="1">
            <w:r w:rsidR="00B92722" w:rsidRPr="005D1DF8">
              <w:rPr>
                <w:rStyle w:val="Hyperlink"/>
                <w:noProof/>
              </w:rPr>
              <w:t>Pricing of general insurance products increasingly reflects idiosyncratic risks</w:t>
            </w:r>
            <w:r w:rsidR="00B92722">
              <w:rPr>
                <w:noProof/>
                <w:webHidden/>
              </w:rPr>
              <w:tab/>
            </w:r>
            <w:r w:rsidR="00B92722">
              <w:rPr>
                <w:noProof/>
                <w:webHidden/>
              </w:rPr>
              <w:fldChar w:fldCharType="begin"/>
            </w:r>
            <w:r w:rsidR="00B92722">
              <w:rPr>
                <w:noProof/>
                <w:webHidden/>
              </w:rPr>
              <w:instrText xml:space="preserve"> PAGEREF _Toc384278528 \h </w:instrText>
            </w:r>
            <w:r w:rsidR="00B92722">
              <w:rPr>
                <w:noProof/>
                <w:webHidden/>
              </w:rPr>
            </w:r>
            <w:r w:rsidR="00B92722">
              <w:rPr>
                <w:noProof/>
                <w:webHidden/>
              </w:rPr>
              <w:fldChar w:fldCharType="separate"/>
            </w:r>
            <w:r w:rsidR="0050148E">
              <w:rPr>
                <w:noProof/>
                <w:webHidden/>
              </w:rPr>
              <w:t>59</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29" w:history="1">
            <w:r w:rsidR="00B92722" w:rsidRPr="005D1DF8">
              <w:rPr>
                <w:rStyle w:val="Hyperlink"/>
                <w:noProof/>
              </w:rPr>
              <w:t>More precise pricing of risk is impacting on affordability</w:t>
            </w:r>
            <w:r w:rsidR="00B92722">
              <w:rPr>
                <w:noProof/>
                <w:webHidden/>
              </w:rPr>
              <w:tab/>
            </w:r>
            <w:r w:rsidR="00B92722">
              <w:rPr>
                <w:noProof/>
                <w:webHidden/>
              </w:rPr>
              <w:fldChar w:fldCharType="begin"/>
            </w:r>
            <w:r w:rsidR="00B92722">
              <w:rPr>
                <w:noProof/>
                <w:webHidden/>
              </w:rPr>
              <w:instrText xml:space="preserve"> PAGEREF _Toc384278529 \h </w:instrText>
            </w:r>
            <w:r w:rsidR="00B92722">
              <w:rPr>
                <w:noProof/>
                <w:webHidden/>
              </w:rPr>
            </w:r>
            <w:r w:rsidR="00B92722">
              <w:rPr>
                <w:noProof/>
                <w:webHidden/>
              </w:rPr>
              <w:fldChar w:fldCharType="separate"/>
            </w:r>
            <w:r w:rsidR="0050148E">
              <w:rPr>
                <w:noProof/>
                <w:webHidden/>
              </w:rPr>
              <w:t>60</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30" w:history="1">
            <w:r w:rsidR="00B92722" w:rsidRPr="005D1DF8">
              <w:rPr>
                <w:rStyle w:val="Hyperlink"/>
                <w:noProof/>
              </w:rPr>
              <w:t>The regulatory architecture for the insurance sector is broadly appropriate, though options for greater competition should be explored</w:t>
            </w:r>
            <w:r w:rsidR="00B92722">
              <w:rPr>
                <w:noProof/>
                <w:webHidden/>
              </w:rPr>
              <w:tab/>
            </w:r>
            <w:r w:rsidR="00B92722">
              <w:rPr>
                <w:noProof/>
                <w:webHidden/>
              </w:rPr>
              <w:fldChar w:fldCharType="begin"/>
            </w:r>
            <w:r w:rsidR="00B92722">
              <w:rPr>
                <w:noProof/>
                <w:webHidden/>
              </w:rPr>
              <w:instrText xml:space="preserve"> PAGEREF _Toc384278530 \h </w:instrText>
            </w:r>
            <w:r w:rsidR="00B92722">
              <w:rPr>
                <w:noProof/>
                <w:webHidden/>
              </w:rPr>
            </w:r>
            <w:r w:rsidR="00B92722">
              <w:rPr>
                <w:noProof/>
                <w:webHidden/>
              </w:rPr>
              <w:fldChar w:fldCharType="separate"/>
            </w:r>
            <w:r w:rsidR="0050148E">
              <w:rPr>
                <w:noProof/>
                <w:webHidden/>
              </w:rPr>
              <w:t>63</w:t>
            </w:r>
            <w:r w:rsidR="00B92722">
              <w:rPr>
                <w:noProof/>
                <w:webHidden/>
              </w:rPr>
              <w:fldChar w:fldCharType="end"/>
            </w:r>
          </w:hyperlink>
        </w:p>
        <w:p w:rsidR="00B92722" w:rsidRDefault="000A480B">
          <w:pPr>
            <w:pStyle w:val="TOC2"/>
            <w:tabs>
              <w:tab w:val="right" w:leader="dot" w:pos="9016"/>
            </w:tabs>
            <w:rPr>
              <w:rFonts w:asciiTheme="minorHAnsi" w:eastAsiaTheme="minorEastAsia" w:hAnsiTheme="minorHAnsi" w:cstheme="minorBidi"/>
              <w:b w:val="0"/>
              <w:noProof/>
              <w:sz w:val="22"/>
              <w:lang w:eastAsia="en-AU"/>
            </w:rPr>
          </w:pPr>
          <w:hyperlink w:anchor="_Toc384278531" w:history="1">
            <w:r w:rsidR="00B92722" w:rsidRPr="005D1DF8">
              <w:rPr>
                <w:rStyle w:val="Hyperlink"/>
                <w:noProof/>
              </w:rPr>
              <w:t>Capital markets</w:t>
            </w:r>
            <w:r w:rsidR="00B92722">
              <w:rPr>
                <w:noProof/>
                <w:webHidden/>
              </w:rPr>
              <w:tab/>
            </w:r>
            <w:r w:rsidR="00B92722">
              <w:rPr>
                <w:noProof/>
                <w:webHidden/>
              </w:rPr>
              <w:fldChar w:fldCharType="begin"/>
            </w:r>
            <w:r w:rsidR="00B92722">
              <w:rPr>
                <w:noProof/>
                <w:webHidden/>
              </w:rPr>
              <w:instrText xml:space="preserve"> PAGEREF _Toc384278531 \h </w:instrText>
            </w:r>
            <w:r w:rsidR="00B92722">
              <w:rPr>
                <w:noProof/>
                <w:webHidden/>
              </w:rPr>
            </w:r>
            <w:r w:rsidR="00B92722">
              <w:rPr>
                <w:noProof/>
                <w:webHidden/>
              </w:rPr>
              <w:fldChar w:fldCharType="separate"/>
            </w:r>
            <w:r w:rsidR="0050148E">
              <w:rPr>
                <w:noProof/>
                <w:webHidden/>
              </w:rPr>
              <w:t>67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32" w:history="1">
            <w:r w:rsidR="00B92722" w:rsidRPr="005D1DF8">
              <w:rPr>
                <w:rStyle w:val="Hyperlink"/>
                <w:noProof/>
              </w:rPr>
              <w:t>Key Points</w:t>
            </w:r>
            <w:r w:rsidR="00B92722">
              <w:rPr>
                <w:noProof/>
                <w:webHidden/>
              </w:rPr>
              <w:tab/>
            </w:r>
            <w:r w:rsidR="00B92722">
              <w:rPr>
                <w:noProof/>
                <w:webHidden/>
              </w:rPr>
              <w:fldChar w:fldCharType="begin"/>
            </w:r>
            <w:r w:rsidR="00B92722">
              <w:rPr>
                <w:noProof/>
                <w:webHidden/>
              </w:rPr>
              <w:instrText xml:space="preserve"> PAGEREF _Toc384278532 \h </w:instrText>
            </w:r>
            <w:r w:rsidR="00B92722">
              <w:rPr>
                <w:noProof/>
                <w:webHidden/>
              </w:rPr>
            </w:r>
            <w:r w:rsidR="00B92722">
              <w:rPr>
                <w:noProof/>
                <w:webHidden/>
              </w:rPr>
              <w:fldChar w:fldCharType="separate"/>
            </w:r>
            <w:r w:rsidR="0050148E">
              <w:rPr>
                <w:noProof/>
                <w:webHidden/>
              </w:rPr>
              <w:t>67</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33" w:history="1">
            <w:r w:rsidR="00B92722" w:rsidRPr="005D1DF8">
              <w:rPr>
                <w:rStyle w:val="Hyperlink"/>
                <w:noProof/>
              </w:rPr>
              <w:t>Australian capital markets have evolved since Wallis</w:t>
            </w:r>
            <w:r w:rsidR="00B92722">
              <w:rPr>
                <w:noProof/>
                <w:webHidden/>
              </w:rPr>
              <w:tab/>
            </w:r>
            <w:r w:rsidR="00B92722">
              <w:rPr>
                <w:noProof/>
                <w:webHidden/>
              </w:rPr>
              <w:fldChar w:fldCharType="begin"/>
            </w:r>
            <w:r w:rsidR="00B92722">
              <w:rPr>
                <w:noProof/>
                <w:webHidden/>
              </w:rPr>
              <w:instrText xml:space="preserve"> PAGEREF _Toc384278533 \h </w:instrText>
            </w:r>
            <w:r w:rsidR="00B92722">
              <w:rPr>
                <w:noProof/>
                <w:webHidden/>
              </w:rPr>
            </w:r>
            <w:r w:rsidR="00B92722">
              <w:rPr>
                <w:noProof/>
                <w:webHidden/>
              </w:rPr>
              <w:fldChar w:fldCharType="separate"/>
            </w:r>
            <w:r w:rsidR="0050148E">
              <w:rPr>
                <w:noProof/>
                <w:webHidden/>
              </w:rPr>
              <w:t>68</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34" w:history="1">
            <w:r w:rsidR="00B92722" w:rsidRPr="005D1DF8">
              <w:rPr>
                <w:rStyle w:val="Hyperlink"/>
                <w:noProof/>
              </w:rPr>
              <w:t>Regulation of capital markets has been flexible in responding to market evolution</w:t>
            </w:r>
            <w:r w:rsidR="00B92722">
              <w:rPr>
                <w:noProof/>
                <w:webHidden/>
              </w:rPr>
              <w:tab/>
            </w:r>
            <w:r w:rsidR="00B92722">
              <w:rPr>
                <w:noProof/>
                <w:webHidden/>
              </w:rPr>
              <w:fldChar w:fldCharType="begin"/>
            </w:r>
            <w:r w:rsidR="00B92722">
              <w:rPr>
                <w:noProof/>
                <w:webHidden/>
              </w:rPr>
              <w:instrText xml:space="preserve"> PAGEREF _Toc384278534 \h </w:instrText>
            </w:r>
            <w:r w:rsidR="00B92722">
              <w:rPr>
                <w:noProof/>
                <w:webHidden/>
              </w:rPr>
            </w:r>
            <w:r w:rsidR="00B92722">
              <w:rPr>
                <w:noProof/>
                <w:webHidden/>
              </w:rPr>
              <w:fldChar w:fldCharType="separate"/>
            </w:r>
            <w:r w:rsidR="0050148E">
              <w:rPr>
                <w:noProof/>
                <w:webHidden/>
              </w:rPr>
              <w:t>69</w:t>
            </w:r>
            <w:r w:rsidR="00B92722">
              <w:rPr>
                <w:noProof/>
                <w:webHidden/>
              </w:rPr>
              <w:fldChar w:fldCharType="end"/>
            </w:r>
          </w:hyperlink>
        </w:p>
        <w:p w:rsidR="00B92722" w:rsidRDefault="000A480B">
          <w:pPr>
            <w:pStyle w:val="TOC3"/>
            <w:tabs>
              <w:tab w:val="right" w:leader="dot" w:pos="9016"/>
            </w:tabs>
            <w:rPr>
              <w:rFonts w:asciiTheme="minorHAnsi" w:eastAsiaTheme="minorEastAsia" w:hAnsiTheme="minorHAnsi" w:cstheme="minorBidi"/>
              <w:noProof/>
              <w:sz w:val="22"/>
              <w:lang w:eastAsia="en-AU"/>
            </w:rPr>
          </w:pPr>
          <w:hyperlink w:anchor="_Toc384278535" w:history="1">
            <w:r w:rsidR="00B92722" w:rsidRPr="005D1DF8">
              <w:rPr>
                <w:rStyle w:val="Hyperlink"/>
                <w:noProof/>
              </w:rPr>
              <w:t>Cross border provision of clearing services highlights the tension between stability and efficiency</w:t>
            </w:r>
            <w:r w:rsidR="00B92722">
              <w:rPr>
                <w:noProof/>
                <w:webHidden/>
              </w:rPr>
              <w:tab/>
            </w:r>
            <w:r w:rsidR="00B92722">
              <w:rPr>
                <w:noProof/>
                <w:webHidden/>
              </w:rPr>
              <w:fldChar w:fldCharType="begin"/>
            </w:r>
            <w:r w:rsidR="00B92722">
              <w:rPr>
                <w:noProof/>
                <w:webHidden/>
              </w:rPr>
              <w:instrText xml:space="preserve"> PAGEREF _Toc384278535 \h </w:instrText>
            </w:r>
            <w:r w:rsidR="00B92722">
              <w:rPr>
                <w:noProof/>
                <w:webHidden/>
              </w:rPr>
            </w:r>
            <w:r w:rsidR="00B92722">
              <w:rPr>
                <w:noProof/>
                <w:webHidden/>
              </w:rPr>
              <w:fldChar w:fldCharType="separate"/>
            </w:r>
            <w:r w:rsidR="0050148E">
              <w:rPr>
                <w:noProof/>
                <w:webHidden/>
              </w:rPr>
              <w:t>70</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536" w:history="1">
            <w:r w:rsidR="00B92722" w:rsidRPr="005D1DF8">
              <w:rPr>
                <w:rStyle w:val="Hyperlink"/>
                <w:noProof/>
              </w:rPr>
              <w:t>Appendix: Australia’s saving and investment balance</w:t>
            </w:r>
            <w:r w:rsidR="00B92722">
              <w:rPr>
                <w:noProof/>
                <w:webHidden/>
              </w:rPr>
              <w:tab/>
            </w:r>
            <w:r w:rsidR="00B92722">
              <w:rPr>
                <w:noProof/>
                <w:webHidden/>
              </w:rPr>
              <w:fldChar w:fldCharType="begin"/>
            </w:r>
            <w:r w:rsidR="00B92722">
              <w:rPr>
                <w:noProof/>
                <w:webHidden/>
              </w:rPr>
              <w:instrText xml:space="preserve"> PAGEREF _Toc384278536 \h </w:instrText>
            </w:r>
            <w:r w:rsidR="00B92722">
              <w:rPr>
                <w:noProof/>
                <w:webHidden/>
              </w:rPr>
            </w:r>
            <w:r w:rsidR="00B92722">
              <w:rPr>
                <w:noProof/>
                <w:webHidden/>
              </w:rPr>
              <w:fldChar w:fldCharType="separate"/>
            </w:r>
            <w:r w:rsidR="0050148E">
              <w:rPr>
                <w:noProof/>
                <w:webHidden/>
              </w:rPr>
              <w:t>73</w:t>
            </w:r>
            <w:r w:rsidR="00B92722">
              <w:rPr>
                <w:noProof/>
                <w:webHidden/>
              </w:rPr>
              <w:fldChar w:fldCharType="end"/>
            </w:r>
          </w:hyperlink>
        </w:p>
        <w:p w:rsidR="00B92722" w:rsidRDefault="000A480B">
          <w:pPr>
            <w:pStyle w:val="TOC1"/>
            <w:rPr>
              <w:rFonts w:asciiTheme="minorHAnsi" w:eastAsiaTheme="minorEastAsia" w:hAnsiTheme="minorHAnsi" w:cstheme="minorBidi"/>
              <w:b w:val="0"/>
              <w:noProof/>
              <w:sz w:val="22"/>
              <w:lang w:eastAsia="en-AU"/>
            </w:rPr>
          </w:pPr>
          <w:hyperlink w:anchor="_Toc384278537" w:history="1">
            <w:r w:rsidR="00B92722" w:rsidRPr="005D1DF8">
              <w:rPr>
                <w:rStyle w:val="Hyperlink"/>
                <w:noProof/>
              </w:rPr>
              <w:t>References</w:t>
            </w:r>
            <w:r w:rsidR="00B92722">
              <w:rPr>
                <w:noProof/>
                <w:webHidden/>
              </w:rPr>
              <w:tab/>
            </w:r>
            <w:r w:rsidR="00B92722">
              <w:rPr>
                <w:noProof/>
                <w:webHidden/>
              </w:rPr>
              <w:fldChar w:fldCharType="begin"/>
            </w:r>
            <w:r w:rsidR="00B92722">
              <w:rPr>
                <w:noProof/>
                <w:webHidden/>
              </w:rPr>
              <w:instrText xml:space="preserve"> PAGEREF _Toc384278537 \h </w:instrText>
            </w:r>
            <w:r w:rsidR="00B92722">
              <w:rPr>
                <w:noProof/>
                <w:webHidden/>
              </w:rPr>
            </w:r>
            <w:r w:rsidR="00B92722">
              <w:rPr>
                <w:noProof/>
                <w:webHidden/>
              </w:rPr>
              <w:fldChar w:fldCharType="separate"/>
            </w:r>
            <w:r w:rsidR="0050148E">
              <w:rPr>
                <w:noProof/>
                <w:webHidden/>
              </w:rPr>
              <w:t>84</w:t>
            </w:r>
            <w:r w:rsidR="00B92722">
              <w:rPr>
                <w:noProof/>
                <w:webHidden/>
              </w:rPr>
              <w:fldChar w:fldCharType="end"/>
            </w:r>
          </w:hyperlink>
        </w:p>
        <w:p w:rsidR="0003563D" w:rsidRDefault="0003563D" w:rsidP="0003563D">
          <w:pPr>
            <w:rPr>
              <w:b/>
              <w:bCs/>
              <w:noProof/>
            </w:rPr>
          </w:pPr>
          <w:r>
            <w:rPr>
              <w:b/>
              <w:bCs/>
              <w:noProof/>
            </w:rPr>
            <w:fldChar w:fldCharType="end"/>
          </w:r>
        </w:p>
      </w:sdtContent>
    </w:sdt>
    <w:p w:rsidR="00064805" w:rsidRDefault="00064805">
      <w:pPr>
        <w:spacing w:after="0" w:line="240" w:lineRule="auto"/>
        <w:rPr>
          <w:rFonts w:ascii="Arial Bold" w:hAnsi="Arial Bold"/>
          <w:color w:val="000080"/>
          <w:sz w:val="48"/>
          <w:szCs w:val="48"/>
        </w:rPr>
      </w:pPr>
      <w:bookmarkStart w:id="3" w:name="_Toc383531483"/>
      <w:bookmarkStart w:id="4" w:name="_Toc383703270"/>
      <w:bookmarkStart w:id="5" w:name="_Toc383704154"/>
      <w:r>
        <w:br w:type="page"/>
      </w:r>
    </w:p>
    <w:p w:rsidR="00A420D1" w:rsidRPr="00ED5CB0" w:rsidRDefault="00A420D1" w:rsidP="0003563D">
      <w:pPr>
        <w:pStyle w:val="Heading1"/>
      </w:pPr>
      <w:bookmarkStart w:id="6" w:name="_Toc383783822"/>
      <w:bookmarkStart w:id="7" w:name="_Toc383784626"/>
      <w:bookmarkStart w:id="8" w:name="_Toc384121483"/>
      <w:bookmarkStart w:id="9" w:name="_Toc384123709"/>
      <w:bookmarkStart w:id="10" w:name="_Toc384132395"/>
      <w:bookmarkStart w:id="11" w:name="_Toc384205153"/>
      <w:bookmarkStart w:id="12" w:name="_Toc384278489"/>
      <w:r>
        <w:lastRenderedPageBreak/>
        <w:t>Introduction</w:t>
      </w:r>
      <w:bookmarkEnd w:id="3"/>
      <w:bookmarkEnd w:id="4"/>
      <w:bookmarkEnd w:id="5"/>
      <w:bookmarkEnd w:id="6"/>
      <w:bookmarkEnd w:id="7"/>
      <w:bookmarkEnd w:id="8"/>
      <w:bookmarkEnd w:id="9"/>
      <w:bookmarkEnd w:id="10"/>
      <w:bookmarkEnd w:id="11"/>
      <w:bookmarkEnd w:id="12"/>
    </w:p>
    <w:p w:rsidR="00A420D1" w:rsidRDefault="006317B2" w:rsidP="00D33323">
      <w:pPr>
        <w:spacing w:after="0" w:line="288" w:lineRule="auto"/>
      </w:pPr>
      <w:r>
        <w:t>T</w:t>
      </w:r>
      <w:r w:rsidR="00737172">
        <w:t xml:space="preserve">his submission responds </w:t>
      </w:r>
      <w:r w:rsidR="00E639AC">
        <w:t xml:space="preserve">to the Terms of Reference for the Inquiry by canvassing the performance of the </w:t>
      </w:r>
      <w:r w:rsidR="00000222">
        <w:t xml:space="preserve">Australian </w:t>
      </w:r>
      <w:r w:rsidR="00E639AC">
        <w:t>financial system and identifying key issues to be considered by the Inquiry.</w:t>
      </w:r>
      <w:r w:rsidR="00A420D1">
        <w:t xml:space="preserve">  The submission is structured as follows:</w:t>
      </w:r>
    </w:p>
    <w:p w:rsidR="00A420D1" w:rsidRDefault="00A420D1" w:rsidP="00D33323">
      <w:pPr>
        <w:spacing w:after="0" w:line="288" w:lineRule="auto"/>
      </w:pPr>
    </w:p>
    <w:p w:rsidR="00A420D1" w:rsidRDefault="00A420D1" w:rsidP="00D33323">
      <w:pPr>
        <w:spacing w:after="240" w:line="288" w:lineRule="auto"/>
        <w:ind w:left="720"/>
      </w:pPr>
      <w:r>
        <w:t xml:space="preserve">An </w:t>
      </w:r>
      <w:r w:rsidRPr="00A420D1">
        <w:rPr>
          <w:b/>
        </w:rPr>
        <w:t>Executive Summary</w:t>
      </w:r>
      <w:r>
        <w:t xml:space="preserve"> highlights the priority issues discussed in more depth in the submission.  </w:t>
      </w:r>
    </w:p>
    <w:p w:rsidR="00A420D1" w:rsidRDefault="00A420D1" w:rsidP="00D33323">
      <w:pPr>
        <w:spacing w:after="240" w:line="288" w:lineRule="auto"/>
        <w:ind w:left="720"/>
      </w:pPr>
      <w:r>
        <w:t xml:space="preserve">Part 1 outlines the </w:t>
      </w:r>
      <w:r w:rsidRPr="00A420D1">
        <w:rPr>
          <w:b/>
        </w:rPr>
        <w:t>objectives and functions of the financial system</w:t>
      </w:r>
      <w:r>
        <w:t xml:space="preserve">.  This part considers some of the </w:t>
      </w:r>
      <w:r w:rsidR="00934587">
        <w:t>principles</w:t>
      </w:r>
      <w:r>
        <w:t xml:space="preserve"> associated with the regulation of the financial system.  The discussion of the underlying </w:t>
      </w:r>
      <w:r w:rsidR="00934587">
        <w:t>rationale for regulation</w:t>
      </w:r>
      <w:r>
        <w:t xml:space="preserve"> and how current arrangements have evolved since the previous financial system inquiry assists in considering the appropriate regulatory arrangements for the financial system.</w:t>
      </w:r>
    </w:p>
    <w:p w:rsidR="00A420D1" w:rsidRDefault="00A420D1" w:rsidP="00D33323">
      <w:pPr>
        <w:spacing w:after="240" w:line="288" w:lineRule="auto"/>
        <w:ind w:left="720"/>
      </w:pPr>
      <w:r>
        <w:t xml:space="preserve">Part 2 highlights issues affecting </w:t>
      </w:r>
      <w:r w:rsidR="00934587">
        <w:t xml:space="preserve">the effectiveness of </w:t>
      </w:r>
      <w:r>
        <w:t xml:space="preserve">Australia’s </w:t>
      </w:r>
      <w:r w:rsidRPr="00A420D1">
        <w:rPr>
          <w:b/>
        </w:rPr>
        <w:t>regulatory architecture</w:t>
      </w:r>
      <w:r w:rsidRPr="00A420D1">
        <w:t>.</w:t>
      </w:r>
      <w:r w:rsidR="00934587">
        <w:t xml:space="preserve">  A discussion of the regulatory architecture complements previous sections dealing with the strengths of Australia’s regulatory approach by highlighting areas that warrant further consideration.</w:t>
      </w:r>
    </w:p>
    <w:p w:rsidR="00A420D1" w:rsidRDefault="00A420D1" w:rsidP="00D33323">
      <w:pPr>
        <w:spacing w:after="240" w:line="288" w:lineRule="auto"/>
        <w:ind w:left="720"/>
      </w:pPr>
      <w:r>
        <w:t xml:space="preserve">Part 3 canvasses the priority </w:t>
      </w:r>
      <w:r w:rsidRPr="00A420D1">
        <w:rPr>
          <w:b/>
        </w:rPr>
        <w:t>sectoral issues</w:t>
      </w:r>
      <w:r>
        <w:t xml:space="preserve"> affecting banking, superannuation, insurance and capital markets, drawing on the discussion of the objectives of the financial system and the principles of effective regulation in earlier parts.</w:t>
      </w:r>
    </w:p>
    <w:p w:rsidR="00A420D1" w:rsidRDefault="00A420D1" w:rsidP="00D33323">
      <w:pPr>
        <w:spacing w:after="240" w:line="288" w:lineRule="auto"/>
        <w:ind w:left="720"/>
      </w:pPr>
      <w:r>
        <w:t xml:space="preserve">An Appendix covering </w:t>
      </w:r>
      <w:r w:rsidRPr="00763322">
        <w:rPr>
          <w:b/>
        </w:rPr>
        <w:t>Australia’s saving and investment balance</w:t>
      </w:r>
      <w:r>
        <w:t xml:space="preserve"> </w:t>
      </w:r>
      <w:r w:rsidR="002F2752">
        <w:t xml:space="preserve">is provided to highlight the </w:t>
      </w:r>
      <w:r w:rsidR="00D935E1">
        <w:t>important</w:t>
      </w:r>
      <w:r w:rsidR="002F2752">
        <w:t xml:space="preserve"> </w:t>
      </w:r>
      <w:r w:rsidR="00D935E1">
        <w:t xml:space="preserve">role Australia’s open capital account plays in </w:t>
      </w:r>
      <w:r w:rsidR="00AD6FA7">
        <w:t xml:space="preserve">enabling the Australian economy to </w:t>
      </w:r>
      <w:r w:rsidR="002F2752">
        <w:t>access global capital markets</w:t>
      </w:r>
      <w:r w:rsidR="00AD6FA7">
        <w:t xml:space="preserve">, </w:t>
      </w:r>
      <w:r w:rsidR="00D935E1">
        <w:t xml:space="preserve">facilitating investment that has </w:t>
      </w:r>
      <w:r w:rsidR="00AD6FA7">
        <w:t xml:space="preserve">boosted Australia’s </w:t>
      </w:r>
      <w:r w:rsidR="00D935E1">
        <w:t>capital stock</w:t>
      </w:r>
      <w:r w:rsidR="00AD6FA7">
        <w:t xml:space="preserve"> and productivity</w:t>
      </w:r>
      <w:r w:rsidR="002F2752">
        <w:t>.</w:t>
      </w:r>
    </w:p>
    <w:p w:rsidR="002F2752" w:rsidRDefault="002F2752" w:rsidP="00A420D1">
      <w:pPr>
        <w:spacing w:after="0" w:line="240" w:lineRule="auto"/>
        <w:ind w:left="720"/>
      </w:pPr>
    </w:p>
    <w:p w:rsidR="002F2752" w:rsidRDefault="002F2752">
      <w:pPr>
        <w:spacing w:after="0" w:line="240" w:lineRule="auto"/>
        <w:rPr>
          <w:rFonts w:ascii="Arial Bold" w:hAnsi="Arial Bold"/>
          <w:color w:val="000080"/>
          <w:sz w:val="48"/>
          <w:szCs w:val="48"/>
        </w:rPr>
      </w:pPr>
      <w:r>
        <w:rPr>
          <w:rFonts w:ascii="Arial Bold" w:hAnsi="Arial Bold"/>
          <w:color w:val="000080"/>
          <w:sz w:val="48"/>
          <w:szCs w:val="48"/>
        </w:rPr>
        <w:br w:type="page"/>
      </w:r>
    </w:p>
    <w:p w:rsidR="00A73ED0" w:rsidRPr="00D01B63" w:rsidRDefault="00A7602C" w:rsidP="009F5FD7">
      <w:pPr>
        <w:pStyle w:val="Heading1"/>
        <w:numPr>
          <w:ilvl w:val="0"/>
          <w:numId w:val="11"/>
        </w:numPr>
      </w:pPr>
      <w:bookmarkStart w:id="13" w:name="_Toc383531484"/>
      <w:bookmarkStart w:id="14" w:name="_Toc383703271"/>
      <w:bookmarkStart w:id="15" w:name="_Toc383704155"/>
      <w:bookmarkStart w:id="16" w:name="_Toc383783823"/>
      <w:bookmarkStart w:id="17" w:name="_Toc383784627"/>
      <w:bookmarkStart w:id="18" w:name="_Toc384121484"/>
      <w:bookmarkStart w:id="19" w:name="_Toc384123710"/>
      <w:bookmarkStart w:id="20" w:name="_Toc384132396"/>
      <w:bookmarkStart w:id="21" w:name="_Toc384205154"/>
      <w:bookmarkStart w:id="22" w:name="_Toc384278490"/>
      <w:r w:rsidRPr="00D01B63">
        <w:lastRenderedPageBreak/>
        <w:t>Executive Summary</w:t>
      </w:r>
      <w:bookmarkEnd w:id="2"/>
      <w:bookmarkEnd w:id="13"/>
      <w:bookmarkEnd w:id="14"/>
      <w:bookmarkEnd w:id="15"/>
      <w:bookmarkEnd w:id="16"/>
      <w:bookmarkEnd w:id="17"/>
      <w:bookmarkEnd w:id="18"/>
      <w:bookmarkEnd w:id="19"/>
      <w:bookmarkEnd w:id="20"/>
      <w:bookmarkEnd w:id="21"/>
      <w:bookmarkEnd w:id="22"/>
    </w:p>
    <w:p w:rsidR="00196299" w:rsidRPr="00D01B63" w:rsidRDefault="00196299" w:rsidP="00D01B63">
      <w:pPr>
        <w:pStyle w:val="Heading3"/>
      </w:pPr>
      <w:bookmarkStart w:id="23" w:name="_Toc383531485"/>
      <w:bookmarkStart w:id="24" w:name="_Toc383703272"/>
      <w:bookmarkStart w:id="25" w:name="_Toc383704156"/>
      <w:bookmarkStart w:id="26" w:name="_Toc383783824"/>
      <w:bookmarkStart w:id="27" w:name="_Toc383784628"/>
      <w:bookmarkStart w:id="28" w:name="_Toc384121485"/>
      <w:bookmarkStart w:id="29" w:name="_Toc384123711"/>
      <w:bookmarkStart w:id="30" w:name="_Toc384132397"/>
      <w:bookmarkStart w:id="31" w:name="_Toc384205155"/>
      <w:bookmarkStart w:id="32" w:name="_Toc384278491"/>
      <w:r w:rsidRPr="00D01B63">
        <w:t>Australia’s financial system has performed well</w:t>
      </w:r>
      <w:bookmarkEnd w:id="23"/>
      <w:bookmarkEnd w:id="24"/>
      <w:bookmarkEnd w:id="25"/>
      <w:bookmarkEnd w:id="26"/>
      <w:bookmarkEnd w:id="27"/>
      <w:bookmarkEnd w:id="28"/>
      <w:bookmarkEnd w:id="29"/>
      <w:bookmarkEnd w:id="30"/>
      <w:bookmarkEnd w:id="31"/>
      <w:bookmarkEnd w:id="32"/>
    </w:p>
    <w:p w:rsidR="00196299" w:rsidRDefault="00196299" w:rsidP="009F5FD7">
      <w:pPr>
        <w:pStyle w:val="OutlineNumbered1"/>
        <w:numPr>
          <w:ilvl w:val="0"/>
          <w:numId w:val="9"/>
        </w:numPr>
      </w:pPr>
      <w:r>
        <w:t xml:space="preserve">Australia’s financial system </w:t>
      </w:r>
      <w:r w:rsidR="002642B4">
        <w:t xml:space="preserve">has </w:t>
      </w:r>
      <w:r>
        <w:t xml:space="preserve">served Australia well in the period since the Wallis Inquiry, </w:t>
      </w:r>
      <w:r w:rsidR="002642B4">
        <w:t xml:space="preserve">including in </w:t>
      </w:r>
      <w:r>
        <w:t xml:space="preserve">supporting growth in the real economy </w:t>
      </w:r>
      <w:r w:rsidR="004A1C41">
        <w:t>during</w:t>
      </w:r>
      <w:r>
        <w:t xml:space="preserve"> the global financial crisis.</w:t>
      </w:r>
    </w:p>
    <w:p w:rsidR="00196299" w:rsidRDefault="00196299" w:rsidP="009F5FD7">
      <w:pPr>
        <w:pStyle w:val="OutlineNumbered1"/>
        <w:numPr>
          <w:ilvl w:val="0"/>
          <w:numId w:val="9"/>
        </w:numPr>
      </w:pPr>
      <w:r>
        <w:t>Nonetheless there is room to better position the financial system to respond to the stru</w:t>
      </w:r>
      <w:r w:rsidR="00951431">
        <w:t xml:space="preserve">ctural changes facing Australia </w:t>
      </w:r>
      <w:r w:rsidR="00F02D78">
        <w:t>—</w:t>
      </w:r>
      <w:r>
        <w:t xml:space="preserve"> </w:t>
      </w:r>
      <w:r w:rsidR="002642B4">
        <w:t xml:space="preserve">in particular, </w:t>
      </w:r>
      <w:r>
        <w:t>the a</w:t>
      </w:r>
      <w:r w:rsidR="00951431">
        <w:t xml:space="preserve">geing of Australia’s population </w:t>
      </w:r>
      <w:r w:rsidR="0027181A">
        <w:t>—</w:t>
      </w:r>
      <w:r>
        <w:t xml:space="preserve"> and to ensure its continued effectiveness in funding Australia’s future growth and </w:t>
      </w:r>
      <w:r w:rsidR="00591614">
        <w:t xml:space="preserve">in </w:t>
      </w:r>
      <w:r>
        <w:t xml:space="preserve">providing </w:t>
      </w:r>
      <w:r w:rsidR="00591614">
        <w:t>businesses and households</w:t>
      </w:r>
      <w:r>
        <w:t xml:space="preserve"> with the tools to manage risk.</w:t>
      </w:r>
    </w:p>
    <w:p w:rsidR="00196299" w:rsidRPr="00D01B63" w:rsidRDefault="00196299" w:rsidP="00D01B63">
      <w:pPr>
        <w:pStyle w:val="Heading3"/>
      </w:pPr>
      <w:bookmarkStart w:id="33" w:name="_Toc383531486"/>
      <w:bookmarkStart w:id="34" w:name="_Toc383703273"/>
      <w:bookmarkStart w:id="35" w:name="_Toc383704157"/>
      <w:bookmarkStart w:id="36" w:name="_Toc383783825"/>
      <w:bookmarkStart w:id="37" w:name="_Toc383784629"/>
      <w:bookmarkStart w:id="38" w:name="_Toc384121486"/>
      <w:bookmarkStart w:id="39" w:name="_Toc384123712"/>
      <w:bookmarkStart w:id="40" w:name="_Toc384132398"/>
      <w:bookmarkStart w:id="41" w:name="_Toc384205156"/>
      <w:bookmarkStart w:id="42" w:name="_Toc384278492"/>
      <w:r w:rsidRPr="00D01B63">
        <w:t>The regulatory framework remains appropriate</w:t>
      </w:r>
      <w:bookmarkEnd w:id="33"/>
      <w:bookmarkEnd w:id="34"/>
      <w:bookmarkEnd w:id="35"/>
      <w:bookmarkEnd w:id="36"/>
      <w:bookmarkEnd w:id="37"/>
      <w:bookmarkEnd w:id="38"/>
      <w:bookmarkEnd w:id="39"/>
      <w:bookmarkEnd w:id="40"/>
      <w:bookmarkEnd w:id="41"/>
      <w:bookmarkEnd w:id="42"/>
    </w:p>
    <w:p w:rsidR="00196299" w:rsidRDefault="00196299" w:rsidP="009F5FD7">
      <w:pPr>
        <w:pStyle w:val="OutlineNumbered1"/>
        <w:numPr>
          <w:ilvl w:val="0"/>
          <w:numId w:val="9"/>
        </w:numPr>
      </w:pPr>
      <w:r>
        <w:t xml:space="preserve">A more active and interventionist regulatory environment is appropriate for the financial </w:t>
      </w:r>
      <w:r w:rsidR="00C53673">
        <w:t>system</w:t>
      </w:r>
      <w:r>
        <w:t xml:space="preserve">, compared to other parts of the economy, because of </w:t>
      </w:r>
      <w:r w:rsidR="00B06F0B">
        <w:t>the system’s</w:t>
      </w:r>
      <w:r>
        <w:t xml:space="preserve"> potential to disrupt the wider economy and society when it fails in its role of </w:t>
      </w:r>
      <w:r w:rsidR="002642B4">
        <w:t xml:space="preserve">efficiently </w:t>
      </w:r>
      <w:r>
        <w:t>allocating capital and managing risk.</w:t>
      </w:r>
    </w:p>
    <w:p w:rsidR="00196299" w:rsidRDefault="00196299" w:rsidP="009F5FD7">
      <w:pPr>
        <w:pStyle w:val="OutlineNumbered1"/>
        <w:numPr>
          <w:ilvl w:val="0"/>
          <w:numId w:val="9"/>
        </w:numPr>
      </w:pPr>
      <w:r>
        <w:t xml:space="preserve">Australia’s regulatory framework is sound.  The framework </w:t>
      </w:r>
      <w:r w:rsidR="0027181A">
        <w:t>—</w:t>
      </w:r>
      <w:r>
        <w:t xml:space="preserve"> shaped by </w:t>
      </w:r>
      <w:r w:rsidR="00AA36AC">
        <w:t xml:space="preserve">the </w:t>
      </w:r>
      <w:r>
        <w:t xml:space="preserve">Wallis </w:t>
      </w:r>
      <w:r w:rsidR="00AA36AC">
        <w:t>Inquiry</w:t>
      </w:r>
      <w:r>
        <w:t xml:space="preserve"> and the response to the collapse</w:t>
      </w:r>
      <w:r w:rsidR="00951431">
        <w:t xml:space="preserve"> of HIH</w:t>
      </w:r>
      <w:r>
        <w:t xml:space="preserve"> </w:t>
      </w:r>
      <w:r w:rsidR="0027181A">
        <w:t>—</w:t>
      </w:r>
      <w:r>
        <w:t xml:space="preserve"> contributed significantly to the stability of the financial system</w:t>
      </w:r>
      <w:r w:rsidR="005E12EB" w:rsidRPr="005E12EB">
        <w:t xml:space="preserve"> </w:t>
      </w:r>
      <w:r w:rsidR="005E12EB">
        <w:t>through the global financial crisis</w:t>
      </w:r>
      <w:r w:rsidR="00F02D78">
        <w:t>,</w:t>
      </w:r>
      <w:r>
        <w:t xml:space="preserve"> although additional government intervention </w:t>
      </w:r>
      <w:r w:rsidR="00591614">
        <w:t>at the onset of the crisi</w:t>
      </w:r>
      <w:r w:rsidR="00E639AC">
        <w:t>s</w:t>
      </w:r>
      <w:r w:rsidR="00591614">
        <w:t xml:space="preserve"> </w:t>
      </w:r>
      <w:r>
        <w:t>also supported investor and depositor confidence.</w:t>
      </w:r>
    </w:p>
    <w:p w:rsidR="00196299" w:rsidRDefault="002642B4" w:rsidP="009F5FD7">
      <w:pPr>
        <w:pStyle w:val="OutlineNumbered1"/>
        <w:numPr>
          <w:ilvl w:val="0"/>
          <w:numId w:val="9"/>
        </w:numPr>
      </w:pPr>
      <w:r>
        <w:t>While t</w:t>
      </w:r>
      <w:r w:rsidR="00196299">
        <w:t xml:space="preserve">here is no need for fundamental reforms to the regulatory </w:t>
      </w:r>
      <w:r w:rsidR="002D2CF8">
        <w:t>framework</w:t>
      </w:r>
      <w:r w:rsidR="00196299">
        <w:t xml:space="preserve">, </w:t>
      </w:r>
      <w:r w:rsidR="00951431">
        <w:t>improvements at the margin w</w:t>
      </w:r>
      <w:r w:rsidR="00196299">
        <w:t>ould foster greater competitiveness across the financial system without endangering stability.</w:t>
      </w:r>
    </w:p>
    <w:p w:rsidR="00196299" w:rsidRPr="00D01B63" w:rsidRDefault="00196299" w:rsidP="00D01B63">
      <w:pPr>
        <w:pStyle w:val="Heading3"/>
      </w:pPr>
      <w:bookmarkStart w:id="43" w:name="_Toc383531487"/>
      <w:bookmarkStart w:id="44" w:name="_Toc383703274"/>
      <w:bookmarkStart w:id="45" w:name="_Toc383704158"/>
      <w:bookmarkStart w:id="46" w:name="_Toc383783826"/>
      <w:bookmarkStart w:id="47" w:name="_Toc383784630"/>
      <w:bookmarkStart w:id="48" w:name="_Toc384121487"/>
      <w:bookmarkStart w:id="49" w:name="_Toc384123713"/>
      <w:bookmarkStart w:id="50" w:name="_Toc384132399"/>
      <w:bookmarkStart w:id="51" w:name="_Toc384205157"/>
      <w:bookmarkStart w:id="52" w:name="_Toc384278493"/>
      <w:r w:rsidRPr="00D01B63">
        <w:t>Australia’s financial regulation will continue to be shaped by global standards</w:t>
      </w:r>
      <w:bookmarkEnd w:id="43"/>
      <w:bookmarkEnd w:id="44"/>
      <w:bookmarkEnd w:id="45"/>
      <w:bookmarkEnd w:id="46"/>
      <w:bookmarkEnd w:id="47"/>
      <w:bookmarkEnd w:id="48"/>
      <w:bookmarkEnd w:id="49"/>
      <w:bookmarkEnd w:id="50"/>
      <w:bookmarkEnd w:id="51"/>
      <w:bookmarkEnd w:id="52"/>
      <w:r w:rsidRPr="00D01B63">
        <w:t xml:space="preserve">  </w:t>
      </w:r>
    </w:p>
    <w:p w:rsidR="00196299" w:rsidRDefault="00196299" w:rsidP="009F5FD7">
      <w:pPr>
        <w:pStyle w:val="OutlineNumbered1"/>
        <w:numPr>
          <w:ilvl w:val="0"/>
          <w:numId w:val="9"/>
        </w:numPr>
      </w:pPr>
      <w:r>
        <w:t xml:space="preserve">The environment in which Australia’s financial </w:t>
      </w:r>
      <w:r w:rsidR="00951431">
        <w:t>institutions</w:t>
      </w:r>
      <w:r>
        <w:t xml:space="preserve"> operate will continue to be shaped by the decisions of global standard setters as well as national authorities responsible for the world’s major capital markets.</w:t>
      </w:r>
    </w:p>
    <w:p w:rsidR="00196299" w:rsidRDefault="00196299" w:rsidP="009F5FD7">
      <w:pPr>
        <w:pStyle w:val="OutlineNumbered1"/>
        <w:numPr>
          <w:ilvl w:val="0"/>
          <w:numId w:val="9"/>
        </w:numPr>
      </w:pPr>
      <w:r>
        <w:t xml:space="preserve">As a significant capital importer whose major financial institutions access European and American markets, Australia has limited capacity to ignore these developments, especially in areas like Basel III where new standards are highly prescriptive and subject to detailed peer review. </w:t>
      </w:r>
    </w:p>
    <w:p w:rsidR="00196299" w:rsidRDefault="00196299" w:rsidP="009F5FD7">
      <w:pPr>
        <w:pStyle w:val="OutlineNumbered1"/>
        <w:numPr>
          <w:ilvl w:val="0"/>
          <w:numId w:val="9"/>
        </w:numPr>
      </w:pPr>
      <w:r>
        <w:lastRenderedPageBreak/>
        <w:t>Moreover, the new standards address material shortcomings that were exposed during the crisis, in particular ensuring that financial institutions are adequately capitalised and markets are more robust.  Many of these reforms will bring regulatory standards in other jurisdictions into closer alignment with the Australian approach.  To the extent that these reduce the risk of future financial crises, Australia will benefit.</w:t>
      </w:r>
    </w:p>
    <w:p w:rsidR="00196299" w:rsidRDefault="00951431" w:rsidP="009F5FD7">
      <w:pPr>
        <w:pStyle w:val="OutlineNumbered1"/>
        <w:numPr>
          <w:ilvl w:val="0"/>
          <w:numId w:val="9"/>
        </w:numPr>
      </w:pPr>
      <w:r>
        <w:t>That said,</w:t>
      </w:r>
      <w:r w:rsidR="00196299">
        <w:t xml:space="preserve"> it is important that Australia work through the G20 and international standard setters to ensure that new standards are right for Australia and the global financial system and to guard against a</w:t>
      </w:r>
      <w:r w:rsidR="005E12EB">
        <w:t>ny</w:t>
      </w:r>
      <w:r w:rsidR="00196299">
        <w:t xml:space="preserve"> tendency to over-regulate financial markets</w:t>
      </w:r>
      <w:r w:rsidR="002642B4">
        <w:t xml:space="preserve"> at </w:t>
      </w:r>
      <w:r w:rsidR="00196299">
        <w:t>the potential cost of growth.  This includes reserving sufficient flexibility to apply new standards only where the benefits warrant them</w:t>
      </w:r>
      <w:r w:rsidR="002642B4">
        <w:t>,</w:t>
      </w:r>
      <w:r w:rsidR="00196299">
        <w:t xml:space="preserve"> or to tailor them to Australian conditions.  </w:t>
      </w:r>
    </w:p>
    <w:p w:rsidR="00196299" w:rsidRDefault="00196299" w:rsidP="00196299">
      <w:pPr>
        <w:pStyle w:val="Heading3"/>
      </w:pPr>
      <w:bookmarkStart w:id="53" w:name="_Toc383531488"/>
      <w:bookmarkStart w:id="54" w:name="_Toc383703275"/>
      <w:bookmarkStart w:id="55" w:name="_Toc383704159"/>
      <w:bookmarkStart w:id="56" w:name="_Toc383783827"/>
      <w:bookmarkStart w:id="57" w:name="_Toc383784631"/>
      <w:bookmarkStart w:id="58" w:name="_Toc384121488"/>
      <w:bookmarkStart w:id="59" w:name="_Toc384123714"/>
      <w:bookmarkStart w:id="60" w:name="_Toc384132400"/>
      <w:bookmarkStart w:id="61" w:name="_Toc384205158"/>
      <w:bookmarkStart w:id="62" w:name="_Toc384278494"/>
      <w:r>
        <w:t xml:space="preserve">Refinements to </w:t>
      </w:r>
      <w:r w:rsidR="005E12EB">
        <w:t xml:space="preserve">Australia’s </w:t>
      </w:r>
      <w:r>
        <w:t>regulation to improve efficiency and stability</w:t>
      </w:r>
      <w:bookmarkEnd w:id="53"/>
      <w:bookmarkEnd w:id="54"/>
      <w:bookmarkEnd w:id="55"/>
      <w:bookmarkEnd w:id="56"/>
      <w:bookmarkEnd w:id="57"/>
      <w:bookmarkEnd w:id="58"/>
      <w:bookmarkEnd w:id="59"/>
      <w:bookmarkEnd w:id="60"/>
      <w:bookmarkEnd w:id="61"/>
      <w:bookmarkEnd w:id="62"/>
    </w:p>
    <w:p w:rsidR="00196299" w:rsidRDefault="00196299" w:rsidP="009F5FD7">
      <w:pPr>
        <w:pStyle w:val="OutlineNumbered1"/>
        <w:numPr>
          <w:ilvl w:val="0"/>
          <w:numId w:val="9"/>
        </w:numPr>
      </w:pPr>
      <w:r>
        <w:t>Regulation imposes costs on business that, at least in part, will be passed onto the end users of the system and introduce distortions that lead to an inefficient allocation of resources, a reduction in competition and a reduced ability to manage risk.  There is scope to reduce these costs</w:t>
      </w:r>
      <w:r w:rsidR="00784779">
        <w:t>,</w:t>
      </w:r>
      <w:r w:rsidR="002642B4">
        <w:t xml:space="preserve"> even if they cannot be fully eliminated</w:t>
      </w:r>
      <w:r>
        <w:t>.</w:t>
      </w:r>
    </w:p>
    <w:p w:rsidR="00196299" w:rsidRDefault="00196299" w:rsidP="009F5FD7">
      <w:pPr>
        <w:pStyle w:val="OutlineNumbered1"/>
        <w:numPr>
          <w:ilvl w:val="0"/>
          <w:numId w:val="9"/>
        </w:numPr>
      </w:pPr>
      <w:r>
        <w:t>In forming views about improving the regulatory environment, the Financial System Inquiry should consider the following issues:</w:t>
      </w:r>
    </w:p>
    <w:p w:rsidR="00196299" w:rsidRDefault="00196299" w:rsidP="009F5FD7">
      <w:pPr>
        <w:pStyle w:val="Dash"/>
        <w:numPr>
          <w:ilvl w:val="1"/>
          <w:numId w:val="8"/>
        </w:numPr>
      </w:pPr>
      <w:r w:rsidRPr="009D69D9">
        <w:rPr>
          <w:b/>
        </w:rPr>
        <w:t>ameliorating the impact of guarantees</w:t>
      </w:r>
      <w:r>
        <w:t xml:space="preserve"> to the banking sector that have introduced or reinforced distortions that generate moral hazard and that preference some banks over others to the detriment of competition and the e</w:t>
      </w:r>
      <w:r w:rsidR="00951431">
        <w:t>fficiency of the banking sector;</w:t>
      </w:r>
    </w:p>
    <w:p w:rsidR="00196299" w:rsidRDefault="00196299" w:rsidP="009F5FD7">
      <w:pPr>
        <w:pStyle w:val="Dash"/>
        <w:numPr>
          <w:ilvl w:val="1"/>
          <w:numId w:val="8"/>
        </w:numPr>
      </w:pPr>
      <w:r w:rsidRPr="009D69D9">
        <w:rPr>
          <w:b/>
        </w:rPr>
        <w:t>maintaining strong supervision</w:t>
      </w:r>
      <w:r w:rsidRPr="00632F15">
        <w:rPr>
          <w:b/>
        </w:rPr>
        <w:t>, which is a function of regulatory independence, balanced with appropriate accountability.</w:t>
      </w:r>
      <w:r>
        <w:t xml:space="preserve">  The collapse of HIH and the global financial crisis demonstrated that </w:t>
      </w:r>
      <w:r w:rsidR="00322B72">
        <w:t xml:space="preserve">a sound principles-based framework combined with </w:t>
      </w:r>
      <w:r>
        <w:t>active supervision offers many benefits above rules-based approaches.  However, the existing mechanisms for accountability should be further strengthened by defining measures of success that recognise the trade-offs inherent in the regulators’ statutory mandates</w:t>
      </w:r>
      <w:r w:rsidR="00322B72">
        <w:t>.  The Government is currently developing a framework for assessing regulator performance</w:t>
      </w:r>
      <w:r w:rsidR="0027181A" w:rsidDel="00322B72">
        <w:t xml:space="preserve"> </w:t>
      </w:r>
      <w:r w:rsidR="00322B72">
        <w:t>drawing on work</w:t>
      </w:r>
      <w:r>
        <w:t xml:space="preserve"> </w:t>
      </w:r>
      <w:r w:rsidR="00322B72">
        <w:t xml:space="preserve"> </w:t>
      </w:r>
      <w:r w:rsidR="00951431">
        <w:t>by the Productivity Commission;</w:t>
      </w:r>
    </w:p>
    <w:p w:rsidR="002908B9" w:rsidRDefault="00196299" w:rsidP="009F5FD7">
      <w:pPr>
        <w:pStyle w:val="Dash"/>
        <w:numPr>
          <w:ilvl w:val="1"/>
          <w:numId w:val="8"/>
        </w:numPr>
      </w:pPr>
      <w:r w:rsidRPr="009D69D9">
        <w:rPr>
          <w:b/>
        </w:rPr>
        <w:t>achieving clear demarcations</w:t>
      </w:r>
      <w:r>
        <w:t xml:space="preserve"> between financial promises of varying intensity and between regulators whose roles are defined by this concept, namely </w:t>
      </w:r>
      <w:r w:rsidR="00B631B6" w:rsidRPr="00B631B6">
        <w:t>Australian Prudential Regulation Authority (</w:t>
      </w:r>
      <w:r>
        <w:t>APRA</w:t>
      </w:r>
      <w:r w:rsidR="00B631B6" w:rsidRPr="00B631B6">
        <w:t>)</w:t>
      </w:r>
      <w:r>
        <w:t xml:space="preserve"> and </w:t>
      </w:r>
      <w:r w:rsidR="00B631B6">
        <w:t xml:space="preserve">the </w:t>
      </w:r>
      <w:r w:rsidR="00B631B6" w:rsidRPr="00B631B6">
        <w:t xml:space="preserve">Australian Securities and Investments Commission </w:t>
      </w:r>
      <w:r w:rsidR="00B631B6">
        <w:t>(</w:t>
      </w:r>
      <w:r>
        <w:t>ASIC</w:t>
      </w:r>
      <w:r w:rsidR="00B631B6">
        <w:t>)</w:t>
      </w:r>
      <w:r>
        <w:t xml:space="preserve">.  </w:t>
      </w:r>
      <w:r w:rsidR="002908B9">
        <w:t xml:space="preserve">The effectiveness of the regulatory framework </w:t>
      </w:r>
      <w:r w:rsidR="002908B9">
        <w:lastRenderedPageBreak/>
        <w:t>proposed by Wallis rests on clear functional lines of re</w:t>
      </w:r>
      <w:r w:rsidR="00176C58">
        <w:t>sponsibility for the regulators.  The</w:t>
      </w:r>
      <w:r w:rsidR="002908B9">
        <w:t xml:space="preserve"> recent proposals for ASIC to take on quasi-prudential functions following the collapse of Banksia illustrate the difficulties in maintaining </w:t>
      </w:r>
      <w:r w:rsidR="00DE6386">
        <w:t>clear demarcations in the face of changing products and market structures.</w:t>
      </w:r>
    </w:p>
    <w:p w:rsidR="00196299" w:rsidRDefault="00196299" w:rsidP="00196299">
      <w:pPr>
        <w:pStyle w:val="Heading3"/>
      </w:pPr>
      <w:bookmarkStart w:id="63" w:name="_Toc383531489"/>
      <w:bookmarkStart w:id="64" w:name="_Toc383703276"/>
      <w:bookmarkStart w:id="65" w:name="_Toc383704160"/>
      <w:bookmarkStart w:id="66" w:name="_Toc383783828"/>
      <w:bookmarkStart w:id="67" w:name="_Toc383784632"/>
      <w:bookmarkStart w:id="68" w:name="_Toc384121489"/>
      <w:bookmarkStart w:id="69" w:name="_Toc384123715"/>
      <w:bookmarkStart w:id="70" w:name="_Toc384132401"/>
      <w:bookmarkStart w:id="71" w:name="_Toc384205159"/>
      <w:bookmarkStart w:id="72" w:name="_Toc384278495"/>
      <w:r>
        <w:t>New policy tools can achieve more cost-effective consumer empowerment</w:t>
      </w:r>
      <w:bookmarkEnd w:id="63"/>
      <w:bookmarkEnd w:id="64"/>
      <w:bookmarkEnd w:id="65"/>
      <w:bookmarkEnd w:id="66"/>
      <w:bookmarkEnd w:id="67"/>
      <w:bookmarkEnd w:id="68"/>
      <w:bookmarkEnd w:id="69"/>
      <w:bookmarkEnd w:id="70"/>
      <w:bookmarkEnd w:id="71"/>
      <w:bookmarkEnd w:id="72"/>
      <w:r>
        <w:t xml:space="preserve"> </w:t>
      </w:r>
    </w:p>
    <w:p w:rsidR="00196299" w:rsidRDefault="00196299" w:rsidP="009F5FD7">
      <w:pPr>
        <w:pStyle w:val="OutlineNumbered1"/>
        <w:numPr>
          <w:ilvl w:val="0"/>
          <w:numId w:val="9"/>
        </w:numPr>
      </w:pPr>
      <w:r>
        <w:t xml:space="preserve">A well-functioning financial system meets the needs and preferences of </w:t>
      </w:r>
      <w:r w:rsidR="00A01A5A">
        <w:t>individuals</w:t>
      </w:r>
      <w:r>
        <w:t>.  Yet the nature of financial products and decision making is affected by complexity and challenges in obtaining and analysing information.</w:t>
      </w:r>
    </w:p>
    <w:p w:rsidR="00196299" w:rsidRDefault="00196299" w:rsidP="009F5FD7">
      <w:pPr>
        <w:pStyle w:val="OutlineNumbered1"/>
        <w:numPr>
          <w:ilvl w:val="0"/>
          <w:numId w:val="9"/>
        </w:numPr>
      </w:pPr>
      <w:r>
        <w:t xml:space="preserve">Events since the Wallis Inquiry such as the widespread confusion around the definition of flood cover in insurance policies and the collapse of Storm Financial demonstrate that the </w:t>
      </w:r>
      <w:r w:rsidR="00ED5628">
        <w:t xml:space="preserve">main </w:t>
      </w:r>
      <w:r>
        <w:t xml:space="preserve">regulatory tool to address these issues </w:t>
      </w:r>
      <w:r w:rsidR="0027181A">
        <w:t>—</w:t>
      </w:r>
      <w:r>
        <w:t xml:space="preserve"> mandated disclosure</w:t>
      </w:r>
      <w:r w:rsidR="0027181A">
        <w:t xml:space="preserve"> — </w:t>
      </w:r>
      <w:r w:rsidR="00F461A6">
        <w:t>does not provide</w:t>
      </w:r>
      <w:r>
        <w:t xml:space="preserve"> sufficiently meaningful and </w:t>
      </w:r>
      <w:r w:rsidR="0003563D">
        <w:t>digestible</w:t>
      </w:r>
      <w:r>
        <w:t xml:space="preserve"> information to consumers constrained by time or ability.  Yet mandated disclosure involves a cost to business which is ultimately borne by customers.</w:t>
      </w:r>
    </w:p>
    <w:p w:rsidR="00196299" w:rsidRDefault="00196299" w:rsidP="009F5FD7">
      <w:pPr>
        <w:pStyle w:val="Bullet"/>
        <w:numPr>
          <w:ilvl w:val="1"/>
          <w:numId w:val="8"/>
        </w:numPr>
      </w:pPr>
      <w:r>
        <w:t>This underscores the important role for financial advisers to provide professional, high</w:t>
      </w:r>
      <w:r w:rsidR="00ED5628">
        <w:t>-</w:t>
      </w:r>
      <w:r>
        <w:t>quality and affordable information to assist consumers in engaging with the financial system.</w:t>
      </w:r>
    </w:p>
    <w:p w:rsidR="00196299" w:rsidRDefault="00196299" w:rsidP="009F5FD7">
      <w:pPr>
        <w:pStyle w:val="Bullet"/>
        <w:numPr>
          <w:ilvl w:val="1"/>
          <w:numId w:val="8"/>
        </w:numPr>
      </w:pPr>
      <w:r>
        <w:t>In forming a view on cost-effective approaches for promoting confident and informed consumers, the Financial System Inquiry should also consider:</w:t>
      </w:r>
    </w:p>
    <w:p w:rsidR="00196299" w:rsidRDefault="00196299" w:rsidP="009F5FD7">
      <w:pPr>
        <w:pStyle w:val="Dash"/>
        <w:numPr>
          <w:ilvl w:val="2"/>
          <w:numId w:val="8"/>
        </w:numPr>
      </w:pPr>
      <w:r>
        <w:t>the scope for promoting market solutions by redesigning disclosure requirements for the digital age to enable the growth of ‘information intermediaries’ that can apply expertise in presenting information in an e</w:t>
      </w:r>
      <w:r w:rsidR="00951431">
        <w:t>ffective and digestible way;</w:t>
      </w:r>
    </w:p>
    <w:p w:rsidR="00196299" w:rsidRDefault="00196299" w:rsidP="009F5FD7">
      <w:pPr>
        <w:pStyle w:val="Dash"/>
        <w:numPr>
          <w:ilvl w:val="2"/>
          <w:numId w:val="8"/>
        </w:numPr>
      </w:pPr>
      <w:r>
        <w:t>the circumstances in which tools that provide simple and low</w:t>
      </w:r>
      <w:r w:rsidR="00ED5628">
        <w:t>-</w:t>
      </w:r>
      <w:r>
        <w:t>cost options for disengaged consumers by default can achieve an appropriate balance between consumer protection, individual freedom and compliance costs.</w:t>
      </w:r>
    </w:p>
    <w:p w:rsidR="00196299" w:rsidRDefault="00196299" w:rsidP="00196299">
      <w:pPr>
        <w:pStyle w:val="Heading3"/>
      </w:pPr>
      <w:bookmarkStart w:id="73" w:name="_Toc383531490"/>
      <w:bookmarkStart w:id="74" w:name="_Toc383703277"/>
      <w:bookmarkStart w:id="75" w:name="_Toc383704161"/>
      <w:bookmarkStart w:id="76" w:name="_Toc383783829"/>
      <w:bookmarkStart w:id="77" w:name="_Toc383784633"/>
      <w:bookmarkStart w:id="78" w:name="_Toc384121490"/>
      <w:bookmarkStart w:id="79" w:name="_Toc384123716"/>
      <w:bookmarkStart w:id="80" w:name="_Toc384132402"/>
      <w:bookmarkStart w:id="81" w:name="_Toc384205160"/>
      <w:bookmarkStart w:id="82" w:name="_Toc384278496"/>
      <w:r>
        <w:t>Financial system must evolve to meet the needs of retirees</w:t>
      </w:r>
      <w:bookmarkEnd w:id="73"/>
      <w:bookmarkEnd w:id="74"/>
      <w:bookmarkEnd w:id="75"/>
      <w:bookmarkEnd w:id="76"/>
      <w:bookmarkEnd w:id="77"/>
      <w:bookmarkEnd w:id="78"/>
      <w:bookmarkEnd w:id="79"/>
      <w:bookmarkEnd w:id="80"/>
      <w:bookmarkEnd w:id="81"/>
      <w:bookmarkEnd w:id="82"/>
    </w:p>
    <w:p w:rsidR="00196299" w:rsidRDefault="00196299" w:rsidP="009F5FD7">
      <w:pPr>
        <w:pStyle w:val="OutlineNumbered1"/>
        <w:numPr>
          <w:ilvl w:val="0"/>
          <w:numId w:val="9"/>
        </w:numPr>
      </w:pPr>
      <w:r>
        <w:t>A significant issue before the Inquiry is the responsiveness of the financial system in meet</w:t>
      </w:r>
      <w:r w:rsidR="00951431">
        <w:t>ing</w:t>
      </w:r>
      <w:r>
        <w:t xml:space="preserve"> the expanding needs of Australians in retirement and </w:t>
      </w:r>
      <w:r w:rsidR="00951431">
        <w:t xml:space="preserve">its capacity </w:t>
      </w:r>
      <w:r>
        <w:t>to offer cost</w:t>
      </w:r>
      <w:r w:rsidR="00ED5628">
        <w:noBreakHyphen/>
      </w:r>
      <w:r>
        <w:t>effective products that enable individuals to manage longevity risk.</w:t>
      </w:r>
    </w:p>
    <w:p w:rsidR="00196299" w:rsidRDefault="00196299" w:rsidP="009F5FD7">
      <w:pPr>
        <w:pStyle w:val="OutlineNumbered1"/>
        <w:numPr>
          <w:ilvl w:val="0"/>
          <w:numId w:val="9"/>
        </w:numPr>
      </w:pPr>
      <w:r>
        <w:t xml:space="preserve">Superannuation is fundamental to Australia’s retirement income policy, but the </w:t>
      </w:r>
      <w:r w:rsidR="00C53673">
        <w:t>sector</w:t>
      </w:r>
      <w:r>
        <w:t xml:space="preserve"> is focussed on supporting saving through the accumulation phase.  The financial system</w:t>
      </w:r>
      <w:r w:rsidR="0027181A">
        <w:t xml:space="preserve"> — </w:t>
      </w:r>
      <w:r>
        <w:t xml:space="preserve">including both </w:t>
      </w:r>
      <w:r w:rsidR="0003563D">
        <w:t>superannuation</w:t>
      </w:r>
      <w:r>
        <w:t xml:space="preserve"> and insurance industries</w:t>
      </w:r>
      <w:r w:rsidR="0027181A">
        <w:t xml:space="preserve"> — </w:t>
      </w:r>
      <w:r>
        <w:t xml:space="preserve">has not yet </w:t>
      </w:r>
      <w:r>
        <w:lastRenderedPageBreak/>
        <w:t>developed the range of products necessary for individuals to manage their longevity risk through the drawdown phase.  This is an issue that both the Henry Review and the Cooper Review canvassed and it is timely for this Inquiry to offer a way forward.</w:t>
      </w:r>
    </w:p>
    <w:p w:rsidR="00196299" w:rsidRDefault="00196299" w:rsidP="009F5FD7">
      <w:pPr>
        <w:pStyle w:val="OutlineNumbered1"/>
        <w:keepNext/>
        <w:numPr>
          <w:ilvl w:val="0"/>
          <w:numId w:val="9"/>
        </w:numPr>
      </w:pPr>
      <w:r>
        <w:t>The benchmarks for assessing whether the financial system is meeting the needs of retirees include:</w:t>
      </w:r>
    </w:p>
    <w:p w:rsidR="00196299" w:rsidRDefault="00196299" w:rsidP="009F5FD7">
      <w:pPr>
        <w:pStyle w:val="Dash"/>
        <w:numPr>
          <w:ilvl w:val="1"/>
          <w:numId w:val="8"/>
        </w:numPr>
      </w:pPr>
      <w:r>
        <w:rPr>
          <w:b/>
        </w:rPr>
        <w:t>e</w:t>
      </w:r>
      <w:r w:rsidRPr="004B25BF">
        <w:rPr>
          <w:b/>
        </w:rPr>
        <w:t xml:space="preserve">fficiency of the superannuation </w:t>
      </w:r>
      <w:r w:rsidR="00C53673">
        <w:rPr>
          <w:b/>
        </w:rPr>
        <w:t>sector</w:t>
      </w:r>
      <w:r>
        <w:t>.  The Australian super</w:t>
      </w:r>
      <w:r w:rsidR="00C53673">
        <w:t>annuation</w:t>
      </w:r>
      <w:r>
        <w:t xml:space="preserve"> </w:t>
      </w:r>
      <w:r w:rsidR="00C53673">
        <w:t>sector</w:t>
      </w:r>
      <w:r>
        <w:t xml:space="preserve"> is characterised by high operating costs and limited product innovation.  These clearly affect the retirement incomes of Austra</w:t>
      </w:r>
      <w:r w:rsidR="00E27663">
        <w:t>lians, though the recent policy</w:t>
      </w:r>
      <w:r>
        <w:t xml:space="preserve"> reforms are designed to address these</w:t>
      </w:r>
      <w:r w:rsidR="00951431">
        <w:t xml:space="preserve"> issues, when fully implemented;</w:t>
      </w:r>
    </w:p>
    <w:p w:rsidR="00196299" w:rsidRDefault="00196299" w:rsidP="009F5FD7">
      <w:pPr>
        <w:pStyle w:val="Dash"/>
        <w:numPr>
          <w:ilvl w:val="1"/>
          <w:numId w:val="8"/>
        </w:numPr>
      </w:pPr>
      <w:r w:rsidRPr="009D69D9">
        <w:rPr>
          <w:b/>
        </w:rPr>
        <w:t>adequate supply of alternative retirement income products</w:t>
      </w:r>
      <w:r>
        <w:t xml:space="preserve">.  Insurance companies offer a limited range of annuities, but these do not address longevity risk as they are typically for fixed terms.  Annuities that promise a defined level of income but for a persons’ lifetime would be very costly given the level of risk transfer from the individual to the product provider.  The Financial System Inquiry should explore the scope for alternative products that offer more choice in the trade-off between risk transfer and affordability, the features of the insurance sector that prevent the development of products to manage longevity risk and to consider the appropriate role for public policy, if </w:t>
      </w:r>
      <w:r w:rsidR="00951431">
        <w:t>any, in managing longevity risk;</w:t>
      </w:r>
      <w:r w:rsidR="00C6474C">
        <w:t xml:space="preserve"> and</w:t>
      </w:r>
    </w:p>
    <w:p w:rsidR="00196299" w:rsidRDefault="00196299" w:rsidP="009F5FD7">
      <w:pPr>
        <w:pStyle w:val="Dash"/>
        <w:numPr>
          <w:ilvl w:val="1"/>
          <w:numId w:val="8"/>
        </w:numPr>
      </w:pPr>
      <w:r>
        <w:rPr>
          <w:b/>
        </w:rPr>
        <w:t xml:space="preserve">efficient </w:t>
      </w:r>
      <w:r w:rsidRPr="009D69D9">
        <w:rPr>
          <w:b/>
        </w:rPr>
        <w:t xml:space="preserve">taxation </w:t>
      </w:r>
      <w:r>
        <w:rPr>
          <w:b/>
        </w:rPr>
        <w:t>of superannuation, including</w:t>
      </w:r>
      <w:r w:rsidRPr="009D69D9">
        <w:rPr>
          <w:b/>
        </w:rPr>
        <w:t xml:space="preserve"> deferred annuities and other retirement income products</w:t>
      </w:r>
      <w:r>
        <w:t>, noting that the Government has committed to reviewing the regulatory barriers to such products and to a Taxation White Paper.</w:t>
      </w:r>
    </w:p>
    <w:p w:rsidR="00196299" w:rsidRDefault="0003563D" w:rsidP="009F5FD7">
      <w:pPr>
        <w:pStyle w:val="OutlineNumbered1"/>
        <w:numPr>
          <w:ilvl w:val="0"/>
          <w:numId w:val="9"/>
        </w:numPr>
      </w:pPr>
      <w:r>
        <w:t>Superannuation</w:t>
      </w:r>
      <w:r w:rsidR="00196299">
        <w:t xml:space="preserve"> has evolved significantly since </w:t>
      </w:r>
      <w:r w:rsidR="00AA36AC">
        <w:t xml:space="preserve">the </w:t>
      </w:r>
      <w:r w:rsidR="00196299">
        <w:t xml:space="preserve">Wallis </w:t>
      </w:r>
      <w:r w:rsidR="00AA36AC">
        <w:t xml:space="preserve">Inquiry </w:t>
      </w:r>
      <w:r w:rsidR="00196299">
        <w:t>in the growth of the self</w:t>
      </w:r>
      <w:r w:rsidR="007B6040">
        <w:t>-</w:t>
      </w:r>
      <w:r w:rsidR="00196299">
        <w:t>managed super fund sector.</w:t>
      </w:r>
    </w:p>
    <w:p w:rsidR="00196299" w:rsidRDefault="00196299" w:rsidP="009F5FD7">
      <w:pPr>
        <w:pStyle w:val="OutlineNumbered1"/>
        <w:numPr>
          <w:ilvl w:val="0"/>
          <w:numId w:val="9"/>
        </w:numPr>
      </w:pPr>
      <w:r>
        <w:t>Self</w:t>
      </w:r>
      <w:r w:rsidR="00703739">
        <w:t>-</w:t>
      </w:r>
      <w:r>
        <w:t>managed super funds allow individuals to manage their own retirement income if they choose to, and enhance competition within the super</w:t>
      </w:r>
      <w:r w:rsidR="00C53673">
        <w:t>annuation</w:t>
      </w:r>
      <w:r>
        <w:t xml:space="preserve"> </w:t>
      </w:r>
      <w:r w:rsidR="00C53673">
        <w:t>sector</w:t>
      </w:r>
      <w:r>
        <w:t>.  They involve no financial promise</w:t>
      </w:r>
      <w:r w:rsidR="0027181A">
        <w:t xml:space="preserve"> — </w:t>
      </w:r>
      <w:r>
        <w:t>intense or otherwise</w:t>
      </w:r>
      <w:r w:rsidR="0027181A">
        <w:t xml:space="preserve"> — </w:t>
      </w:r>
      <w:r>
        <w:t xml:space="preserve">as the beneficiary and trustee are the same person and are not prudentially regulated.  </w:t>
      </w:r>
      <w:r w:rsidR="002642B4">
        <w:t>As such</w:t>
      </w:r>
      <w:r w:rsidR="00ED5628">
        <w:t>, self-managed superannuation funds</w:t>
      </w:r>
      <w:r>
        <w:t xml:space="preserve"> are appropriately subject to low levels of regulation and</w:t>
      </w:r>
      <w:r w:rsidR="002642B4">
        <w:t xml:space="preserve"> to</w:t>
      </w:r>
      <w:r>
        <w:t xml:space="preserve"> oversight by the Australian Tax Office to monitor compliance with taxation law.  This approach should be maintained.</w:t>
      </w:r>
    </w:p>
    <w:p w:rsidR="00953BD4" w:rsidRDefault="00953BD4" w:rsidP="00F02D78">
      <w:pPr>
        <w:jc w:val="both"/>
      </w:pPr>
    </w:p>
    <w:p w:rsidR="0003563D" w:rsidRDefault="007E5285" w:rsidP="0003563D">
      <w:pPr>
        <w:ind w:left="720"/>
        <w:jc w:val="both"/>
        <w:sectPr w:rsidR="0003563D" w:rsidSect="00A30F3B">
          <w:footerReference w:type="default" r:id="rId12"/>
          <w:pgSz w:w="11906" w:h="16838"/>
          <w:pgMar w:top="1440" w:right="1440" w:bottom="1440" w:left="1440" w:header="708" w:footer="708" w:gutter="0"/>
          <w:pgNumType w:start="1" w:chapStyle="1"/>
          <w:cols w:space="708"/>
          <w:docGrid w:linePitch="360"/>
        </w:sectPr>
      </w:pPr>
      <w:r>
        <w:t xml:space="preserve"> </w:t>
      </w:r>
      <w:r w:rsidR="00B30A87">
        <w:br w:type="page"/>
      </w:r>
      <w:bookmarkStart w:id="83" w:name="Part1"/>
    </w:p>
    <w:p w:rsidR="00020BCE" w:rsidRDefault="00D01B63" w:rsidP="000E467F">
      <w:pPr>
        <w:pStyle w:val="Heading1"/>
      </w:pPr>
      <w:bookmarkStart w:id="84" w:name="_Toc383531491"/>
      <w:bookmarkStart w:id="85" w:name="_Toc383703278"/>
      <w:bookmarkStart w:id="86" w:name="_Toc383704162"/>
      <w:bookmarkStart w:id="87" w:name="_Toc383783830"/>
      <w:bookmarkStart w:id="88" w:name="_Toc383784634"/>
      <w:bookmarkStart w:id="89" w:name="_Toc384121491"/>
      <w:bookmarkStart w:id="90" w:name="_Toc384123717"/>
      <w:bookmarkStart w:id="91" w:name="_Toc384132403"/>
      <w:bookmarkStart w:id="92" w:name="_Toc384205161"/>
      <w:bookmarkStart w:id="93" w:name="_Toc384278497"/>
      <w:r>
        <w:lastRenderedPageBreak/>
        <w:t xml:space="preserve">Part 1:  </w:t>
      </w:r>
      <w:r w:rsidR="00020BCE" w:rsidRPr="00E949F7">
        <w:t xml:space="preserve">The </w:t>
      </w:r>
      <w:r w:rsidR="00591614">
        <w:t>objectives</w:t>
      </w:r>
      <w:r w:rsidR="00020BCE">
        <w:t xml:space="preserve"> of the financial system</w:t>
      </w:r>
      <w:bookmarkEnd w:id="0"/>
      <w:bookmarkEnd w:id="84"/>
      <w:bookmarkEnd w:id="85"/>
      <w:bookmarkEnd w:id="86"/>
      <w:bookmarkEnd w:id="87"/>
      <w:bookmarkEnd w:id="88"/>
      <w:r w:rsidR="00591614">
        <w:t xml:space="preserve"> and its regulation</w:t>
      </w:r>
      <w:bookmarkEnd w:id="89"/>
      <w:bookmarkEnd w:id="90"/>
      <w:bookmarkEnd w:id="91"/>
      <w:bookmarkEnd w:id="92"/>
      <w:bookmarkEnd w:id="93"/>
    </w:p>
    <w:tbl>
      <w:tblPr>
        <w:tblStyle w:val="TableGrid"/>
        <w:tblW w:w="0" w:type="auto"/>
        <w:shd w:val="clear" w:color="auto" w:fill="EEECE1" w:themeFill="background2"/>
        <w:tblLook w:val="04A0" w:firstRow="1" w:lastRow="0" w:firstColumn="1" w:lastColumn="0" w:noHBand="0" w:noVBand="1"/>
      </w:tblPr>
      <w:tblGrid>
        <w:gridCol w:w="9242"/>
      </w:tblGrid>
      <w:tr w:rsidR="001813C6" w:rsidTr="001813C6">
        <w:tc>
          <w:tcPr>
            <w:tcW w:w="9242" w:type="dxa"/>
            <w:shd w:val="clear" w:color="auto" w:fill="EEECE1" w:themeFill="background2"/>
          </w:tcPr>
          <w:p w:rsidR="001813C6" w:rsidRPr="00A73ED0" w:rsidRDefault="001813C6" w:rsidP="001813C6">
            <w:pPr>
              <w:pStyle w:val="Heading3"/>
              <w:rPr>
                <w:rFonts w:cstheme="majorBidi"/>
              </w:rPr>
            </w:pPr>
            <w:bookmarkStart w:id="94" w:name="_Toc383783831"/>
            <w:bookmarkStart w:id="95" w:name="_Toc383784635"/>
            <w:bookmarkStart w:id="96" w:name="_Toc384121492"/>
            <w:bookmarkStart w:id="97" w:name="_Toc384123718"/>
            <w:bookmarkStart w:id="98" w:name="_Toc384132404"/>
            <w:bookmarkStart w:id="99" w:name="_Toc384205162"/>
            <w:bookmarkStart w:id="100" w:name="_Toc384278498"/>
            <w:bookmarkStart w:id="101" w:name="_Toc381705781"/>
            <w:bookmarkStart w:id="102" w:name="_Toc381951910"/>
            <w:bookmarkStart w:id="103" w:name="_Toc381952512"/>
            <w:bookmarkStart w:id="104" w:name="_Toc383096701"/>
            <w:bookmarkStart w:id="105" w:name="_Toc383524000"/>
            <w:bookmarkStart w:id="106" w:name="_Toc383531492"/>
            <w:bookmarkStart w:id="107" w:name="_Toc383703279"/>
            <w:bookmarkStart w:id="108" w:name="_Toc383704163"/>
            <w:r>
              <w:t>Key points</w:t>
            </w:r>
            <w:bookmarkEnd w:id="94"/>
            <w:bookmarkEnd w:id="95"/>
            <w:bookmarkEnd w:id="96"/>
            <w:bookmarkEnd w:id="97"/>
            <w:bookmarkEnd w:id="98"/>
            <w:bookmarkEnd w:id="99"/>
            <w:bookmarkEnd w:id="100"/>
          </w:p>
          <w:p w:rsidR="00A91662" w:rsidRDefault="00A91662" w:rsidP="00A91662">
            <w:pPr>
              <w:pStyle w:val="OutlineNumbered1"/>
            </w:pPr>
            <w:r>
              <w:t xml:space="preserve">Australia has been well </w:t>
            </w:r>
            <w:r w:rsidR="00752039">
              <w:t xml:space="preserve">served by </w:t>
            </w:r>
            <w:r w:rsidR="008039BB">
              <w:t>its</w:t>
            </w:r>
            <w:r w:rsidR="00752039">
              <w:t xml:space="preserve"> financial system</w:t>
            </w:r>
            <w:r w:rsidR="00F02D78">
              <w:t xml:space="preserve"> in the period since the Wallis Inquiry</w:t>
            </w:r>
            <w:r w:rsidR="00752039">
              <w:t xml:space="preserve">.  </w:t>
            </w:r>
            <w:r w:rsidR="00B1520E">
              <w:t>The</w:t>
            </w:r>
            <w:r w:rsidR="00D630E0">
              <w:t xml:space="preserve"> stability and resilience of the financial system </w:t>
            </w:r>
            <w:r w:rsidR="00B1520E">
              <w:t xml:space="preserve">contributed to the strength of </w:t>
            </w:r>
            <w:r w:rsidR="00D630E0">
              <w:t>the real econo</w:t>
            </w:r>
            <w:r w:rsidR="00B1520E">
              <w:t xml:space="preserve">my through the </w:t>
            </w:r>
            <w:r w:rsidR="008039BB">
              <w:t xml:space="preserve">global </w:t>
            </w:r>
            <w:r w:rsidR="00B1520E">
              <w:t xml:space="preserve">financial crisis, though additional government intervention </w:t>
            </w:r>
            <w:r w:rsidR="008039BB">
              <w:t xml:space="preserve">in turn </w:t>
            </w:r>
            <w:r w:rsidR="00B1520E">
              <w:t xml:space="preserve">supported stability </w:t>
            </w:r>
            <w:r w:rsidR="008039BB">
              <w:t xml:space="preserve">in </w:t>
            </w:r>
            <w:r w:rsidR="00B1520E">
              <w:t>the financial system.</w:t>
            </w:r>
          </w:p>
          <w:p w:rsidR="001813C6" w:rsidRPr="00007A80" w:rsidRDefault="00B1520E" w:rsidP="001813C6">
            <w:pPr>
              <w:pStyle w:val="OutlineNumbered1"/>
            </w:pPr>
            <w:r>
              <w:t xml:space="preserve">The global </w:t>
            </w:r>
            <w:r w:rsidR="008039BB">
              <w:t xml:space="preserve">financial </w:t>
            </w:r>
            <w:r>
              <w:t>crisis confirmed that the financial system</w:t>
            </w:r>
            <w:r w:rsidR="001813C6" w:rsidRPr="00007A80">
              <w:t xml:space="preserve"> warrants special regulatory attention relative to other </w:t>
            </w:r>
            <w:r w:rsidR="008039BB">
              <w:t>parts</w:t>
            </w:r>
            <w:r w:rsidR="001813C6" w:rsidRPr="00007A80">
              <w:t xml:space="preserve"> of the economy because of its potential to disrupt the wider economy and society when it fails.  </w:t>
            </w:r>
            <w:r>
              <w:t>Agency costs and the impact they can have on the wellbeing of individuals also warrant a regulatory response to promote the efficiency and fairness of the system.</w:t>
            </w:r>
          </w:p>
          <w:p w:rsidR="00B1520E" w:rsidRDefault="00B1520E" w:rsidP="001813C6">
            <w:pPr>
              <w:pStyle w:val="OutlineNumbered1"/>
            </w:pPr>
            <w:r>
              <w:t>However</w:t>
            </w:r>
            <w:r w:rsidR="00654646">
              <w:t>,</w:t>
            </w:r>
            <w:r>
              <w:t xml:space="preserve"> </w:t>
            </w:r>
            <w:r w:rsidR="00752039">
              <w:t>regulatory interventions can</w:t>
            </w:r>
            <w:r w:rsidR="008039BB">
              <w:t xml:space="preserve"> themselves</w:t>
            </w:r>
            <w:r w:rsidR="00752039">
              <w:t xml:space="preserve"> carry costs that detract from </w:t>
            </w:r>
            <w:r w:rsidR="008039BB">
              <w:t xml:space="preserve">the </w:t>
            </w:r>
            <w:r w:rsidR="00752039">
              <w:t>efficiency of the system and</w:t>
            </w:r>
            <w:r w:rsidR="008039BB">
              <w:t xml:space="preserve"> they can reduce competition.</w:t>
            </w:r>
          </w:p>
          <w:p w:rsidR="00752039" w:rsidRDefault="00752039" w:rsidP="001813C6">
            <w:pPr>
              <w:pStyle w:val="OutlineNumbered1"/>
            </w:pPr>
            <w:r>
              <w:t xml:space="preserve">The framework established by Wallis to address these </w:t>
            </w:r>
            <w:r w:rsidR="00C53673">
              <w:t>trade-</w:t>
            </w:r>
            <w:r w:rsidR="0052061E">
              <w:t>offs</w:t>
            </w:r>
            <w:r>
              <w:t xml:space="preserve"> remains sound and should be the basis for regulating the financial system over coming decades.  </w:t>
            </w:r>
            <w:r w:rsidR="00654646">
              <w:t>I</w:t>
            </w:r>
            <w:r w:rsidR="00FB1FE7">
              <w:t xml:space="preserve">n refreshing the regulatory framework, the Inquiry should take account of developments since </w:t>
            </w:r>
            <w:r w:rsidR="00C53673">
              <w:t xml:space="preserve">the </w:t>
            </w:r>
            <w:r w:rsidR="00FB1FE7">
              <w:t xml:space="preserve">Wallis </w:t>
            </w:r>
            <w:r w:rsidR="00C53673">
              <w:t xml:space="preserve">Inquiry </w:t>
            </w:r>
            <w:r w:rsidR="00FB1FE7">
              <w:t xml:space="preserve">to </w:t>
            </w:r>
            <w:r w:rsidR="00654646">
              <w:t>and</w:t>
            </w:r>
            <w:r w:rsidR="008C0900">
              <w:t xml:space="preserve"> their impact on</w:t>
            </w:r>
            <w:r w:rsidR="00FB1FE7">
              <w:t xml:space="preserve"> efficiency and stability:</w:t>
            </w:r>
          </w:p>
          <w:p w:rsidR="00FB1FE7" w:rsidRDefault="00FB1FE7" w:rsidP="00FB1FE7">
            <w:pPr>
              <w:pStyle w:val="Bullet"/>
            </w:pPr>
            <w:r>
              <w:t xml:space="preserve">the collapse of HIH demonstrated that </w:t>
            </w:r>
            <w:r w:rsidR="0052061E">
              <w:t>vigilant</w:t>
            </w:r>
            <w:r>
              <w:t xml:space="preserve"> supervision and a proactive regulatory culture is superior to a rules-based approach to regulation;</w:t>
            </w:r>
          </w:p>
          <w:p w:rsidR="00FB1FE7" w:rsidRDefault="00FB1FE7" w:rsidP="00FB1FE7">
            <w:pPr>
              <w:pStyle w:val="Bullet"/>
            </w:pPr>
            <w:r>
              <w:t>the global financial crisis confirmed the need for well-capitalised financial institutions and transparent and robust markets;</w:t>
            </w:r>
          </w:p>
          <w:p w:rsidR="00FB1FE7" w:rsidRDefault="00FB1FE7" w:rsidP="00FB1FE7">
            <w:pPr>
              <w:pStyle w:val="Bullet"/>
            </w:pPr>
            <w:r>
              <w:t>evolving global standards continue to shape A</w:t>
            </w:r>
            <w:r w:rsidR="008039BB">
              <w:t>ustralia’s financial regulation and, if implemented appropriately, will</w:t>
            </w:r>
            <w:r>
              <w:t xml:space="preserve"> improv</w:t>
            </w:r>
            <w:r w:rsidR="008039BB">
              <w:t>e</w:t>
            </w:r>
            <w:r>
              <w:t xml:space="preserve"> the soundness of domestic institutions and provid</w:t>
            </w:r>
            <w:r w:rsidR="008039BB">
              <w:t>e</w:t>
            </w:r>
            <w:r>
              <w:t xml:space="preserve"> more assured access to global financial markets;</w:t>
            </w:r>
          </w:p>
          <w:p w:rsidR="00FB1FE7" w:rsidRDefault="00FB1FE7" w:rsidP="00FB1FE7">
            <w:pPr>
              <w:pStyle w:val="Bullet"/>
            </w:pPr>
            <w:r>
              <w:t xml:space="preserve">implicit and explicit guarantees affect the efficiency and </w:t>
            </w:r>
            <w:r w:rsidR="00E80D61">
              <w:t xml:space="preserve">level of competition in </w:t>
            </w:r>
            <w:r>
              <w:t>the banking sector;</w:t>
            </w:r>
            <w:r w:rsidR="00A34837">
              <w:t xml:space="preserve"> and</w:t>
            </w:r>
          </w:p>
          <w:p w:rsidR="001813C6" w:rsidRPr="001813C6" w:rsidRDefault="00FB1FE7" w:rsidP="00FB1FE7">
            <w:pPr>
              <w:pStyle w:val="Bullet"/>
              <w:rPr>
                <w:b/>
              </w:rPr>
            </w:pPr>
            <w:r>
              <w:t xml:space="preserve">the emergence of more cost-effective ways to empower consumers at a time when </w:t>
            </w:r>
            <w:r w:rsidR="00070232">
              <w:t xml:space="preserve">current </w:t>
            </w:r>
            <w:r>
              <w:t>approaches to disclosure and financial literacy programs have reached the limits of their effectiveness.</w:t>
            </w:r>
          </w:p>
        </w:tc>
      </w:tr>
    </w:tbl>
    <w:p w:rsidR="001813C6" w:rsidRDefault="001813C6" w:rsidP="001813C6"/>
    <w:p w:rsidR="00020BCE" w:rsidRPr="00F06BE1" w:rsidRDefault="004A26A2" w:rsidP="00F7237E">
      <w:pPr>
        <w:pStyle w:val="Heading3"/>
        <w:rPr>
          <w:lang w:eastAsia="en-AU"/>
        </w:rPr>
      </w:pPr>
      <w:bookmarkStart w:id="109" w:name="_Toc383096702"/>
      <w:bookmarkStart w:id="110" w:name="_Toc381705783"/>
      <w:bookmarkStart w:id="111" w:name="_Toc381951914"/>
      <w:bookmarkStart w:id="112" w:name="_Toc381952520"/>
      <w:bookmarkEnd w:id="101"/>
      <w:bookmarkEnd w:id="102"/>
      <w:bookmarkEnd w:id="103"/>
      <w:bookmarkEnd w:id="104"/>
      <w:bookmarkEnd w:id="105"/>
      <w:bookmarkEnd w:id="106"/>
      <w:bookmarkEnd w:id="107"/>
      <w:bookmarkEnd w:id="108"/>
      <w:r>
        <w:br w:type="page"/>
      </w:r>
      <w:bookmarkStart w:id="113" w:name="_Toc383524002"/>
      <w:bookmarkStart w:id="114" w:name="_Toc383531493"/>
      <w:bookmarkStart w:id="115" w:name="_Toc383703280"/>
      <w:bookmarkStart w:id="116" w:name="_Toc383704164"/>
      <w:bookmarkStart w:id="117" w:name="_Toc383783832"/>
      <w:bookmarkStart w:id="118" w:name="_Toc383784636"/>
      <w:bookmarkStart w:id="119" w:name="_Toc384121493"/>
      <w:bookmarkStart w:id="120" w:name="_Toc384123719"/>
      <w:bookmarkStart w:id="121" w:name="_Toc384132405"/>
      <w:bookmarkStart w:id="122" w:name="_Toc384205163"/>
      <w:bookmarkStart w:id="123" w:name="_Toc384278499"/>
      <w:bookmarkEnd w:id="109"/>
      <w:bookmarkEnd w:id="110"/>
      <w:bookmarkEnd w:id="111"/>
      <w:bookmarkEnd w:id="112"/>
      <w:r w:rsidR="00591614">
        <w:lastRenderedPageBreak/>
        <w:t>Objective</w:t>
      </w:r>
      <w:r w:rsidR="005066BA">
        <w:t xml:space="preserve"> </w:t>
      </w:r>
      <w:r w:rsidR="00591614">
        <w:t xml:space="preserve">and functions </w:t>
      </w:r>
      <w:r w:rsidR="005066BA">
        <w:t xml:space="preserve">of </w:t>
      </w:r>
      <w:r w:rsidR="00281F26">
        <w:rPr>
          <w:lang w:eastAsia="en-AU"/>
        </w:rPr>
        <w:t>the financial system</w:t>
      </w:r>
      <w:bookmarkEnd w:id="113"/>
      <w:bookmarkEnd w:id="114"/>
      <w:bookmarkEnd w:id="115"/>
      <w:bookmarkEnd w:id="116"/>
      <w:bookmarkEnd w:id="117"/>
      <w:bookmarkEnd w:id="118"/>
      <w:bookmarkEnd w:id="119"/>
      <w:bookmarkEnd w:id="120"/>
      <w:bookmarkEnd w:id="121"/>
      <w:bookmarkEnd w:id="122"/>
      <w:bookmarkEnd w:id="123"/>
    </w:p>
    <w:p w:rsidR="005066BA" w:rsidRDefault="005066BA" w:rsidP="00B009AD">
      <w:pPr>
        <w:pStyle w:val="OutlineNumbered1"/>
      </w:pPr>
      <w:r>
        <w:t xml:space="preserve">The objective of the financial system is to </w:t>
      </w:r>
      <w:r w:rsidR="006D4425">
        <w:t>support</w:t>
      </w:r>
      <w:r>
        <w:t xml:space="preserve"> the growth of the real economy and to meet the needs of </w:t>
      </w:r>
      <w:r w:rsidR="00591614">
        <w:t xml:space="preserve">the </w:t>
      </w:r>
      <w:r>
        <w:t>businesses and households that rely upon it.  Ultimately this is the benchmark against which the performance of the system should be assessed.</w:t>
      </w:r>
    </w:p>
    <w:p w:rsidR="00020BCE" w:rsidRDefault="00832BB0" w:rsidP="00020BCE">
      <w:pPr>
        <w:pStyle w:val="OutlineNumbered1"/>
      </w:pPr>
      <w:r>
        <w:t xml:space="preserve">The </w:t>
      </w:r>
      <w:r w:rsidR="00591614">
        <w:t xml:space="preserve">financial system supports growth by </w:t>
      </w:r>
      <w:r w:rsidR="00591614">
        <w:rPr>
          <w:b/>
        </w:rPr>
        <w:t>facilitating</w:t>
      </w:r>
      <w:r w:rsidRPr="00281F26">
        <w:rPr>
          <w:b/>
        </w:rPr>
        <w:t xml:space="preserve"> the flow of</w:t>
      </w:r>
      <w:r w:rsidR="00020BCE" w:rsidRPr="00281F26">
        <w:rPr>
          <w:b/>
        </w:rPr>
        <w:t xml:space="preserve"> funds </w:t>
      </w:r>
      <w:r w:rsidRPr="00281F26">
        <w:rPr>
          <w:b/>
        </w:rPr>
        <w:t xml:space="preserve">among </w:t>
      </w:r>
      <w:r w:rsidR="00020BCE" w:rsidRPr="00281F26">
        <w:rPr>
          <w:b/>
        </w:rPr>
        <w:t>savers and borrowers</w:t>
      </w:r>
      <w:r w:rsidR="00020BCE">
        <w:t xml:space="preserve">.  </w:t>
      </w:r>
      <w:r w:rsidR="00E555C6">
        <w:t>As part of its role, the financial system</w:t>
      </w:r>
      <w:r w:rsidR="00020BCE">
        <w:t>:</w:t>
      </w:r>
    </w:p>
    <w:p w:rsidR="00E555C6" w:rsidRDefault="00020BCE" w:rsidP="00020BCE">
      <w:pPr>
        <w:pStyle w:val="Bullet"/>
      </w:pPr>
      <w:r>
        <w:t>pool</w:t>
      </w:r>
      <w:r w:rsidR="00E555C6">
        <w:t>s</w:t>
      </w:r>
      <w:r>
        <w:t xml:space="preserve"> funds</w:t>
      </w:r>
      <w:r w:rsidR="00535AA3">
        <w:t xml:space="preserve"> </w:t>
      </w:r>
      <w:r w:rsidR="0027181A">
        <w:t xml:space="preserve">— </w:t>
      </w:r>
      <w:r w:rsidR="001D6EAB">
        <w:t xml:space="preserve">allowing </w:t>
      </w:r>
      <w:r w:rsidR="002642B4">
        <w:t xml:space="preserve">for risk diversification and for </w:t>
      </w:r>
      <w:r w:rsidR="001D6EAB">
        <w:t xml:space="preserve">larger </w:t>
      </w:r>
      <w:r>
        <w:t xml:space="preserve">investment projects </w:t>
      </w:r>
      <w:r w:rsidR="001D6EAB">
        <w:t xml:space="preserve">to </w:t>
      </w:r>
      <w:r>
        <w:t>be undertaken; and</w:t>
      </w:r>
    </w:p>
    <w:p w:rsidR="00020BCE" w:rsidRDefault="009522A9" w:rsidP="00020BCE">
      <w:pPr>
        <w:pStyle w:val="Bullet"/>
      </w:pPr>
      <w:r>
        <w:t>accumulates and applies specialised expertise in</w:t>
      </w:r>
      <w:r w:rsidR="00020BCE">
        <w:t xml:space="preserve"> credit assessment</w:t>
      </w:r>
      <w:r w:rsidR="0027181A">
        <w:t xml:space="preserve"> — </w:t>
      </w:r>
      <w:r w:rsidR="001D6EAB">
        <w:t>allowing</w:t>
      </w:r>
      <w:r w:rsidR="00020BCE">
        <w:t xml:space="preserve"> the </w:t>
      </w:r>
      <w:r w:rsidR="001A100D">
        <w:t xml:space="preserve">economy to better manage </w:t>
      </w:r>
      <w:r w:rsidR="00020BCE">
        <w:t>risks and returns from investment</w:t>
      </w:r>
      <w:r w:rsidR="001A100D">
        <w:t>, at a lower cost (</w:t>
      </w:r>
      <w:r>
        <w:t>that is,</w:t>
      </w:r>
      <w:r w:rsidR="001A100D">
        <w:t xml:space="preserve"> removing the need for each individual to undertake their own credit assessments).</w:t>
      </w:r>
    </w:p>
    <w:p w:rsidR="0009409F" w:rsidRDefault="0009409F" w:rsidP="00020BCE">
      <w:pPr>
        <w:pStyle w:val="OutlineNumbered1"/>
      </w:pPr>
      <w:r>
        <w:t xml:space="preserve">The </w:t>
      </w:r>
      <w:r w:rsidR="006138B6">
        <w:t xml:space="preserve">financial system </w:t>
      </w:r>
      <w:r w:rsidR="00CB6B58">
        <w:t>allocates capital efficiently when</w:t>
      </w:r>
      <w:r>
        <w:t xml:space="preserve"> it directs scarce </w:t>
      </w:r>
      <w:r w:rsidR="006138B6">
        <w:t>capital</w:t>
      </w:r>
      <w:r>
        <w:t xml:space="preserve"> towards the most productive forms of investment.</w:t>
      </w:r>
      <w:r w:rsidR="006138B6">
        <w:t xml:space="preserve">  Distortions within the system or exogenous to it that result in a less efficient allocation of capital will detract from the growth potential of the economy.</w:t>
      </w:r>
    </w:p>
    <w:p w:rsidR="00020BCE" w:rsidRDefault="009522A9" w:rsidP="00020BCE">
      <w:pPr>
        <w:pStyle w:val="OutlineNumbered1"/>
      </w:pPr>
      <w:r>
        <w:t>T</w:t>
      </w:r>
      <w:r w:rsidR="00020BCE">
        <w:t xml:space="preserve">he financial system allows individuals to </w:t>
      </w:r>
      <w:r w:rsidR="00020BCE" w:rsidRPr="009522A9">
        <w:rPr>
          <w:b/>
        </w:rPr>
        <w:t>pool risk and to allocate risk to those most suited to bear it</w:t>
      </w:r>
      <w:r>
        <w:t xml:space="preserve">.  For instance, </w:t>
      </w:r>
      <w:r w:rsidR="00020BCE">
        <w:t>home insurance allows individuals to pool the risks associated with losing their home; and</w:t>
      </w:r>
      <w:r>
        <w:t xml:space="preserve"> </w:t>
      </w:r>
      <w:r w:rsidR="00020BCE">
        <w:t>foreign exchange derivatives allow financial institutions to shift exchange rate risk to another party</w:t>
      </w:r>
      <w:r w:rsidR="002642B4">
        <w:t xml:space="preserve"> more willing to bear, and manage, that risk</w:t>
      </w:r>
      <w:r w:rsidR="00020BCE">
        <w:t>.</w:t>
      </w:r>
    </w:p>
    <w:p w:rsidR="00C2084E" w:rsidRDefault="00020BCE" w:rsidP="009522A9">
      <w:pPr>
        <w:pStyle w:val="OutlineNumbered1"/>
      </w:pPr>
      <w:r>
        <w:t xml:space="preserve">The </w:t>
      </w:r>
      <w:r w:rsidR="009522A9">
        <w:t xml:space="preserve">financial system provides </w:t>
      </w:r>
      <w:r>
        <w:t xml:space="preserve">clearing and settlement services </w:t>
      </w:r>
      <w:r w:rsidR="003C7CF3">
        <w:t>that enable</w:t>
      </w:r>
      <w:r>
        <w:t xml:space="preserve"> </w:t>
      </w:r>
      <w:r w:rsidR="009522A9">
        <w:t xml:space="preserve">a more </w:t>
      </w:r>
      <w:r w:rsidRPr="00281F26">
        <w:rPr>
          <w:b/>
        </w:rPr>
        <w:t>efficient exchange of goods and services</w:t>
      </w:r>
      <w:r>
        <w:t xml:space="preserve">.  </w:t>
      </w:r>
      <w:r w:rsidR="009522A9">
        <w:t xml:space="preserve">In addition to reducing the transaction costs of exchanging goods and services, the financial system </w:t>
      </w:r>
      <w:r w:rsidR="00CB6B58">
        <w:t>supports</w:t>
      </w:r>
      <w:r w:rsidR="009522A9">
        <w:t xml:space="preserve"> settlement timefr</w:t>
      </w:r>
      <w:r w:rsidR="0034612B">
        <w:t>ames which significantly reduce</w:t>
      </w:r>
      <w:r w:rsidR="009522A9">
        <w:t xml:space="preserve"> </w:t>
      </w:r>
      <w:r>
        <w:t xml:space="preserve">the risk that </w:t>
      </w:r>
      <w:r w:rsidR="009522A9">
        <w:t xml:space="preserve">a </w:t>
      </w:r>
      <w:r>
        <w:t>party receiving good</w:t>
      </w:r>
      <w:r w:rsidR="009522A9">
        <w:t>s</w:t>
      </w:r>
      <w:r>
        <w:t xml:space="preserve"> or service</w:t>
      </w:r>
      <w:r w:rsidR="009522A9">
        <w:t>s</w:t>
      </w:r>
      <w:r>
        <w:t xml:space="preserve"> will default prior to </w:t>
      </w:r>
      <w:r w:rsidR="004A1C41">
        <w:t>a</w:t>
      </w:r>
      <w:r>
        <w:t xml:space="preserve"> payment </w:t>
      </w:r>
      <w:bookmarkStart w:id="124" w:name="_Toc381951915"/>
      <w:bookmarkStart w:id="125" w:name="_Toc381952524"/>
      <w:bookmarkStart w:id="126" w:name="_Toc383096705"/>
      <w:r w:rsidR="00A15DCD">
        <w:t>being completed.</w:t>
      </w:r>
    </w:p>
    <w:bookmarkEnd w:id="124"/>
    <w:bookmarkEnd w:id="125"/>
    <w:bookmarkEnd w:id="126"/>
    <w:p w:rsidR="00591614" w:rsidRDefault="006138B6" w:rsidP="00591614">
      <w:pPr>
        <w:pStyle w:val="OutlineNumbered1"/>
      </w:pPr>
      <w:r>
        <w:t xml:space="preserve">The </w:t>
      </w:r>
      <w:r w:rsidR="00CB6B58">
        <w:t>technical</w:t>
      </w:r>
      <w:r w:rsidR="0034612B">
        <w:t xml:space="preserve"> efficiency of the </w:t>
      </w:r>
      <w:r>
        <w:t xml:space="preserve">financial system </w:t>
      </w:r>
      <w:r w:rsidR="0034612B">
        <w:t>is achieved when it delivers</w:t>
      </w:r>
      <w:r>
        <w:t xml:space="preserve"> </w:t>
      </w:r>
      <w:r w:rsidR="00CB6B58">
        <w:t>its</w:t>
      </w:r>
      <w:r w:rsidR="00A15DCD">
        <w:t xml:space="preserve"> services at </w:t>
      </w:r>
      <w:r w:rsidR="004A1C41">
        <w:t>the lowest</w:t>
      </w:r>
      <w:r w:rsidR="00A15DCD">
        <w:t xml:space="preserve"> cost.</w:t>
      </w:r>
    </w:p>
    <w:p w:rsidR="00591614" w:rsidRDefault="00591614" w:rsidP="00591614">
      <w:pPr>
        <w:pStyle w:val="OutlineNumbered1"/>
      </w:pPr>
      <w:r>
        <w:t xml:space="preserve">Australia will be well served by its financial system provided it continues to service the </w:t>
      </w:r>
      <w:r w:rsidR="00CB6B58">
        <w:t>needs of businesses and households</w:t>
      </w:r>
      <w:hyperlink r:id="rId13" w:history="1"/>
      <w:r w:rsidRPr="00E555C6">
        <w:rPr>
          <w:color w:val="000000" w:themeColor="text1"/>
        </w:rPr>
        <w:t xml:space="preserve">.  </w:t>
      </w:r>
      <w:r w:rsidR="00CB6B58">
        <w:rPr>
          <w:color w:val="000000" w:themeColor="text1"/>
        </w:rPr>
        <w:t xml:space="preserve">Just as </w:t>
      </w:r>
      <w:r w:rsidRPr="00E555C6">
        <w:rPr>
          <w:color w:val="000000" w:themeColor="text1"/>
        </w:rPr>
        <w:t>the real economy is continuous</w:t>
      </w:r>
      <w:r w:rsidR="00CB6B58">
        <w:rPr>
          <w:color w:val="000000" w:themeColor="text1"/>
        </w:rPr>
        <w:t>ly changing</w:t>
      </w:r>
      <w:r w:rsidR="00220016">
        <w:rPr>
          <w:color w:val="000000" w:themeColor="text1"/>
        </w:rPr>
        <w:t xml:space="preserve"> to ensure its</w:t>
      </w:r>
      <w:r w:rsidRPr="00E555C6">
        <w:rPr>
          <w:color w:val="000000" w:themeColor="text1"/>
        </w:rPr>
        <w:t xml:space="preserve"> </w:t>
      </w:r>
      <w:r w:rsidR="00B63CB9">
        <w:rPr>
          <w:color w:val="000000" w:themeColor="text1"/>
        </w:rPr>
        <w:t>dynamic efficiency</w:t>
      </w:r>
      <w:r w:rsidR="00220016">
        <w:rPr>
          <w:color w:val="000000" w:themeColor="text1"/>
        </w:rPr>
        <w:t>,</w:t>
      </w:r>
      <w:r w:rsidR="00B63CB9">
        <w:rPr>
          <w:color w:val="000000" w:themeColor="text1"/>
        </w:rPr>
        <w:t xml:space="preserve"> the</w:t>
      </w:r>
      <w:r w:rsidR="003C7CF3">
        <w:rPr>
          <w:color w:val="000000" w:themeColor="text1"/>
        </w:rPr>
        <w:t xml:space="preserve"> </w:t>
      </w:r>
      <w:r w:rsidRPr="00E555C6">
        <w:rPr>
          <w:color w:val="000000" w:themeColor="text1"/>
        </w:rPr>
        <w:t xml:space="preserve">financial system </w:t>
      </w:r>
      <w:r w:rsidR="00CB6B58">
        <w:rPr>
          <w:color w:val="000000" w:themeColor="text1"/>
        </w:rPr>
        <w:t xml:space="preserve">needs to be </w:t>
      </w:r>
      <w:r>
        <w:t>flexible</w:t>
      </w:r>
      <w:r w:rsidR="00CB6B58">
        <w:t>, adaptable and respond to innovation.</w:t>
      </w:r>
    </w:p>
    <w:p w:rsidR="00B63CB9" w:rsidRDefault="00B63CB9" w:rsidP="00A15DCD">
      <w:pPr>
        <w:pStyle w:val="OutlineNumbered1"/>
      </w:pPr>
      <w:r>
        <w:t>These concepts of efficiency are an important framework for assessing the perf</w:t>
      </w:r>
      <w:r w:rsidR="00CB6B58">
        <w:t>ormance of the financial system.  However</w:t>
      </w:r>
      <w:r>
        <w:t xml:space="preserve"> the scale and complexity of the system </w:t>
      </w:r>
      <w:r>
        <w:lastRenderedPageBreak/>
        <w:t xml:space="preserve">necessarily means that such </w:t>
      </w:r>
      <w:r w:rsidR="0052061E">
        <w:t>assessments</w:t>
      </w:r>
      <w:r>
        <w:t xml:space="preserve"> will be </w:t>
      </w:r>
      <w:r w:rsidR="00CB6B58">
        <w:t xml:space="preserve">largely </w:t>
      </w:r>
      <w:r>
        <w:t>qualitative in nature</w:t>
      </w:r>
      <w:r w:rsidR="00167BD2">
        <w:t>, reflecting judgement as well as technical analysis.</w:t>
      </w:r>
    </w:p>
    <w:p w:rsidR="00DA7D52" w:rsidRPr="00FD7165" w:rsidRDefault="00DA7D52" w:rsidP="00FD7165">
      <w:pPr>
        <w:pStyle w:val="Heading3"/>
        <w:rPr>
          <w:lang w:eastAsia="en-AU"/>
        </w:rPr>
      </w:pPr>
      <w:bookmarkStart w:id="127" w:name="_Toc380408289"/>
      <w:bookmarkStart w:id="128" w:name="_Toc381270007"/>
      <w:bookmarkStart w:id="129" w:name="_Toc381824169"/>
      <w:bookmarkStart w:id="130" w:name="_Toc381951930"/>
      <w:bookmarkStart w:id="131" w:name="_Toc382496714"/>
      <w:bookmarkStart w:id="132" w:name="_Toc382496768"/>
      <w:bookmarkStart w:id="133" w:name="_Toc383524004"/>
      <w:bookmarkStart w:id="134" w:name="_Toc383531495"/>
      <w:bookmarkStart w:id="135" w:name="_Toc383703281"/>
      <w:bookmarkStart w:id="136" w:name="_Toc383704165"/>
      <w:bookmarkStart w:id="137" w:name="_Toc383783833"/>
      <w:bookmarkStart w:id="138" w:name="_Toc383784637"/>
      <w:bookmarkStart w:id="139" w:name="_Toc384121494"/>
      <w:bookmarkStart w:id="140" w:name="_Toc384123720"/>
      <w:bookmarkStart w:id="141" w:name="_Toc384132406"/>
      <w:bookmarkStart w:id="142" w:name="_Toc384205164"/>
      <w:bookmarkStart w:id="143" w:name="_Toc384278500"/>
      <w:bookmarkStart w:id="144" w:name="_Toc381705784"/>
      <w:r w:rsidRPr="00FD7165">
        <w:rPr>
          <w:lang w:eastAsia="en-AU"/>
        </w:rPr>
        <w:t xml:space="preserve">The financial </w:t>
      </w:r>
      <w:r w:rsidR="0029747B" w:rsidRPr="00FD7165">
        <w:rPr>
          <w:lang w:eastAsia="en-AU"/>
        </w:rPr>
        <w:t>system warrants</w:t>
      </w:r>
      <w:r w:rsidRPr="00FD7165">
        <w:rPr>
          <w:lang w:eastAsia="en-AU"/>
        </w:rPr>
        <w:t xml:space="preserve"> special regulatory attention</w:t>
      </w:r>
      <w:bookmarkEnd w:id="127"/>
      <w:bookmarkEnd w:id="128"/>
      <w:bookmarkEnd w:id="129"/>
      <w:bookmarkEnd w:id="130"/>
      <w:bookmarkEnd w:id="131"/>
      <w:bookmarkEnd w:id="132"/>
      <w:bookmarkEnd w:id="133"/>
      <w:bookmarkEnd w:id="134"/>
      <w:r w:rsidR="00A06828">
        <w:rPr>
          <w:lang w:eastAsia="en-AU"/>
        </w:rPr>
        <w:t xml:space="preserve"> </w:t>
      </w:r>
      <w:r w:rsidR="004A1C41">
        <w:rPr>
          <w:lang w:eastAsia="en-AU"/>
        </w:rPr>
        <w:t>which</w:t>
      </w:r>
      <w:r w:rsidR="00A06828">
        <w:rPr>
          <w:lang w:eastAsia="en-AU"/>
        </w:rPr>
        <w:t xml:space="preserve"> involves trade</w:t>
      </w:r>
      <w:r w:rsidR="00A45021">
        <w:rPr>
          <w:lang w:eastAsia="en-AU"/>
        </w:rPr>
        <w:t>-</w:t>
      </w:r>
      <w:r w:rsidR="00A06828">
        <w:rPr>
          <w:lang w:eastAsia="en-AU"/>
        </w:rPr>
        <w:t>offs</w:t>
      </w:r>
      <w:bookmarkEnd w:id="135"/>
      <w:bookmarkEnd w:id="136"/>
      <w:bookmarkEnd w:id="137"/>
      <w:bookmarkEnd w:id="138"/>
      <w:bookmarkEnd w:id="139"/>
      <w:bookmarkEnd w:id="140"/>
      <w:bookmarkEnd w:id="141"/>
      <w:bookmarkEnd w:id="142"/>
      <w:bookmarkEnd w:id="143"/>
    </w:p>
    <w:p w:rsidR="00573B67" w:rsidRDefault="00F7237E" w:rsidP="00040556">
      <w:pPr>
        <w:pStyle w:val="OutlineNumbered1"/>
      </w:pPr>
      <w:bookmarkStart w:id="145" w:name="_Toc381951931"/>
      <w:bookmarkStart w:id="146" w:name="_Toc382496715"/>
      <w:bookmarkStart w:id="147" w:name="_Toc382496769"/>
      <w:r>
        <w:t xml:space="preserve">The objective of </w:t>
      </w:r>
      <w:r w:rsidR="00573B67">
        <w:t>government</w:t>
      </w:r>
      <w:r>
        <w:t xml:space="preserve"> intervention in the financial system </w:t>
      </w:r>
      <w:r w:rsidR="00573B67">
        <w:t>should</w:t>
      </w:r>
      <w:r>
        <w:t xml:space="preserve"> be to improve </w:t>
      </w:r>
      <w:r w:rsidR="00573B67">
        <w:t>its</w:t>
      </w:r>
      <w:r>
        <w:t xml:space="preserve"> efficiency</w:t>
      </w:r>
      <w:r w:rsidR="00CB6B58">
        <w:t xml:space="preserve"> and stability.</w:t>
      </w:r>
    </w:p>
    <w:p w:rsidR="00F7237E" w:rsidRDefault="00F938A3" w:rsidP="00040556">
      <w:pPr>
        <w:pStyle w:val="OutlineNumbered1"/>
      </w:pPr>
      <w:r>
        <w:t>To this end</w:t>
      </w:r>
      <w:r w:rsidR="00573B67">
        <w:t>, the role</w:t>
      </w:r>
      <w:r w:rsidR="00F7237E">
        <w:t xml:space="preserve"> of </w:t>
      </w:r>
      <w:r w:rsidR="004F1295">
        <w:t>government</w:t>
      </w:r>
      <w:r w:rsidR="00573B67">
        <w:t xml:space="preserve"> should be</w:t>
      </w:r>
      <w:r w:rsidR="00F7237E">
        <w:t xml:space="preserve"> to </w:t>
      </w:r>
      <w:r w:rsidR="00D71926">
        <w:t xml:space="preserve">encourage </w:t>
      </w:r>
      <w:r w:rsidR="00573B67">
        <w:t>a competitive</w:t>
      </w:r>
      <w:r w:rsidR="00535AA3">
        <w:t>,</w:t>
      </w:r>
      <w:r w:rsidR="00F7237E">
        <w:t xml:space="preserve"> market</w:t>
      </w:r>
      <w:r w:rsidR="00151D61">
        <w:noBreakHyphen/>
      </w:r>
      <w:r w:rsidR="00573B67">
        <w:t>based</w:t>
      </w:r>
      <w:r w:rsidR="00535AA3">
        <w:t>,</w:t>
      </w:r>
      <w:r w:rsidR="00573B67">
        <w:t xml:space="preserve"> system </w:t>
      </w:r>
      <w:r w:rsidR="00D71926">
        <w:t xml:space="preserve">that recognises the </w:t>
      </w:r>
      <w:r w:rsidR="00D71926" w:rsidRPr="00522FEB">
        <w:t>private sector</w:t>
      </w:r>
      <w:r w:rsidR="00D71926">
        <w:t>’s primary role in</w:t>
      </w:r>
      <w:r w:rsidR="00D71926" w:rsidRPr="00522FEB">
        <w:t xml:space="preserve"> </w:t>
      </w:r>
      <w:r w:rsidR="00D71926">
        <w:t>respond</w:t>
      </w:r>
      <w:r w:rsidR="004F1295">
        <w:t>ing</w:t>
      </w:r>
      <w:r w:rsidR="00D71926" w:rsidRPr="00522FEB">
        <w:t xml:space="preserve"> to customer needs</w:t>
      </w:r>
      <w:r w:rsidR="00D71926">
        <w:t xml:space="preserve">. </w:t>
      </w:r>
      <w:r w:rsidR="007E2AB6">
        <w:t xml:space="preserve"> </w:t>
      </w:r>
      <w:r w:rsidR="004F1295">
        <w:t xml:space="preserve">Regulatory intervention </w:t>
      </w:r>
      <w:r w:rsidR="003D6144">
        <w:t>should be targeted to areas where the market is likely to fail, and</w:t>
      </w:r>
      <w:r w:rsidR="00F7237E">
        <w:t xml:space="preserve"> where the benefits of the regulation outweigh </w:t>
      </w:r>
      <w:r w:rsidR="004F1295">
        <w:t>its</w:t>
      </w:r>
      <w:r w:rsidR="00F7237E">
        <w:t xml:space="preserve"> costs.</w:t>
      </w:r>
    </w:p>
    <w:p w:rsidR="00D83252" w:rsidRDefault="00E0277D" w:rsidP="00040556">
      <w:pPr>
        <w:pStyle w:val="OutlineNumbered1"/>
      </w:pPr>
      <w:r>
        <w:t>Two broad forms of market failure that warrant regulatory intervention specific to the financial system</w:t>
      </w:r>
      <w:r w:rsidR="0027181A">
        <w:t xml:space="preserve"> — </w:t>
      </w:r>
      <w:r>
        <w:t>rather than relying on an economy-wide approach</w:t>
      </w:r>
      <w:r w:rsidR="0027181A">
        <w:t xml:space="preserve"> — </w:t>
      </w:r>
      <w:r w:rsidR="00654646">
        <w:t>arise from</w:t>
      </w:r>
      <w:r>
        <w:t>:</w:t>
      </w:r>
    </w:p>
    <w:p w:rsidR="00E0277D" w:rsidRDefault="00E0277D" w:rsidP="00E0277D">
      <w:pPr>
        <w:pStyle w:val="Bullet"/>
      </w:pPr>
      <w:r>
        <w:t>systemic risk, or the negative externalities arising from the failure of a systemically important institution on other institutions within the system on the economy more</w:t>
      </w:r>
      <w:r w:rsidR="009166F7">
        <w:t xml:space="preserve"> broadly;</w:t>
      </w:r>
      <w:r w:rsidR="00A34837">
        <w:t xml:space="preserve"> and</w:t>
      </w:r>
    </w:p>
    <w:p w:rsidR="00E0277D" w:rsidRDefault="00E0277D" w:rsidP="00E0277D">
      <w:pPr>
        <w:pStyle w:val="Bullet"/>
      </w:pPr>
      <w:r>
        <w:t>agency costs</w:t>
      </w:r>
      <w:r w:rsidR="000A4933">
        <w:t xml:space="preserve"> that can arise where an agent pursues their own self</w:t>
      </w:r>
      <w:r w:rsidR="00800EB1">
        <w:t>-</w:t>
      </w:r>
      <w:r w:rsidR="000A4933">
        <w:t xml:space="preserve">interest rather than those of the principal (or owner) of an asset because of an asymmetry of information or </w:t>
      </w:r>
      <w:r w:rsidR="00E219D8">
        <w:t xml:space="preserve">other </w:t>
      </w:r>
      <w:r w:rsidR="000A4933">
        <w:t xml:space="preserve">incapacity on the part of the owner </w:t>
      </w:r>
      <w:r w:rsidR="009166F7">
        <w:t>to ensure the agent’s incentives are aligned with his or her own interests.</w:t>
      </w:r>
      <w:r w:rsidR="00A01A5A">
        <w:t xml:space="preserve">  Agency costs </w:t>
      </w:r>
      <w:r w:rsidR="00072ACF">
        <w:t xml:space="preserve">can occur throughout the economy but are </w:t>
      </w:r>
      <w:r w:rsidR="00A01A5A">
        <w:t>particularly pronounced in the financial system</w:t>
      </w:r>
      <w:r w:rsidR="00072ACF">
        <w:t>.</w:t>
      </w:r>
    </w:p>
    <w:p w:rsidR="009166F7" w:rsidRDefault="009166F7" w:rsidP="009166F7">
      <w:pPr>
        <w:pStyle w:val="OutlineNumbered1"/>
      </w:pPr>
      <w:r>
        <w:t xml:space="preserve">Regulatory intervention to address these market failures </w:t>
      </w:r>
      <w:r w:rsidR="00220016">
        <w:t>aims</w:t>
      </w:r>
      <w:r>
        <w:t xml:space="preserve"> to increase the </w:t>
      </w:r>
      <w:r w:rsidR="00F938A3">
        <w:t xml:space="preserve">stability and the </w:t>
      </w:r>
      <w:r>
        <w:t>efficiency of the financial system a</w:t>
      </w:r>
      <w:r w:rsidR="00F938A3">
        <w:t>long with its</w:t>
      </w:r>
      <w:r>
        <w:t xml:space="preserve"> fairness.  However regulatory intervention </w:t>
      </w:r>
      <w:r w:rsidR="00F938A3">
        <w:t>can</w:t>
      </w:r>
      <w:r>
        <w:t xml:space="preserve"> </w:t>
      </w:r>
      <w:r w:rsidR="00646E93">
        <w:t>introduce</w:t>
      </w:r>
      <w:r>
        <w:t xml:space="preserve"> costs that detract from efficiency.  The challenge is to</w:t>
      </w:r>
      <w:r w:rsidDel="00800EB1">
        <w:t xml:space="preserve"> </w:t>
      </w:r>
      <w:r w:rsidR="00800EB1">
        <w:t xml:space="preserve">balance </w:t>
      </w:r>
      <w:r>
        <w:t>these trade-offs.</w:t>
      </w:r>
    </w:p>
    <w:p w:rsidR="003D74D4" w:rsidRDefault="003D74D4" w:rsidP="003D74D4">
      <w:pPr>
        <w:pStyle w:val="Heading3"/>
      </w:pPr>
      <w:bookmarkStart w:id="148" w:name="_Toc383703282"/>
      <w:bookmarkStart w:id="149" w:name="_Toc383704166"/>
      <w:bookmarkStart w:id="150" w:name="_Toc383783834"/>
      <w:bookmarkStart w:id="151" w:name="_Toc383784638"/>
      <w:bookmarkStart w:id="152" w:name="_Toc384121495"/>
      <w:bookmarkStart w:id="153" w:name="_Toc384123721"/>
      <w:bookmarkStart w:id="154" w:name="_Toc384132407"/>
      <w:bookmarkStart w:id="155" w:name="_Toc384205165"/>
      <w:bookmarkStart w:id="156" w:name="_Toc384278501"/>
      <w:r>
        <w:t>Systemic risk</w:t>
      </w:r>
      <w:bookmarkEnd w:id="148"/>
      <w:bookmarkEnd w:id="149"/>
      <w:bookmarkEnd w:id="150"/>
      <w:bookmarkEnd w:id="151"/>
      <w:bookmarkEnd w:id="152"/>
      <w:bookmarkEnd w:id="153"/>
      <w:bookmarkEnd w:id="154"/>
      <w:bookmarkEnd w:id="155"/>
      <w:bookmarkEnd w:id="156"/>
    </w:p>
    <w:p w:rsidR="008B77EC" w:rsidRDefault="003D6144" w:rsidP="008B77EC">
      <w:pPr>
        <w:pStyle w:val="OutlineNumbered1"/>
      </w:pPr>
      <w:r>
        <w:t>The f</w:t>
      </w:r>
      <w:r w:rsidR="00F323B9">
        <w:t xml:space="preserve">inancial system provides </w:t>
      </w:r>
      <w:r>
        <w:t>a crucial link across</w:t>
      </w:r>
      <w:r w:rsidR="00F323B9">
        <w:t xml:space="preserve"> all sectors of the r</w:t>
      </w:r>
      <w:r w:rsidR="00762599">
        <w:t xml:space="preserve">eal economy, and </w:t>
      </w:r>
      <w:r>
        <w:t>its</w:t>
      </w:r>
      <w:r w:rsidR="00762599">
        <w:t xml:space="preserve"> smooth</w:t>
      </w:r>
      <w:r w:rsidR="00F323B9">
        <w:t xml:space="preserve"> </w:t>
      </w:r>
      <w:r>
        <w:t>functioning</w:t>
      </w:r>
      <w:r w:rsidR="00F323B9">
        <w:t xml:space="preserve"> depend</w:t>
      </w:r>
      <w:r w:rsidR="00762599">
        <w:t>s</w:t>
      </w:r>
      <w:r w:rsidR="00F323B9">
        <w:t xml:space="preserve"> on confidence in </w:t>
      </w:r>
      <w:r>
        <w:t xml:space="preserve">its institutional </w:t>
      </w:r>
      <w:r w:rsidR="00762599">
        <w:t>infrastructure.</w:t>
      </w:r>
      <w:r>
        <w:t xml:space="preserve">  </w:t>
      </w:r>
      <w:r w:rsidR="008B77EC">
        <w:t xml:space="preserve">While the financial system is a critical link in the economy and contributes to growth and wellbeing, </w:t>
      </w:r>
      <w:r w:rsidR="008B77EC" w:rsidRPr="003330E7">
        <w:rPr>
          <w:b/>
        </w:rPr>
        <w:t>it has the potential to transmit shocks and cause significant economic damage</w:t>
      </w:r>
      <w:r w:rsidR="008B77EC">
        <w:t>.</w:t>
      </w:r>
      <w:r w:rsidR="008B77EC">
        <w:rPr>
          <w:rStyle w:val="FootnoteReference"/>
        </w:rPr>
        <w:footnoteReference w:id="2"/>
      </w:r>
    </w:p>
    <w:p w:rsidR="008B77EC" w:rsidRDefault="00D83252" w:rsidP="008B77EC">
      <w:pPr>
        <w:pStyle w:val="OutlineNumbered1"/>
      </w:pPr>
      <w:r>
        <w:lastRenderedPageBreak/>
        <w:t>When the financial system</w:t>
      </w:r>
      <w:r w:rsidR="008B77EC" w:rsidRPr="00184D8C">
        <w:t xml:space="preserve"> stops functioning properly it has knock</w:t>
      </w:r>
      <w:r w:rsidR="003D6144">
        <w:t>-</w:t>
      </w:r>
      <w:r w:rsidR="008B77EC" w:rsidRPr="00184D8C">
        <w:t xml:space="preserve">on effects to all parts of the economy in a way that other sectors generally </w:t>
      </w:r>
      <w:r w:rsidR="008B77EC">
        <w:t>do not.</w:t>
      </w:r>
      <w:r w:rsidR="008B77EC">
        <w:rPr>
          <w:rStyle w:val="FootnoteReference"/>
        </w:rPr>
        <w:footnoteReference w:id="3"/>
      </w:r>
      <w:r w:rsidR="008B77EC" w:rsidRPr="00184D8C">
        <w:t xml:space="preserve">  </w:t>
      </w:r>
      <w:r w:rsidR="008B77EC">
        <w:t>W</w:t>
      </w:r>
      <w:r w:rsidR="008B77EC" w:rsidRPr="00184D8C">
        <w:t xml:space="preserve">ith </w:t>
      </w:r>
      <w:r w:rsidR="008B77EC">
        <w:t>growing</w:t>
      </w:r>
      <w:r w:rsidR="008B77EC" w:rsidRPr="00184D8C">
        <w:t xml:space="preserve"> connectivity among financial institutions and tighter financial and trade linkages between countries, financial shocks in one</w:t>
      </w:r>
      <w:r w:rsidR="008B77EC">
        <w:t xml:space="preserve"> jurisdiction can rapidly spill-</w:t>
      </w:r>
      <w:r w:rsidR="008B77EC" w:rsidRPr="00184D8C">
        <w:t>over across national borders</w:t>
      </w:r>
      <w:r w:rsidR="008B77EC">
        <w:t>.</w:t>
      </w:r>
    </w:p>
    <w:p w:rsidR="008B77EC" w:rsidRDefault="00F323B9" w:rsidP="008B77EC">
      <w:pPr>
        <w:pStyle w:val="OutlineNumbered1"/>
      </w:pPr>
      <w:r>
        <w:t>The</w:t>
      </w:r>
      <w:r w:rsidR="00D83252">
        <w:t>se</w:t>
      </w:r>
      <w:r>
        <w:t xml:space="preserve"> </w:t>
      </w:r>
      <w:r w:rsidR="00F938A3">
        <w:t xml:space="preserve">spill-over </w:t>
      </w:r>
      <w:r>
        <w:t xml:space="preserve">impacts </w:t>
      </w:r>
      <w:r w:rsidR="00D83252">
        <w:t xml:space="preserve">were </w:t>
      </w:r>
      <w:r>
        <w:t xml:space="preserve">illustrated </w:t>
      </w:r>
      <w:r w:rsidR="00220016">
        <w:t>when</w:t>
      </w:r>
      <w:r>
        <w:t xml:space="preserve"> systemically important financia</w:t>
      </w:r>
      <w:r w:rsidR="008B77EC">
        <w:t xml:space="preserve">l institutions </w:t>
      </w:r>
      <w:r w:rsidR="00220016">
        <w:t>failed during</w:t>
      </w:r>
      <w:r w:rsidR="008B77EC">
        <w:t xml:space="preserve"> the global financial crisis</w:t>
      </w:r>
      <w:r>
        <w:t>.</w:t>
      </w:r>
      <w:r w:rsidR="008B77EC">
        <w:t xml:space="preserve">  </w:t>
      </w:r>
      <w:r w:rsidR="008B77EC" w:rsidRPr="008B77EC">
        <w:rPr>
          <w:b/>
        </w:rPr>
        <w:t xml:space="preserve">The costs of financial instability </w:t>
      </w:r>
      <w:r w:rsidR="002C3CBC">
        <w:rPr>
          <w:b/>
        </w:rPr>
        <w:t>in terms of lost growth and for</w:t>
      </w:r>
      <w:r w:rsidR="008B77EC" w:rsidRPr="008B77EC">
        <w:rPr>
          <w:b/>
        </w:rPr>
        <w:t>gone welfare can be significant</w:t>
      </w:r>
      <w:r w:rsidR="008B77EC">
        <w:t>.</w:t>
      </w:r>
      <w:r w:rsidR="00DA6D50" w:rsidRPr="00EB3E6B">
        <w:rPr>
          <w:rStyle w:val="FootnoteReference"/>
        </w:rPr>
        <w:footnoteReference w:id="4"/>
      </w:r>
      <w:r w:rsidR="008B77EC">
        <w:t xml:space="preserve">  These effects are often long-lasting because of lower investment, unemployment and </w:t>
      </w:r>
      <w:r w:rsidR="00D83252">
        <w:t>the</w:t>
      </w:r>
      <w:r w:rsidR="003C7CF3">
        <w:t xml:space="preserve"> slower</w:t>
      </w:r>
      <w:r w:rsidR="008B77EC">
        <w:t xml:space="preserve"> growth </w:t>
      </w:r>
      <w:r w:rsidR="003C7CF3">
        <w:t xml:space="preserve">potential </w:t>
      </w:r>
      <w:r w:rsidR="008B77EC">
        <w:t>of affected economies.</w:t>
      </w:r>
    </w:p>
    <w:p w:rsidR="008B77EC" w:rsidRDefault="008B77EC" w:rsidP="008B77EC">
      <w:pPr>
        <w:pStyle w:val="Bullet"/>
      </w:pPr>
      <w:r>
        <w:t>The global financial crisis was followed by significant increases in unemployment across the globe, with OECD average unemployment rates rising from 5.6 per cent to 8.</w:t>
      </w:r>
      <w:r w:rsidR="003F273B">
        <w:t>5</w:t>
      </w:r>
      <w:r>
        <w:t xml:space="preserve"> per cent.  In Spain and Greece the unemployment rate has risen to over 25 per cent.</w:t>
      </w:r>
      <w:r w:rsidR="00940C2A">
        <w:rPr>
          <w:rStyle w:val="FootnoteReference"/>
        </w:rPr>
        <w:footnoteReference w:id="5"/>
      </w:r>
    </w:p>
    <w:p w:rsidR="008B77EC" w:rsidRDefault="008B77EC" w:rsidP="008B77EC">
      <w:pPr>
        <w:pStyle w:val="Bullet"/>
      </w:pPr>
      <w:r>
        <w:t>The Dallas Federal Reserve has estimated that in the United States, around 40 to 90 per cent of one year</w:t>
      </w:r>
      <w:r w:rsidRPr="0091745A">
        <w:t>’</w:t>
      </w:r>
      <w:r>
        <w:t>s output was forgone due to the global financial crisis ($6 trillion to $14 trillion, the equivalent of $50,000 to $120,000 for every U.S. household).</w:t>
      </w:r>
      <w:r>
        <w:rPr>
          <w:rStyle w:val="FootnoteReference"/>
        </w:rPr>
        <w:footnoteReference w:id="6"/>
      </w:r>
      <w:r>
        <w:t xml:space="preserve">  </w:t>
      </w:r>
    </w:p>
    <w:p w:rsidR="008B77EC" w:rsidRDefault="008B77EC" w:rsidP="008B77EC">
      <w:pPr>
        <w:pStyle w:val="Bullet"/>
      </w:pPr>
      <w:r>
        <w:t xml:space="preserve">The World Bank and IMF estimate that the global financial crisis has reduced the rate of poverty alleviation </w:t>
      </w:r>
      <w:r w:rsidR="0027181A">
        <w:t>—</w:t>
      </w:r>
      <w:r>
        <w:t xml:space="preserve"> keeping 53 million more people in extreme poverty by 2015 than otherwise.</w:t>
      </w:r>
      <w:r>
        <w:rPr>
          <w:rStyle w:val="FootnoteReference"/>
        </w:rPr>
        <w:footnoteReference w:id="7"/>
      </w:r>
      <w:r>
        <w:t xml:space="preserve">  </w:t>
      </w:r>
    </w:p>
    <w:p w:rsidR="003D74D4" w:rsidRDefault="003D74D4" w:rsidP="00E219D8">
      <w:pPr>
        <w:pStyle w:val="OutlineNumbered1"/>
      </w:pPr>
      <w:r w:rsidRPr="003330E7">
        <w:t xml:space="preserve">Devastating personal and financial hardship can emanate from disruption in the financial </w:t>
      </w:r>
      <w:r w:rsidR="00C53673">
        <w:t>system</w:t>
      </w:r>
      <w:r>
        <w:t>.  Financial hardship can cause permanent damage to people’s relationships and health.</w:t>
      </w:r>
    </w:p>
    <w:p w:rsidR="003D74D4" w:rsidRDefault="003D74D4" w:rsidP="00E219D8">
      <w:pPr>
        <w:pStyle w:val="OutlineNumbered1"/>
      </w:pPr>
      <w:r>
        <w:t>While Australia experienced a small numb</w:t>
      </w:r>
      <w:r w:rsidR="00F938A3">
        <w:t>er of isolated failures in the p</w:t>
      </w:r>
      <w:r>
        <w:t xml:space="preserve">ast decade, these failures have been financially and emotionally </w:t>
      </w:r>
      <w:r w:rsidR="00F938A3">
        <w:t>difficult</w:t>
      </w:r>
      <w:r>
        <w:t xml:space="preserve"> for the people affected.  A Parliamentary Inquiry in 2009 that examined the collapse of several financial companies remarked:</w:t>
      </w:r>
    </w:p>
    <w:p w:rsidR="003D74D4" w:rsidRDefault="003D74D4" w:rsidP="003D74D4">
      <w:pPr>
        <w:pStyle w:val="OutlineNumbered1"/>
        <w:numPr>
          <w:ilvl w:val="0"/>
          <w:numId w:val="0"/>
        </w:numPr>
        <w:ind w:left="720"/>
        <w:rPr>
          <w:i/>
        </w:rPr>
      </w:pPr>
      <w:r w:rsidRPr="00EA71D2">
        <w:rPr>
          <w:i/>
        </w:rPr>
        <w:t>Many of the</w:t>
      </w:r>
      <w:r>
        <w:rPr>
          <w:i/>
        </w:rPr>
        <w:t xml:space="preserve"> people</w:t>
      </w:r>
      <w:r w:rsidRPr="00EA71D2">
        <w:rPr>
          <w:i/>
        </w:rPr>
        <w:t xml:space="preserve"> hardest hit experienced the loss of retirement savings, forced sales of family homes, breakdowns in personal relationships, inability to meet living expenses, and ill health.  Some </w:t>
      </w:r>
      <w:r w:rsidR="00303E1F">
        <w:rPr>
          <w:i/>
        </w:rPr>
        <w:t>are now faced</w:t>
      </w:r>
      <w:r w:rsidRPr="00EA71D2">
        <w:rPr>
          <w:i/>
        </w:rPr>
        <w:t xml:space="preserve"> with trying to return to work at a time </w:t>
      </w:r>
      <w:r w:rsidRPr="00EA71D2">
        <w:rPr>
          <w:i/>
        </w:rPr>
        <w:lastRenderedPageBreak/>
        <w:t>in their lives when it would not be easy for them to find work, or when doing so will be inconsistent wit</w:t>
      </w:r>
      <w:r>
        <w:rPr>
          <w:i/>
        </w:rPr>
        <w:t>h their current state of health.</w:t>
      </w:r>
      <w:r>
        <w:rPr>
          <w:rStyle w:val="FootnoteReference"/>
          <w:i/>
        </w:rPr>
        <w:footnoteReference w:id="8"/>
      </w:r>
    </w:p>
    <w:p w:rsidR="008B77EC" w:rsidRDefault="003D74D4" w:rsidP="008B77EC">
      <w:pPr>
        <w:pStyle w:val="OutlineNumbered1"/>
        <w:keepNext/>
      </w:pPr>
      <w:r>
        <w:t>Such impacts on the real economy and on society inevitably entail a response by government</w:t>
      </w:r>
      <w:r w:rsidR="00535AA3">
        <w:t>,</w:t>
      </w:r>
      <w:r>
        <w:t xml:space="preserve"> which has </w:t>
      </w:r>
      <w:r w:rsidR="008B77EC" w:rsidRPr="003D74D4">
        <w:t>tended to act as a ‘temporary shock absorber’ in a financial crisis.</w:t>
      </w:r>
      <w:r w:rsidR="008B77EC" w:rsidRPr="003D74D4">
        <w:rPr>
          <w:rStyle w:val="FootnoteReference"/>
        </w:rPr>
        <w:footnoteReference w:id="9"/>
      </w:r>
      <w:r w:rsidR="008B77EC">
        <w:t xml:space="preserve">  This</w:t>
      </w:r>
      <w:r w:rsidR="00CD02FA">
        <w:t xml:space="preserve"> occurs</w:t>
      </w:r>
      <w:r w:rsidR="008B77EC">
        <w:t xml:space="preserve"> primarily through:</w:t>
      </w:r>
    </w:p>
    <w:p w:rsidR="008B77EC" w:rsidRDefault="008B77EC" w:rsidP="008B77EC">
      <w:pPr>
        <w:pStyle w:val="Bullet"/>
      </w:pPr>
      <w:r>
        <w:t>capital injections and acquisitions of failed banks;</w:t>
      </w:r>
    </w:p>
    <w:p w:rsidR="008B77EC" w:rsidRDefault="008B77EC" w:rsidP="008B77EC">
      <w:pPr>
        <w:pStyle w:val="Bullet"/>
      </w:pPr>
      <w:r>
        <w:t xml:space="preserve">discretionary fiscal policy and support measures such as </w:t>
      </w:r>
      <w:r w:rsidRPr="00C739D0">
        <w:t>transfer payments</w:t>
      </w:r>
      <w:r w:rsidR="00220016">
        <w:t>, and the subsequent</w:t>
      </w:r>
      <w:r>
        <w:t xml:space="preserve"> costs of servicing public debt.</w:t>
      </w:r>
      <w:r w:rsidR="00E705BF">
        <w:rPr>
          <w:rStyle w:val="FootnoteReference"/>
        </w:rPr>
        <w:footnoteReference w:id="10"/>
      </w:r>
    </w:p>
    <w:p w:rsidR="008B77EC" w:rsidRPr="0049101A" w:rsidRDefault="008B77EC" w:rsidP="00922ABC">
      <w:pPr>
        <w:pStyle w:val="Caption"/>
        <w:jc w:val="center"/>
        <w:rPr>
          <w:b w:val="0"/>
        </w:rPr>
      </w:pPr>
      <w:bookmarkStart w:id="157" w:name="_Ref383774393"/>
      <w:bookmarkStart w:id="158" w:name="_Ref383774364"/>
      <w:r>
        <w:t xml:space="preserve">Table </w:t>
      </w:r>
      <w:r w:rsidR="000A480B">
        <w:rPr>
          <w:noProof/>
        </w:rPr>
        <w:fldChar w:fldCharType="begin"/>
      </w:r>
      <w:r w:rsidR="000A480B">
        <w:rPr>
          <w:noProof/>
        </w:rPr>
        <w:instrText xml:space="preserve"> SEQ Table \* ARABIC </w:instrText>
      </w:r>
      <w:r w:rsidR="000A480B">
        <w:rPr>
          <w:noProof/>
        </w:rPr>
        <w:fldChar w:fldCharType="separate"/>
      </w:r>
      <w:r w:rsidR="0050148E">
        <w:rPr>
          <w:noProof/>
        </w:rPr>
        <w:t>1</w:t>
      </w:r>
      <w:r w:rsidR="000A480B">
        <w:rPr>
          <w:noProof/>
        </w:rPr>
        <w:fldChar w:fldCharType="end"/>
      </w:r>
      <w:bookmarkEnd w:id="157"/>
      <w:r w:rsidR="00922ABC">
        <w:t>:</w:t>
      </w:r>
      <w:r>
        <w:t xml:space="preserve"> </w:t>
      </w:r>
      <w:r w:rsidRPr="0049101A">
        <w:rPr>
          <w:b w:val="0"/>
        </w:rPr>
        <w:t>Government support during the crisis</w:t>
      </w:r>
      <w:bookmarkEnd w:id="158"/>
    </w:p>
    <w:tbl>
      <w:tblPr>
        <w:tblStyle w:val="TableGrid"/>
        <w:tblW w:w="0" w:type="auto"/>
        <w:tblInd w:w="1242" w:type="dxa"/>
        <w:tblLook w:val="04A0" w:firstRow="1" w:lastRow="0" w:firstColumn="1" w:lastColumn="0" w:noHBand="0" w:noVBand="1"/>
      </w:tblPr>
      <w:tblGrid>
        <w:gridCol w:w="1875"/>
        <w:gridCol w:w="2803"/>
        <w:gridCol w:w="1680"/>
        <w:gridCol w:w="1642"/>
      </w:tblGrid>
      <w:tr w:rsidR="008B77EC" w:rsidTr="00393AAE">
        <w:tc>
          <w:tcPr>
            <w:tcW w:w="1875" w:type="dxa"/>
            <w:tcBorders>
              <w:left w:val="nil"/>
              <w:bottom w:val="nil"/>
              <w:right w:val="nil"/>
            </w:tcBorders>
            <w:shd w:val="clear" w:color="auto" w:fill="DBE5F1" w:themeFill="accent1" w:themeFillTint="33"/>
          </w:tcPr>
          <w:p w:rsidR="008B77EC" w:rsidRDefault="008B77EC" w:rsidP="00393AAE">
            <w:pPr>
              <w:pStyle w:val="Bullet"/>
              <w:numPr>
                <w:ilvl w:val="0"/>
                <w:numId w:val="0"/>
              </w:numPr>
            </w:pPr>
          </w:p>
        </w:tc>
        <w:tc>
          <w:tcPr>
            <w:tcW w:w="2803" w:type="dxa"/>
            <w:tcBorders>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jc w:val="right"/>
              <w:rPr>
                <w:b/>
              </w:rPr>
            </w:pPr>
            <w:r w:rsidRPr="00404B71">
              <w:rPr>
                <w:b/>
              </w:rPr>
              <w:t xml:space="preserve">Capital injections to </w:t>
            </w:r>
            <w:r>
              <w:rPr>
                <w:b/>
              </w:rPr>
              <w:t xml:space="preserve">financial </w:t>
            </w:r>
            <w:r w:rsidRPr="00404B71">
              <w:rPr>
                <w:b/>
              </w:rPr>
              <w:t>sector</w:t>
            </w:r>
          </w:p>
        </w:tc>
        <w:tc>
          <w:tcPr>
            <w:tcW w:w="3322" w:type="dxa"/>
            <w:gridSpan w:val="2"/>
            <w:tcBorders>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ind w:right="0"/>
              <w:jc w:val="center"/>
              <w:rPr>
                <w:b/>
              </w:rPr>
            </w:pPr>
            <w:r w:rsidRPr="00404B71">
              <w:rPr>
                <w:b/>
              </w:rPr>
              <w:t xml:space="preserve">Discretionary fiscal </w:t>
            </w:r>
            <w:r>
              <w:rPr>
                <w:b/>
              </w:rPr>
              <w:br/>
            </w:r>
            <w:r w:rsidRPr="00404B71">
              <w:rPr>
                <w:b/>
              </w:rPr>
              <w:t>stimulus</w:t>
            </w:r>
          </w:p>
        </w:tc>
      </w:tr>
      <w:tr w:rsidR="008B77EC" w:rsidTr="00393AAE">
        <w:trPr>
          <w:trHeight w:val="301"/>
        </w:trPr>
        <w:tc>
          <w:tcPr>
            <w:tcW w:w="1875" w:type="dxa"/>
            <w:tcBorders>
              <w:top w:val="nil"/>
              <w:left w:val="nil"/>
              <w:bottom w:val="nil"/>
              <w:right w:val="nil"/>
            </w:tcBorders>
            <w:shd w:val="clear" w:color="auto" w:fill="DBE5F1" w:themeFill="accent1" w:themeFillTint="33"/>
          </w:tcPr>
          <w:p w:rsidR="008B77EC" w:rsidRDefault="008B77EC" w:rsidP="00393AAE">
            <w:pPr>
              <w:pStyle w:val="Bullet"/>
              <w:numPr>
                <w:ilvl w:val="0"/>
                <w:numId w:val="0"/>
              </w:numPr>
              <w:spacing w:after="0" w:line="240" w:lineRule="auto"/>
            </w:pPr>
          </w:p>
        </w:tc>
        <w:tc>
          <w:tcPr>
            <w:tcW w:w="2803" w:type="dxa"/>
            <w:tcBorders>
              <w:top w:val="single" w:sz="4" w:space="0" w:color="auto"/>
              <w:left w:val="nil"/>
              <w:bottom w:val="nil"/>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jc w:val="right"/>
              <w:rPr>
                <w:sz w:val="22"/>
              </w:rPr>
            </w:pPr>
            <w:r w:rsidRPr="00404B71">
              <w:rPr>
                <w:sz w:val="22"/>
              </w:rPr>
              <w:t>Per cent of 2009 GDP</w:t>
            </w:r>
          </w:p>
        </w:tc>
        <w:tc>
          <w:tcPr>
            <w:tcW w:w="3322" w:type="dxa"/>
            <w:gridSpan w:val="2"/>
            <w:tcBorders>
              <w:top w:val="single" w:sz="4" w:space="0" w:color="auto"/>
              <w:left w:val="nil"/>
              <w:bottom w:val="nil"/>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ind w:right="0"/>
              <w:jc w:val="center"/>
              <w:rPr>
                <w:sz w:val="22"/>
              </w:rPr>
            </w:pPr>
            <w:r w:rsidRPr="00404B71">
              <w:rPr>
                <w:sz w:val="22"/>
              </w:rPr>
              <w:t>Per cent of GDP</w:t>
            </w:r>
          </w:p>
        </w:tc>
      </w:tr>
      <w:tr w:rsidR="008B77EC" w:rsidRPr="00404B71" w:rsidTr="00393AAE">
        <w:tc>
          <w:tcPr>
            <w:tcW w:w="1875" w:type="dxa"/>
            <w:tcBorders>
              <w:top w:val="nil"/>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spacing w:after="0" w:line="240" w:lineRule="auto"/>
              <w:rPr>
                <w:sz w:val="22"/>
              </w:rPr>
            </w:pPr>
          </w:p>
        </w:tc>
        <w:tc>
          <w:tcPr>
            <w:tcW w:w="2803" w:type="dxa"/>
            <w:tcBorders>
              <w:top w:val="nil"/>
              <w:left w:val="nil"/>
              <w:bottom w:val="single" w:sz="4" w:space="0" w:color="auto"/>
              <w:right w:val="nil"/>
            </w:tcBorders>
            <w:shd w:val="clear" w:color="auto" w:fill="DBE5F1" w:themeFill="accent1" w:themeFillTint="33"/>
          </w:tcPr>
          <w:p w:rsidR="008B77EC" w:rsidRPr="00404B71" w:rsidRDefault="008B77EC" w:rsidP="00393AAE">
            <w:pPr>
              <w:pStyle w:val="Bullet"/>
              <w:numPr>
                <w:ilvl w:val="0"/>
                <w:numId w:val="0"/>
              </w:numPr>
              <w:spacing w:after="120" w:line="240" w:lineRule="auto"/>
              <w:rPr>
                <w:sz w:val="22"/>
              </w:rPr>
            </w:pPr>
          </w:p>
        </w:tc>
        <w:tc>
          <w:tcPr>
            <w:tcW w:w="1680" w:type="dxa"/>
            <w:tcBorders>
              <w:top w:val="nil"/>
              <w:left w:val="nil"/>
              <w:bottom w:val="single" w:sz="4" w:space="0" w:color="auto"/>
              <w:right w:val="nil"/>
            </w:tcBorders>
            <w:shd w:val="clear" w:color="auto" w:fill="DBE5F1" w:themeFill="accent1" w:themeFillTint="33"/>
          </w:tcPr>
          <w:p w:rsidR="008B77EC" w:rsidRPr="00404B71" w:rsidRDefault="008B77EC" w:rsidP="00741830">
            <w:pPr>
              <w:pStyle w:val="Bullet"/>
              <w:numPr>
                <w:ilvl w:val="0"/>
                <w:numId w:val="0"/>
              </w:numPr>
              <w:spacing w:after="120" w:line="240" w:lineRule="auto"/>
              <w:jc w:val="right"/>
              <w:rPr>
                <w:sz w:val="22"/>
              </w:rPr>
            </w:pPr>
            <w:r w:rsidRPr="00404B71">
              <w:rPr>
                <w:sz w:val="22"/>
              </w:rPr>
              <w:t>200</w:t>
            </w:r>
            <w:r w:rsidR="00741830">
              <w:rPr>
                <w:sz w:val="22"/>
              </w:rPr>
              <w:t>9</w:t>
            </w:r>
          </w:p>
        </w:tc>
        <w:tc>
          <w:tcPr>
            <w:tcW w:w="1642" w:type="dxa"/>
            <w:tcBorders>
              <w:top w:val="nil"/>
              <w:left w:val="nil"/>
              <w:bottom w:val="single" w:sz="4" w:space="0" w:color="auto"/>
              <w:right w:val="nil"/>
            </w:tcBorders>
            <w:shd w:val="clear" w:color="auto" w:fill="DBE5F1" w:themeFill="accent1" w:themeFillTint="33"/>
          </w:tcPr>
          <w:p w:rsidR="008B77EC" w:rsidRPr="00404B71" w:rsidRDefault="008B77EC" w:rsidP="00741830">
            <w:pPr>
              <w:pStyle w:val="Bullet"/>
              <w:numPr>
                <w:ilvl w:val="0"/>
                <w:numId w:val="0"/>
              </w:numPr>
              <w:spacing w:after="120" w:line="240" w:lineRule="auto"/>
              <w:jc w:val="right"/>
              <w:rPr>
                <w:sz w:val="22"/>
              </w:rPr>
            </w:pPr>
            <w:r w:rsidRPr="00404B71">
              <w:rPr>
                <w:sz w:val="22"/>
              </w:rPr>
              <w:t>20</w:t>
            </w:r>
            <w:r w:rsidR="00741830">
              <w:rPr>
                <w:sz w:val="22"/>
              </w:rPr>
              <w:t>10</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Australia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2.8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Canada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1.7</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China</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3.1</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2.7</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France</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1.1</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1.0</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0.5</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Germany</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1.2</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1.5</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2.1</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Italy</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0.3</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0.0</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0.1</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Japan</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0.1</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2.8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2.2</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Netherlands</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6.3</w:t>
            </w:r>
          </w:p>
        </w:tc>
        <w:tc>
          <w:tcPr>
            <w:tcW w:w="3322" w:type="dxa"/>
            <w:gridSpan w:val="2"/>
            <w:tcBorders>
              <w:left w:val="nil"/>
              <w:right w:val="nil"/>
            </w:tcBorders>
            <w:vAlign w:val="center"/>
          </w:tcPr>
          <w:p w:rsidR="008B77EC" w:rsidRDefault="008B77EC" w:rsidP="00393AAE">
            <w:pPr>
              <w:pStyle w:val="Bullet"/>
              <w:numPr>
                <w:ilvl w:val="0"/>
                <w:numId w:val="0"/>
              </w:numPr>
              <w:spacing w:after="0" w:line="240" w:lineRule="auto"/>
              <w:ind w:right="0"/>
              <w:jc w:val="center"/>
            </w:pPr>
            <w:r>
              <w:t>2.5 (a)</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Switzerland</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1.1</w:t>
            </w:r>
          </w:p>
        </w:tc>
        <w:tc>
          <w:tcPr>
            <w:tcW w:w="3322" w:type="dxa"/>
            <w:gridSpan w:val="2"/>
            <w:tcBorders>
              <w:left w:val="nil"/>
              <w:right w:val="nil"/>
            </w:tcBorders>
            <w:vAlign w:val="center"/>
          </w:tcPr>
          <w:p w:rsidR="008B77EC" w:rsidRDefault="008B77EC" w:rsidP="00393AAE">
            <w:pPr>
              <w:pStyle w:val="Bullet"/>
              <w:numPr>
                <w:ilvl w:val="0"/>
                <w:numId w:val="0"/>
              </w:numPr>
              <w:spacing w:after="0" w:line="240" w:lineRule="auto"/>
              <w:ind w:right="0"/>
              <w:jc w:val="center"/>
            </w:pPr>
            <w:r>
              <w:t>0.5 (a)</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United Kingdom</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6.4</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1.6</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0.2</w:t>
            </w:r>
          </w:p>
        </w:tc>
      </w:tr>
      <w:tr w:rsidR="008B77EC" w:rsidTr="00393AAE">
        <w:tc>
          <w:tcPr>
            <w:tcW w:w="1875" w:type="dxa"/>
            <w:tcBorders>
              <w:left w:val="nil"/>
              <w:right w:val="nil"/>
            </w:tcBorders>
            <w:vAlign w:val="center"/>
          </w:tcPr>
          <w:p w:rsidR="008B77EC" w:rsidRPr="00404B71" w:rsidRDefault="008B77EC" w:rsidP="00393AAE">
            <w:pPr>
              <w:pStyle w:val="Bullet"/>
              <w:numPr>
                <w:ilvl w:val="0"/>
                <w:numId w:val="0"/>
              </w:numPr>
              <w:spacing w:before="40" w:after="40" w:line="240" w:lineRule="auto"/>
              <w:ind w:right="0"/>
              <w:rPr>
                <w:sz w:val="22"/>
              </w:rPr>
            </w:pPr>
            <w:r w:rsidRPr="00404B71">
              <w:rPr>
                <w:sz w:val="22"/>
              </w:rPr>
              <w:t>United States</w:t>
            </w:r>
          </w:p>
        </w:tc>
        <w:tc>
          <w:tcPr>
            <w:tcW w:w="2803" w:type="dxa"/>
            <w:tcBorders>
              <w:left w:val="nil"/>
              <w:right w:val="nil"/>
            </w:tcBorders>
            <w:vAlign w:val="center"/>
          </w:tcPr>
          <w:p w:rsidR="008B77EC" w:rsidRDefault="008B77EC" w:rsidP="00393AAE">
            <w:pPr>
              <w:pStyle w:val="Bullet"/>
              <w:numPr>
                <w:ilvl w:val="0"/>
                <w:numId w:val="0"/>
              </w:numPr>
              <w:spacing w:after="0" w:line="240" w:lineRule="auto"/>
              <w:jc w:val="right"/>
            </w:pPr>
            <w:r>
              <w:t>2.9</w:t>
            </w:r>
          </w:p>
        </w:tc>
        <w:tc>
          <w:tcPr>
            <w:tcW w:w="1680" w:type="dxa"/>
            <w:tcBorders>
              <w:left w:val="nil"/>
              <w:right w:val="nil"/>
            </w:tcBorders>
            <w:vAlign w:val="center"/>
          </w:tcPr>
          <w:p w:rsidR="008B77EC" w:rsidRDefault="008B77EC" w:rsidP="00393AAE">
            <w:pPr>
              <w:pStyle w:val="Bullet"/>
              <w:numPr>
                <w:ilvl w:val="0"/>
                <w:numId w:val="0"/>
              </w:numPr>
              <w:spacing w:after="0" w:line="240" w:lineRule="auto"/>
              <w:jc w:val="right"/>
            </w:pPr>
            <w:r>
              <w:t>1.8</w:t>
            </w:r>
          </w:p>
        </w:tc>
        <w:tc>
          <w:tcPr>
            <w:tcW w:w="1642" w:type="dxa"/>
            <w:tcBorders>
              <w:left w:val="nil"/>
              <w:right w:val="nil"/>
            </w:tcBorders>
            <w:vAlign w:val="center"/>
          </w:tcPr>
          <w:p w:rsidR="008B77EC" w:rsidRDefault="008B77EC" w:rsidP="00393AAE">
            <w:pPr>
              <w:pStyle w:val="Bullet"/>
              <w:numPr>
                <w:ilvl w:val="0"/>
                <w:numId w:val="0"/>
              </w:numPr>
              <w:spacing w:after="0" w:line="240" w:lineRule="auto"/>
              <w:jc w:val="right"/>
            </w:pPr>
            <w:r>
              <w:t>2.9</w:t>
            </w:r>
          </w:p>
        </w:tc>
      </w:tr>
    </w:tbl>
    <w:p w:rsidR="008B77EC" w:rsidRPr="0049101A" w:rsidRDefault="008B77EC" w:rsidP="008B77EC">
      <w:pPr>
        <w:pStyle w:val="Bullet"/>
        <w:numPr>
          <w:ilvl w:val="0"/>
          <w:numId w:val="0"/>
        </w:numPr>
        <w:ind w:left="1134"/>
        <w:rPr>
          <w:sz w:val="20"/>
        </w:rPr>
      </w:pPr>
      <w:r w:rsidRPr="0049101A">
        <w:rPr>
          <w:sz w:val="20"/>
        </w:rPr>
        <w:t>(a) Cumulative effect of fiscal stimulus from 2008-2010 as a per cent of 2008 GDP</w:t>
      </w:r>
      <w:r>
        <w:rPr>
          <w:sz w:val="20"/>
        </w:rPr>
        <w:br/>
        <w:t>Source: Reserve Bank of Australia</w:t>
      </w:r>
    </w:p>
    <w:p w:rsidR="0050148E" w:rsidRDefault="0050148E" w:rsidP="0050148E">
      <w:pPr>
        <w:pStyle w:val="OutlineNumbered1"/>
      </w:pPr>
      <w:r>
        <w:t>In the Australian context:</w:t>
      </w:r>
    </w:p>
    <w:p w:rsidR="0050148E" w:rsidRDefault="0050148E" w:rsidP="0050148E">
      <w:pPr>
        <w:pStyle w:val="Bullet"/>
      </w:pPr>
      <w:r>
        <w:t>the failure of HIH resulted in a fiscal cost of over $650 million;</w:t>
      </w:r>
      <w:r>
        <w:rPr>
          <w:rStyle w:val="FootnoteReference"/>
        </w:rPr>
        <w:footnoteReference w:id="11"/>
      </w:r>
      <w:r>
        <w:t xml:space="preserve"> and</w:t>
      </w:r>
    </w:p>
    <w:p w:rsidR="0050148E" w:rsidRDefault="0050148E" w:rsidP="0050148E">
      <w:pPr>
        <w:pStyle w:val="Bullet"/>
      </w:pPr>
      <w:r>
        <w:t xml:space="preserve">the Government stimulus introduced during the global financial crisis amounted to a fiscal cost of around 2.8 per cent of GDP in 2009 and </w:t>
      </w:r>
      <w:r>
        <w:lastRenderedPageBreak/>
        <w:t>1.8 per cent of GDP in 2010 (</w:t>
      </w:r>
      <w:r>
        <w:fldChar w:fldCharType="begin"/>
      </w:r>
      <w:r>
        <w:instrText xml:space="preserve"> REF _Ref383774393 \h </w:instrText>
      </w:r>
      <w:r>
        <w:fldChar w:fldCharType="separate"/>
      </w:r>
      <w:r>
        <w:t xml:space="preserve">Table </w:t>
      </w:r>
      <w:r>
        <w:rPr>
          <w:noProof/>
        </w:rPr>
        <w:t>1</w:t>
      </w:r>
      <w:r>
        <w:fldChar w:fldCharType="end"/>
      </w:r>
      <w:r>
        <w:t xml:space="preserve">).  </w:t>
      </w:r>
      <w:r w:rsidRPr="0002052F">
        <w:t>This compares to fiscal costs of over 40 per cent of GD</w:t>
      </w:r>
      <w:r>
        <w:t>P each for Ireland and Iceland</w:t>
      </w:r>
      <w:r w:rsidRPr="0002052F">
        <w:t>.</w:t>
      </w:r>
      <w:r>
        <w:rPr>
          <w:rStyle w:val="FootnoteReference"/>
        </w:rPr>
        <w:footnoteReference w:id="12"/>
      </w:r>
    </w:p>
    <w:p w:rsidR="00A25E52" w:rsidRDefault="00A25E52" w:rsidP="00A25E52">
      <w:pPr>
        <w:pStyle w:val="Heading4"/>
      </w:pPr>
      <w:r>
        <w:t>Regulatory trade</w:t>
      </w:r>
      <w:r w:rsidR="003D6144">
        <w:t>-</w:t>
      </w:r>
      <w:r>
        <w:t>offs</w:t>
      </w:r>
      <w:r w:rsidR="00475F16">
        <w:t xml:space="preserve"> in addressing systemic risk</w:t>
      </w:r>
    </w:p>
    <w:p w:rsidR="00731774" w:rsidRDefault="00CD02FA" w:rsidP="00731774">
      <w:pPr>
        <w:pStyle w:val="OutlineNumbered1"/>
      </w:pPr>
      <w:r>
        <w:t>The most efficient</w:t>
      </w:r>
      <w:r w:rsidR="00731774">
        <w:t xml:space="preserve"> outcome would </w:t>
      </w:r>
      <w:r>
        <w:t>be where</w:t>
      </w:r>
      <w:r w:rsidR="00731774">
        <w:t xml:space="preserve"> the private sector manages its own risks and is exposed to market disciplines and consequences of its own failures.</w:t>
      </w:r>
    </w:p>
    <w:p w:rsidR="00731774" w:rsidRDefault="00731774" w:rsidP="00731774">
      <w:pPr>
        <w:pStyle w:val="OutlineNumbered1"/>
      </w:pPr>
      <w:r>
        <w:t xml:space="preserve">However, the potentially catastrophic consequences of certain types of financial failures removes the ability of markets to ensure the costs are fully contained within the entities involved or within the financial </w:t>
      </w:r>
      <w:r w:rsidR="00CD02FA">
        <w:t>system</w:t>
      </w:r>
      <w:r>
        <w:t xml:space="preserve"> and therefore weakens the ability of markets to provide discipline.</w:t>
      </w:r>
    </w:p>
    <w:p w:rsidR="00731774" w:rsidRDefault="005E6D15" w:rsidP="00731774">
      <w:pPr>
        <w:pStyle w:val="OutlineNumbered1"/>
      </w:pPr>
      <w:r>
        <w:t xml:space="preserve">Prudential regulation is a tool that </w:t>
      </w:r>
      <w:r w:rsidR="00111450">
        <w:t xml:space="preserve">partially </w:t>
      </w:r>
      <w:r>
        <w:t xml:space="preserve">addresses </w:t>
      </w:r>
      <w:r w:rsidR="00731774">
        <w:t>these limitations</w:t>
      </w:r>
      <w:r w:rsidR="00CD02FA">
        <w:t>.</w:t>
      </w:r>
      <w:r w:rsidR="00731774">
        <w:t xml:space="preserve">  Regulatory tools such as </w:t>
      </w:r>
      <w:r w:rsidR="00731774" w:rsidRPr="00BB2C2C">
        <w:t xml:space="preserve">capital requirements </w:t>
      </w:r>
      <w:r w:rsidR="00731774">
        <w:t xml:space="preserve">are important for achieving a more efficient distribution of risk </w:t>
      </w:r>
      <w:r w:rsidR="00731774" w:rsidRPr="00BB2C2C">
        <w:t xml:space="preserve">between </w:t>
      </w:r>
      <w:r w:rsidR="00731774">
        <w:t xml:space="preserve">the </w:t>
      </w:r>
      <w:r w:rsidR="00731774" w:rsidRPr="00BB2C2C">
        <w:t>public and private sector</w:t>
      </w:r>
      <w:r w:rsidR="00731774">
        <w:t xml:space="preserve">.  </w:t>
      </w:r>
    </w:p>
    <w:p w:rsidR="007D25D2" w:rsidRDefault="00A25473" w:rsidP="007D25D2">
      <w:pPr>
        <w:pStyle w:val="OutlineNumbered1"/>
      </w:pPr>
      <w:r>
        <w:t>P</w:t>
      </w:r>
      <w:r w:rsidR="0086577E">
        <w:t>rudential r</w:t>
      </w:r>
      <w:r w:rsidR="00831E00">
        <w:t>egulation</w:t>
      </w:r>
      <w:r>
        <w:t xml:space="preserve"> is intensive and</w:t>
      </w:r>
      <w:r w:rsidR="00831E00">
        <w:t xml:space="preserve"> clearly involves significant costs, including:</w:t>
      </w:r>
    </w:p>
    <w:p w:rsidR="0086577E" w:rsidRDefault="0086577E" w:rsidP="0086577E">
      <w:pPr>
        <w:pStyle w:val="Bullet"/>
      </w:pPr>
      <w:r>
        <w:t>the opportunity cost</w:t>
      </w:r>
      <w:r w:rsidR="00831E00">
        <w:t>s from compelling regulated institutions to hold capital in low</w:t>
      </w:r>
      <w:r w:rsidR="00B8284B">
        <w:t>-</w:t>
      </w:r>
      <w:r w:rsidR="00831E00">
        <w:t>risk, low</w:t>
      </w:r>
      <w:r w:rsidR="00B8284B">
        <w:t>-</w:t>
      </w:r>
      <w:r w:rsidR="00831E00">
        <w:t>return assets;</w:t>
      </w:r>
      <w:r w:rsidR="00A34837">
        <w:t xml:space="preserve"> and</w:t>
      </w:r>
    </w:p>
    <w:p w:rsidR="00831E00" w:rsidRDefault="00831E00" w:rsidP="0086577E">
      <w:pPr>
        <w:pStyle w:val="Bullet"/>
      </w:pPr>
      <w:r>
        <w:t>the compliance costs associated with the intensive regulation expected of an effective regulator.</w:t>
      </w:r>
    </w:p>
    <w:p w:rsidR="005E6D15" w:rsidRDefault="005E6D15" w:rsidP="00831E00">
      <w:pPr>
        <w:pStyle w:val="OutlineNumbered1"/>
      </w:pPr>
      <w:r>
        <w:t>Nonetheless such costs</w:t>
      </w:r>
      <w:r w:rsidR="0027181A">
        <w:t xml:space="preserve"> — </w:t>
      </w:r>
      <w:r>
        <w:t>often in sharp relief when first imposed</w:t>
      </w:r>
      <w:r w:rsidR="0027181A">
        <w:t xml:space="preserve"> — </w:t>
      </w:r>
      <w:r>
        <w:t>need to considered in the context of a longer time horizon over which the benefits associated with avoiding or lessening the impacts of a financial crisis can be expected to outweigh these opportunity and compliance costs.</w:t>
      </w:r>
    </w:p>
    <w:p w:rsidR="00831E00" w:rsidRDefault="005E6D15" w:rsidP="007D25D2">
      <w:pPr>
        <w:pStyle w:val="OutlineNumbered1"/>
      </w:pPr>
      <w:r>
        <w:t>However p</w:t>
      </w:r>
      <w:r w:rsidR="00831E00">
        <w:t xml:space="preserve">rudential regulation faces the challenge of addressing systemic risk through the imposition of regulations on individual institutions without </w:t>
      </w:r>
      <w:r w:rsidR="005E42F0">
        <w:t>guaranteeing the viability of those individual institutions.  Th</w:t>
      </w:r>
      <w:r w:rsidR="00A25473">
        <w:t>is is a difficult balancing act made more complicated by the guarantees of wholesale bank funding and deposits that were instituted through the financial crisis.</w:t>
      </w:r>
    </w:p>
    <w:p w:rsidR="00F323B9" w:rsidRDefault="006344F8" w:rsidP="00A06828">
      <w:pPr>
        <w:pStyle w:val="OutlineNumbered1"/>
      </w:pPr>
      <w:r>
        <w:t xml:space="preserve">Regulation </w:t>
      </w:r>
      <w:r w:rsidR="00A759DE">
        <w:t xml:space="preserve">that </w:t>
      </w:r>
      <w:r>
        <w:t>reduce</w:t>
      </w:r>
      <w:r w:rsidR="00A759DE">
        <w:t>s</w:t>
      </w:r>
      <w:r>
        <w:t xml:space="preserve"> </w:t>
      </w:r>
      <w:r w:rsidR="00A759DE">
        <w:t xml:space="preserve">the likelihood and consequences of a financial institution failing can reduce </w:t>
      </w:r>
      <w:r w:rsidR="00DB07DE">
        <w:t xml:space="preserve">the incentives for the investors in </w:t>
      </w:r>
      <w:r w:rsidR="00A759DE">
        <w:t>that institution</w:t>
      </w:r>
      <w:r w:rsidR="00CD02FA">
        <w:t xml:space="preserve"> to monitor its </w:t>
      </w:r>
      <w:r w:rsidR="00DB07DE">
        <w:t xml:space="preserve">management </w:t>
      </w:r>
      <w:r w:rsidR="00CD02FA">
        <w:t xml:space="preserve">to ensure that they are appropriately managing the risk borne by the institution </w:t>
      </w:r>
      <w:r w:rsidR="00A759DE">
        <w:t>(‘</w:t>
      </w:r>
      <w:r w:rsidR="00A06828">
        <w:t>moral hazard</w:t>
      </w:r>
      <w:r w:rsidR="00A759DE">
        <w:t>’)</w:t>
      </w:r>
      <w:r w:rsidR="00A06828">
        <w:t xml:space="preserve">.  </w:t>
      </w:r>
      <w:r w:rsidR="00A759DE">
        <w:t xml:space="preserve">Regulation that protects incumbents and reduces their likelihood of </w:t>
      </w:r>
      <w:r w:rsidR="0008087A">
        <w:t xml:space="preserve">exit </w:t>
      </w:r>
      <w:r w:rsidR="00E235FD">
        <w:t xml:space="preserve">can </w:t>
      </w:r>
      <w:r w:rsidR="00A759DE">
        <w:t xml:space="preserve">reward </w:t>
      </w:r>
      <w:r w:rsidR="0008087A">
        <w:t xml:space="preserve">inefficient firms </w:t>
      </w:r>
      <w:r w:rsidR="00A759DE">
        <w:t xml:space="preserve">and prevent </w:t>
      </w:r>
      <w:r w:rsidR="0008087A">
        <w:t xml:space="preserve">capital </w:t>
      </w:r>
      <w:r w:rsidR="00A759DE">
        <w:t>from being</w:t>
      </w:r>
      <w:r w:rsidR="0008087A">
        <w:t xml:space="preserve"> alloc</w:t>
      </w:r>
      <w:r w:rsidR="00F746DB">
        <w:t>ated to its highest value use.</w:t>
      </w:r>
    </w:p>
    <w:p w:rsidR="0008087A" w:rsidRDefault="00A06828" w:rsidP="00040556">
      <w:pPr>
        <w:pStyle w:val="OutlineNumbered1"/>
      </w:pPr>
      <w:r>
        <w:lastRenderedPageBreak/>
        <w:t xml:space="preserve">Prudential </w:t>
      </w:r>
      <w:r w:rsidR="00A759DE">
        <w:t>regulation should aim to achieve</w:t>
      </w:r>
      <w:r>
        <w:t xml:space="preserve"> the right balance</w:t>
      </w:r>
      <w:r w:rsidR="0027181A">
        <w:t xml:space="preserve"> — </w:t>
      </w:r>
      <w:r w:rsidR="00A759DE">
        <w:t>recognising that regulation in this area requires more art than science.  G</w:t>
      </w:r>
      <w:r>
        <w:t xml:space="preserve">reater regulatory intervention to </w:t>
      </w:r>
      <w:r w:rsidR="00220016">
        <w:t>reduce</w:t>
      </w:r>
      <w:r>
        <w:t xml:space="preserve"> systemic risk</w:t>
      </w:r>
      <w:r w:rsidR="00A759DE">
        <w:t xml:space="preserve"> increases the </w:t>
      </w:r>
      <w:r w:rsidR="000F3EA3">
        <w:t xml:space="preserve">possibility that </w:t>
      </w:r>
      <w:r w:rsidR="00A759DE">
        <w:t>systemically important</w:t>
      </w:r>
      <w:r w:rsidR="000F3EA3">
        <w:t xml:space="preserve"> firms will take on more risk </w:t>
      </w:r>
      <w:r w:rsidR="00A759DE">
        <w:t>in ways not readily observable</w:t>
      </w:r>
      <w:r w:rsidR="000F3EA3">
        <w:t xml:space="preserve"> to </w:t>
      </w:r>
      <w:r w:rsidR="00A759DE">
        <w:t>regulators, while also</w:t>
      </w:r>
      <w:r w:rsidR="000F3EA3">
        <w:t xml:space="preserve"> </w:t>
      </w:r>
      <w:r w:rsidR="00A759DE">
        <w:t xml:space="preserve">benefiting from regulation that lowers their cost of </w:t>
      </w:r>
      <w:r w:rsidR="000F3EA3">
        <w:t xml:space="preserve">capital </w:t>
      </w:r>
      <w:r w:rsidR="00A759DE">
        <w:t>relative to other</w:t>
      </w:r>
      <w:r w:rsidR="000F3EA3">
        <w:t xml:space="preserve"> institutions</w:t>
      </w:r>
      <w:r w:rsidR="0027181A">
        <w:t xml:space="preserve"> — </w:t>
      </w:r>
      <w:r w:rsidR="000F3EA3">
        <w:t>hence distorting the allocation of capital and impeding competition.</w:t>
      </w:r>
    </w:p>
    <w:p w:rsidR="00D951C3" w:rsidRDefault="001877DD" w:rsidP="00D951C3">
      <w:pPr>
        <w:pStyle w:val="OutlineNumbered1"/>
      </w:pPr>
      <w:r>
        <w:t>P</w:t>
      </w:r>
      <w:r w:rsidR="00D951C3" w:rsidRPr="001877DD">
        <w:t xml:space="preserve">art of </w:t>
      </w:r>
      <w:r w:rsidRPr="001877DD">
        <w:t xml:space="preserve">the </w:t>
      </w:r>
      <w:r w:rsidR="00D951C3" w:rsidRPr="001877DD">
        <w:t xml:space="preserve">solution </w:t>
      </w:r>
      <w:r w:rsidRPr="001877DD">
        <w:t>achieving a balance is to preserve a spectrum of risk</w:t>
      </w:r>
      <w:r w:rsidR="0027181A">
        <w:t xml:space="preserve"> — </w:t>
      </w:r>
      <w:r w:rsidRPr="001877DD">
        <w:t xml:space="preserve">narrowly casting the net of prudential regulation </w:t>
      </w:r>
      <w:r w:rsidR="00E235FD">
        <w:t xml:space="preserve">to </w:t>
      </w:r>
      <w:r w:rsidRPr="001877DD">
        <w:t xml:space="preserve">a limited and well defined number of institutions.  </w:t>
      </w:r>
      <w:r w:rsidR="00E235FD">
        <w:t xml:space="preserve">Another element of the solution is to ensure regulators are closely and effectively supervising developments within institutions.  </w:t>
      </w:r>
      <w:r w:rsidR="00CE7639">
        <w:t>While s</w:t>
      </w:r>
      <w:r>
        <w:t>ome of t</w:t>
      </w:r>
      <w:r w:rsidRPr="001877DD">
        <w:t xml:space="preserve">he challenges with this approach are </w:t>
      </w:r>
      <w:r w:rsidR="00E235FD">
        <w:t xml:space="preserve">explored </w:t>
      </w:r>
      <w:r w:rsidRPr="001877DD">
        <w:t xml:space="preserve">in </w:t>
      </w:r>
      <w:r w:rsidR="00A25473">
        <w:t>P</w:t>
      </w:r>
      <w:r w:rsidRPr="001877DD">
        <w:t xml:space="preserve">art 2 </w:t>
      </w:r>
      <w:r w:rsidR="00E235FD">
        <w:t>of this submission</w:t>
      </w:r>
      <w:r w:rsidR="00CE7639">
        <w:t>, recognition needs to be given to the impact of pr</w:t>
      </w:r>
      <w:r w:rsidR="00A25473">
        <w:t xml:space="preserve">udential regulation </w:t>
      </w:r>
      <w:r w:rsidR="00E235FD">
        <w:t xml:space="preserve">and supervision </w:t>
      </w:r>
      <w:r w:rsidR="00A25473">
        <w:t>on efficiency</w:t>
      </w:r>
      <w:r w:rsidR="00D951C3" w:rsidRPr="001877DD">
        <w:t>.</w:t>
      </w:r>
    </w:p>
    <w:p w:rsidR="003D74D4" w:rsidRPr="00B84A0F" w:rsidRDefault="00111450" w:rsidP="003D74D4">
      <w:pPr>
        <w:pStyle w:val="OutlineNumbered1"/>
      </w:pPr>
      <w:r>
        <w:t xml:space="preserve">The G20 and international standard setters have responded to the recent crisis by </w:t>
      </w:r>
      <w:r w:rsidR="00E235FD">
        <w:t xml:space="preserve">undertaking </w:t>
      </w:r>
      <w:r>
        <w:t xml:space="preserve">a series of reforms designed to ensure that the </w:t>
      </w:r>
      <w:r w:rsidR="00E235FD">
        <w:t>global</w:t>
      </w:r>
      <w:r w:rsidR="003D74D4" w:rsidRPr="00111450">
        <w:rPr>
          <w:b/>
        </w:rPr>
        <w:t xml:space="preserve"> </w:t>
      </w:r>
      <w:r w:rsidR="003D74D4" w:rsidRPr="00111450">
        <w:t xml:space="preserve">financial </w:t>
      </w:r>
      <w:r w:rsidRPr="00111450">
        <w:t>system</w:t>
      </w:r>
      <w:r w:rsidR="003D74D4" w:rsidRPr="00111450">
        <w:t xml:space="preserve"> is more resilient</w:t>
      </w:r>
      <w:r>
        <w:t>, including by strengthening prudential standards</w:t>
      </w:r>
      <w:r w:rsidR="00E235FD">
        <w:t xml:space="preserve"> and supervision</w:t>
      </w:r>
      <w:r w:rsidRPr="00111450">
        <w:t>.</w:t>
      </w:r>
      <w:r>
        <w:rPr>
          <w:b/>
        </w:rPr>
        <w:t xml:space="preserve">  </w:t>
      </w:r>
      <w:r w:rsidRPr="00B84A0F">
        <w:t xml:space="preserve">However they are also developing a regulatory response that directly targets the risks and inefficiencies introduced by the perception that some financial institutions are ‘too big to fail’. </w:t>
      </w:r>
      <w:r w:rsidR="00B84A0F" w:rsidRPr="00B84A0F">
        <w:t xml:space="preserve"> This issue</w:t>
      </w:r>
      <w:r w:rsidR="00E235FD">
        <w:t xml:space="preserve"> is further addressed in Part 3 of this submission.</w:t>
      </w:r>
    </w:p>
    <w:p w:rsidR="003D74D4" w:rsidRDefault="007D25D2" w:rsidP="005C0413">
      <w:pPr>
        <w:pStyle w:val="Heading3"/>
      </w:pPr>
      <w:bookmarkStart w:id="159" w:name="_Toc383703283"/>
      <w:bookmarkStart w:id="160" w:name="_Toc383704167"/>
      <w:bookmarkStart w:id="161" w:name="_Toc383783835"/>
      <w:bookmarkStart w:id="162" w:name="_Toc383784639"/>
      <w:bookmarkStart w:id="163" w:name="_Toc384121496"/>
      <w:bookmarkStart w:id="164" w:name="_Toc384123722"/>
      <w:bookmarkStart w:id="165" w:name="_Toc384132408"/>
      <w:bookmarkStart w:id="166" w:name="_Toc384205166"/>
      <w:bookmarkStart w:id="167" w:name="_Toc384278502"/>
      <w:r>
        <w:t>A</w:t>
      </w:r>
      <w:r w:rsidR="005C0413">
        <w:t>gency costs</w:t>
      </w:r>
      <w:bookmarkEnd w:id="159"/>
      <w:bookmarkEnd w:id="160"/>
      <w:bookmarkEnd w:id="161"/>
      <w:bookmarkEnd w:id="162"/>
      <w:bookmarkEnd w:id="163"/>
      <w:bookmarkEnd w:id="164"/>
      <w:bookmarkEnd w:id="165"/>
      <w:bookmarkEnd w:id="166"/>
      <w:bookmarkEnd w:id="167"/>
    </w:p>
    <w:p w:rsidR="00FB43AC" w:rsidRDefault="00FB43AC" w:rsidP="00FB43AC">
      <w:pPr>
        <w:pStyle w:val="OutlineNumbered1"/>
      </w:pPr>
      <w:r>
        <w:t>Government has a further role to promote the efficiency</w:t>
      </w:r>
      <w:r w:rsidR="0027181A">
        <w:t xml:space="preserve"> — </w:t>
      </w:r>
      <w:r>
        <w:t>and the fairness</w:t>
      </w:r>
      <w:r w:rsidR="0027181A">
        <w:t xml:space="preserve"> — </w:t>
      </w:r>
      <w:r>
        <w:t xml:space="preserve">of the financial system through measures to address agency costs.  Agency costs arise because the owners of assets are not necessarily the managers of those assets.  This is inherent across the financial system, reflecting its natural role in pooling funds and developing specialised expertise to efficiently manage risk.  </w:t>
      </w:r>
    </w:p>
    <w:p w:rsidR="00186144" w:rsidRDefault="00FB43AC" w:rsidP="00FB43AC">
      <w:pPr>
        <w:pStyle w:val="OutlineNumbered1"/>
      </w:pPr>
      <w:r>
        <w:t xml:space="preserve">Agency costs arise when the managers of assets pursue their </w:t>
      </w:r>
      <w:r w:rsidR="00220016">
        <w:t>own</w:t>
      </w:r>
      <w:r>
        <w:t xml:space="preserve"> self-interest rather than that of the investor, and can do so because the investor is unable to effectively monitor their behaviour.  An asymmetry of information is one reason for this.  Other reasons are canvassed later in Part 1.</w:t>
      </w:r>
    </w:p>
    <w:p w:rsidR="00C20BC6" w:rsidRDefault="0007117D" w:rsidP="00040556">
      <w:pPr>
        <w:pStyle w:val="OutlineNumbered1"/>
      </w:pPr>
      <w:r>
        <w:t>Agency costs are particularly problematic in the financial system</w:t>
      </w:r>
      <w:r w:rsidR="0027181A">
        <w:t xml:space="preserve"> — </w:t>
      </w:r>
      <w:r>
        <w:t>and warrant greater government intervention than in other sectors of the economy</w:t>
      </w:r>
      <w:r w:rsidR="0027181A">
        <w:t xml:space="preserve"> — </w:t>
      </w:r>
      <w:r>
        <w:t xml:space="preserve">because the complexity of financial products exacerbates the </w:t>
      </w:r>
      <w:r w:rsidR="00A34C34">
        <w:t>difficulty for</w:t>
      </w:r>
      <w:r>
        <w:t xml:space="preserve"> unsophisticated investors in understanding the nature of the risks and obligations they are taking on, and the severity of the impact </w:t>
      </w:r>
      <w:r w:rsidR="00781A09">
        <w:t>on th</w:t>
      </w:r>
      <w:r w:rsidR="00654646">
        <w:t>eir financial position and well</w:t>
      </w:r>
      <w:r w:rsidR="00781A09">
        <w:t xml:space="preserve">being if </w:t>
      </w:r>
      <w:r w:rsidR="00A34C34">
        <w:t xml:space="preserve">downside </w:t>
      </w:r>
      <w:r w:rsidR="00781A09">
        <w:t>risks are realised.</w:t>
      </w:r>
    </w:p>
    <w:p w:rsidR="00781A09" w:rsidRDefault="00781A09" w:rsidP="00040556">
      <w:pPr>
        <w:pStyle w:val="OutlineNumbered1"/>
      </w:pPr>
      <w:r>
        <w:lastRenderedPageBreak/>
        <w:t xml:space="preserve">Conduct and disclosure obligations have been the regulatory tools used to address this </w:t>
      </w:r>
      <w:r w:rsidR="00990FE7">
        <w:t xml:space="preserve">agency </w:t>
      </w:r>
      <w:r>
        <w:t>problem, with those tools improving efficiency (by promoting confidence in the integrity of the market) and fairness (by offering consumers some protections).</w:t>
      </w:r>
    </w:p>
    <w:p w:rsidR="006817E8" w:rsidRDefault="006817E8" w:rsidP="00040556">
      <w:pPr>
        <w:pStyle w:val="OutlineNumbered1"/>
      </w:pPr>
      <w:r>
        <w:t>However</w:t>
      </w:r>
      <w:r w:rsidR="00E16773">
        <w:t>,</w:t>
      </w:r>
      <w:r>
        <w:t xml:space="preserve"> government</w:t>
      </w:r>
      <w:r w:rsidR="00E16773">
        <w:t xml:space="preserve">s </w:t>
      </w:r>
      <w:r w:rsidR="00A34C34">
        <w:t xml:space="preserve">and regulators </w:t>
      </w:r>
      <w:r w:rsidR="00E16773">
        <w:t>need to be mindful of the costs of intervention when assessing the net benefits of policy settings, including:</w:t>
      </w:r>
    </w:p>
    <w:p w:rsidR="006817E8" w:rsidRDefault="00E16773" w:rsidP="006817E8">
      <w:pPr>
        <w:pStyle w:val="Bullet"/>
      </w:pPr>
      <w:r>
        <w:t>the costs of</w:t>
      </w:r>
      <w:r w:rsidR="00990FE7">
        <w:t xml:space="preserve"> compliance to businesses which at least in part </w:t>
      </w:r>
      <w:r>
        <w:t xml:space="preserve">are borne by </w:t>
      </w:r>
      <w:r w:rsidR="006817E8">
        <w:t>consumers</w:t>
      </w:r>
      <w:r>
        <w:t>,</w:t>
      </w:r>
      <w:r w:rsidR="006817E8">
        <w:t xml:space="preserve"> </w:t>
      </w:r>
      <w:r w:rsidR="00220016">
        <w:t>including by</w:t>
      </w:r>
      <w:r w:rsidR="00990FE7">
        <w:t xml:space="preserve"> </w:t>
      </w:r>
      <w:r>
        <w:t>businesses withdrawing</w:t>
      </w:r>
      <w:r w:rsidR="006817E8">
        <w:t xml:space="preserve"> service</w:t>
      </w:r>
      <w:r>
        <w:t>s;</w:t>
      </w:r>
      <w:r w:rsidR="00070232">
        <w:t xml:space="preserve"> and</w:t>
      </w:r>
    </w:p>
    <w:p w:rsidR="006817E8" w:rsidRDefault="00E16773" w:rsidP="006817E8">
      <w:pPr>
        <w:pStyle w:val="Bullet"/>
      </w:pPr>
      <w:r>
        <w:t xml:space="preserve">the propensity for intervention to add complexity that can </w:t>
      </w:r>
      <w:r w:rsidR="00781A09">
        <w:t xml:space="preserve">be both counterproductive and </w:t>
      </w:r>
      <w:r>
        <w:t>act as a barrier to new entrants</w:t>
      </w:r>
      <w:r w:rsidR="00070232">
        <w:t>.</w:t>
      </w:r>
    </w:p>
    <w:p w:rsidR="00781A09" w:rsidRDefault="00781A09" w:rsidP="00E16773">
      <w:pPr>
        <w:pStyle w:val="OutlineNumbered1"/>
      </w:pPr>
      <w:r>
        <w:t xml:space="preserve">A key issue before the Financial System Inquiry will be the effectiveness of disclosure obligations </w:t>
      </w:r>
      <w:r w:rsidR="003907FF">
        <w:t>in addressing agency costs.  This is further explored later in Part 1 and in Part 2.</w:t>
      </w:r>
      <w:r>
        <w:t xml:space="preserve"> </w:t>
      </w:r>
    </w:p>
    <w:p w:rsidR="00BB2493" w:rsidRDefault="00ED3161" w:rsidP="00ED3161">
      <w:pPr>
        <w:pStyle w:val="Heading3"/>
      </w:pPr>
      <w:bookmarkStart w:id="168" w:name="_Toc380408295"/>
      <w:bookmarkStart w:id="169" w:name="_Toc383524008"/>
      <w:bookmarkStart w:id="170" w:name="_Toc383531499"/>
      <w:bookmarkStart w:id="171" w:name="_Toc383703284"/>
      <w:bookmarkStart w:id="172" w:name="_Toc383704168"/>
      <w:bookmarkStart w:id="173" w:name="_Toc383783836"/>
      <w:bookmarkStart w:id="174" w:name="_Toc383784640"/>
      <w:bookmarkStart w:id="175" w:name="_Toc384121497"/>
      <w:bookmarkStart w:id="176" w:name="_Toc384123723"/>
      <w:bookmarkStart w:id="177" w:name="_Toc384132409"/>
      <w:bookmarkStart w:id="178" w:name="_Toc384205167"/>
      <w:bookmarkStart w:id="179" w:name="_Toc384278503"/>
      <w:bookmarkEnd w:id="145"/>
      <w:bookmarkEnd w:id="146"/>
      <w:bookmarkEnd w:id="147"/>
      <w:bookmarkEnd w:id="168"/>
      <w:r>
        <w:t>Walli</w:t>
      </w:r>
      <w:r w:rsidR="0002777C">
        <w:t>s</w:t>
      </w:r>
      <w:bookmarkEnd w:id="169"/>
      <w:bookmarkEnd w:id="170"/>
      <w:r>
        <w:t xml:space="preserve"> addressed these regulatory trade</w:t>
      </w:r>
      <w:r w:rsidR="00A45021">
        <w:t>-</w:t>
      </w:r>
      <w:r>
        <w:t>offs</w:t>
      </w:r>
      <w:bookmarkEnd w:id="171"/>
      <w:bookmarkEnd w:id="172"/>
      <w:bookmarkEnd w:id="173"/>
      <w:bookmarkEnd w:id="174"/>
      <w:bookmarkEnd w:id="175"/>
      <w:bookmarkEnd w:id="176"/>
      <w:bookmarkEnd w:id="177"/>
      <w:bookmarkEnd w:id="178"/>
      <w:bookmarkEnd w:id="179"/>
    </w:p>
    <w:p w:rsidR="005E4524" w:rsidRDefault="003D6144" w:rsidP="00DA6D50">
      <w:pPr>
        <w:pStyle w:val="OutlineNumbered1"/>
        <w:keepLines/>
      </w:pPr>
      <w:r>
        <w:t xml:space="preserve">The </w:t>
      </w:r>
      <w:r w:rsidR="00DA7D52">
        <w:t xml:space="preserve">Wallis </w:t>
      </w:r>
      <w:r>
        <w:t>Inquiry</w:t>
      </w:r>
      <w:r w:rsidR="00DA7D52">
        <w:t xml:space="preserve"> came at a time of steady growth and relative calm in the Australian financial markets.</w:t>
      </w:r>
      <w:r w:rsidR="005E4524">
        <w:t xml:space="preserve">  </w:t>
      </w:r>
      <w:r w:rsidR="00DA7D52">
        <w:t xml:space="preserve">However, </w:t>
      </w:r>
      <w:r>
        <w:t xml:space="preserve">the turmoil earlier in that decade and </w:t>
      </w:r>
      <w:r w:rsidR="00A34C34">
        <w:t xml:space="preserve">other </w:t>
      </w:r>
      <w:r w:rsidR="00DA7D52">
        <w:t>developments indicated the framework for regulation had not kept pace with c</w:t>
      </w:r>
      <w:r w:rsidR="000430B4">
        <w:t>hanges in the financial system</w:t>
      </w:r>
      <w:r w:rsidR="00DA7D52">
        <w:t>.</w:t>
      </w:r>
      <w:r w:rsidR="005E4524">
        <w:rPr>
          <w:rStyle w:val="FootnoteReference"/>
        </w:rPr>
        <w:footnoteReference w:id="13"/>
      </w:r>
      <w:r w:rsidR="00DA7D52">
        <w:t xml:space="preserve">  </w:t>
      </w:r>
    </w:p>
    <w:p w:rsidR="00DA7D52" w:rsidRDefault="00DA7D52" w:rsidP="000430B4">
      <w:pPr>
        <w:pStyle w:val="OutlineNumbered1"/>
        <w:keepNext/>
      </w:pPr>
      <w:r>
        <w:t>Key developments included:</w:t>
      </w:r>
    </w:p>
    <w:p w:rsidR="00DA7D52" w:rsidRPr="00EE0D4C" w:rsidRDefault="00DA7D52" w:rsidP="00DA7D52">
      <w:pPr>
        <w:pStyle w:val="Bullet"/>
      </w:pPr>
      <w:r>
        <w:t>an</w:t>
      </w:r>
      <w:r w:rsidRPr="00EE0D4C">
        <w:t xml:space="preserve"> increase in financial assets following deregulation, which led to the development of markets in a wider range of debt securities, a proliferation of investment products and a more important role for institutional investors; </w:t>
      </w:r>
    </w:p>
    <w:p w:rsidR="00DA7D52" w:rsidRPr="00EE0D4C" w:rsidRDefault="00DA7D52" w:rsidP="00DA7D52">
      <w:pPr>
        <w:pStyle w:val="Bullet"/>
      </w:pPr>
      <w:r w:rsidRPr="00EE0D4C">
        <w:t>large losses in the financial sector in the late 1980s and early 1990s, and the 1990s recession</w:t>
      </w:r>
      <w:r w:rsidR="0027181A">
        <w:t xml:space="preserve"> — </w:t>
      </w:r>
      <w:r w:rsidR="00965880">
        <w:t>consequences of the deregulatory program put in place following the Campbell Inquiry</w:t>
      </w:r>
      <w:r w:rsidRPr="00EE0D4C">
        <w:t>;</w:t>
      </w:r>
      <w:r>
        <w:t xml:space="preserve"> and</w:t>
      </w:r>
    </w:p>
    <w:p w:rsidR="00DA7D52" w:rsidRDefault="00DA7D52" w:rsidP="00DA7D52">
      <w:pPr>
        <w:pStyle w:val="Bullet"/>
      </w:pPr>
      <w:r w:rsidRPr="00EE0D4C">
        <w:t xml:space="preserve">the growing number of institutions that operated in more than one product segment of the financial </w:t>
      </w:r>
      <w:r w:rsidR="00C53673">
        <w:t>system</w:t>
      </w:r>
      <w:r w:rsidRPr="00EE0D4C">
        <w:t xml:space="preserve"> (e.g. banking, wealth management, insurance),  blurring the distinction between different t</w:t>
      </w:r>
      <w:r w:rsidR="000430B4">
        <w:t>ypes of financial institutions</w:t>
      </w:r>
      <w:r w:rsidR="00965880">
        <w:t>.</w:t>
      </w:r>
      <w:r w:rsidR="000430B4">
        <w:rPr>
          <w:rStyle w:val="FootnoteReference"/>
        </w:rPr>
        <w:footnoteReference w:id="14"/>
      </w:r>
      <w:r w:rsidRPr="00EE0D4C">
        <w:t xml:space="preserve">  </w:t>
      </w:r>
    </w:p>
    <w:p w:rsidR="005E4524" w:rsidRPr="00CB7202" w:rsidRDefault="005E4524" w:rsidP="005E4524">
      <w:pPr>
        <w:pStyle w:val="OutlineNumbered1"/>
      </w:pPr>
      <w:r w:rsidRPr="00CB7202">
        <w:t>The</w:t>
      </w:r>
      <w:r>
        <w:t xml:space="preserve"> Wallis</w:t>
      </w:r>
      <w:r w:rsidRPr="00CB7202">
        <w:t xml:space="preserve"> Inquiry found that the regulatory structure </w:t>
      </w:r>
      <w:r>
        <w:t xml:space="preserve">at that time </w:t>
      </w:r>
      <w:r w:rsidRPr="00CB7202">
        <w:t xml:space="preserve">was inefficient and distorted competition in the financial </w:t>
      </w:r>
      <w:r w:rsidR="00C53673">
        <w:t>system</w:t>
      </w:r>
      <w:r w:rsidRPr="00CB7202">
        <w:t xml:space="preserve">.  At the time, regulation was </w:t>
      </w:r>
      <w:r w:rsidRPr="00CB7202">
        <w:lastRenderedPageBreak/>
        <w:t>institutionally</w:t>
      </w:r>
      <w:r w:rsidRPr="00CB7202">
        <w:noBreakHyphen/>
        <w:t xml:space="preserve">based and undertaken by a variety of Commonwealth and State regulatory agencies.  </w:t>
      </w:r>
    </w:p>
    <w:p w:rsidR="005E4524" w:rsidRPr="00EE0D4C" w:rsidRDefault="005E4524" w:rsidP="005E4524">
      <w:pPr>
        <w:pStyle w:val="OutlineNumbered1"/>
      </w:pPr>
      <w:r w:rsidRPr="00CB7202">
        <w:t>This structure resulted in functionally similar institutions, such as banks, building societies and credit unions, being subject to different regulation.  It involved significant duplication of resources and did not provide a sound basis for regulating financial conglomerates.</w:t>
      </w:r>
    </w:p>
    <w:p w:rsidR="005E4524" w:rsidRDefault="00ED3161" w:rsidP="00ED3161">
      <w:pPr>
        <w:pStyle w:val="Heading4"/>
      </w:pPr>
      <w:bookmarkStart w:id="180" w:name="_Toc383524009"/>
      <w:bookmarkStart w:id="181" w:name="_Toc383531500"/>
      <w:r>
        <w:t>Wallis</w:t>
      </w:r>
      <w:r w:rsidR="00AA36AC">
        <w:t xml:space="preserve"> </w:t>
      </w:r>
      <w:r w:rsidR="00741830">
        <w:t>Inquiry</w:t>
      </w:r>
      <w:r>
        <w:t xml:space="preserve"> </w:t>
      </w:r>
      <w:r w:rsidR="005E4524">
        <w:t>recommendations</w:t>
      </w:r>
      <w:bookmarkEnd w:id="180"/>
      <w:bookmarkEnd w:id="181"/>
    </w:p>
    <w:p w:rsidR="00DD0087" w:rsidRPr="00142DEA" w:rsidRDefault="00E86164" w:rsidP="00DD0087">
      <w:pPr>
        <w:pStyle w:val="OutlineNumbered1"/>
      </w:pPr>
      <w:r w:rsidRPr="00142DEA">
        <w:rPr>
          <w:rFonts w:eastAsia="Calibri"/>
          <w:szCs w:val="22"/>
          <w:lang w:eastAsia="en-US"/>
        </w:rPr>
        <w:t>Wallis argued that the financial system could be relied upon to produce efficient</w:t>
      </w:r>
      <w:r w:rsidR="00DD0087" w:rsidRPr="00142DEA">
        <w:rPr>
          <w:rFonts w:eastAsia="Calibri"/>
          <w:szCs w:val="22"/>
          <w:lang w:eastAsia="en-US"/>
        </w:rPr>
        <w:t xml:space="preserve"> outcomes provided </w:t>
      </w:r>
      <w:r w:rsidRPr="00142DEA">
        <w:rPr>
          <w:rFonts w:eastAsia="Calibri"/>
          <w:szCs w:val="22"/>
          <w:lang w:eastAsia="en-US"/>
        </w:rPr>
        <w:t xml:space="preserve">markets are competitive, prudential regulation is in place for a limited number of businesses to provide a ‘safe harbour’, and </w:t>
      </w:r>
      <w:r w:rsidR="00535AA3">
        <w:rPr>
          <w:rFonts w:eastAsia="Calibri"/>
          <w:szCs w:val="22"/>
          <w:lang w:eastAsia="en-US"/>
        </w:rPr>
        <w:t>other</w:t>
      </w:r>
      <w:r w:rsidR="00535AA3" w:rsidRPr="00142DEA">
        <w:rPr>
          <w:rFonts w:eastAsia="Calibri"/>
          <w:szCs w:val="22"/>
          <w:lang w:eastAsia="en-US"/>
        </w:rPr>
        <w:t xml:space="preserve"> </w:t>
      </w:r>
      <w:r w:rsidRPr="00142DEA">
        <w:rPr>
          <w:rFonts w:eastAsia="Calibri"/>
          <w:szCs w:val="22"/>
          <w:lang w:eastAsia="en-US"/>
        </w:rPr>
        <w:t xml:space="preserve">financial institutions </w:t>
      </w:r>
      <w:r w:rsidR="00535AA3">
        <w:rPr>
          <w:rFonts w:eastAsia="Calibri"/>
          <w:szCs w:val="22"/>
          <w:lang w:eastAsia="en-US"/>
        </w:rPr>
        <w:t xml:space="preserve">outside the prudential perimeter </w:t>
      </w:r>
      <w:r w:rsidRPr="00142DEA">
        <w:rPr>
          <w:rFonts w:eastAsia="Calibri"/>
          <w:szCs w:val="22"/>
          <w:lang w:eastAsia="en-US"/>
        </w:rPr>
        <w:t xml:space="preserve">are subject to </w:t>
      </w:r>
      <w:r w:rsidR="00DD0087" w:rsidRPr="00142DEA">
        <w:rPr>
          <w:rFonts w:eastAsia="Calibri"/>
          <w:szCs w:val="22"/>
          <w:lang w:eastAsia="en-US"/>
        </w:rPr>
        <w:t>disclosure and conduct regulations</w:t>
      </w:r>
      <w:r w:rsidRPr="00142DEA">
        <w:rPr>
          <w:rFonts w:eastAsia="Calibri"/>
          <w:szCs w:val="22"/>
          <w:lang w:eastAsia="en-US"/>
        </w:rPr>
        <w:t>.</w:t>
      </w:r>
    </w:p>
    <w:p w:rsidR="00E35CB0" w:rsidRDefault="00741830" w:rsidP="00E35CB0">
      <w:pPr>
        <w:pStyle w:val="OutlineNumbered1"/>
        <w:rPr>
          <w:rFonts w:eastAsia="Calibri"/>
          <w:szCs w:val="22"/>
          <w:lang w:eastAsia="en-US"/>
        </w:rPr>
      </w:pPr>
      <w:r>
        <w:rPr>
          <w:rFonts w:eastAsia="Calibri"/>
        </w:rPr>
        <w:t xml:space="preserve">The </w:t>
      </w:r>
      <w:r w:rsidR="00E35CB0" w:rsidRPr="00E86164">
        <w:rPr>
          <w:rFonts w:eastAsia="Calibri"/>
          <w:szCs w:val="22"/>
          <w:lang w:eastAsia="en-US"/>
        </w:rPr>
        <w:t>Wallis</w:t>
      </w:r>
      <w:r>
        <w:rPr>
          <w:rFonts w:eastAsia="Calibri"/>
          <w:szCs w:val="22"/>
          <w:lang w:eastAsia="en-US"/>
        </w:rPr>
        <w:t xml:space="preserve"> Inquiry’s</w:t>
      </w:r>
      <w:r w:rsidR="00E35CB0" w:rsidRPr="00E86164">
        <w:rPr>
          <w:rFonts w:eastAsia="Calibri"/>
          <w:szCs w:val="22"/>
          <w:lang w:eastAsia="en-US"/>
        </w:rPr>
        <w:t xml:space="preserve"> approach to regulation was based on addressing a relatively narrow set of well-defined market failures (information asymmetry, externalities and anti-competitive behaviour</w:t>
      </w:r>
      <w:r w:rsidR="00E35CB0">
        <w:rPr>
          <w:rFonts w:eastAsia="Calibri"/>
          <w:szCs w:val="22"/>
          <w:lang w:eastAsia="en-US"/>
        </w:rPr>
        <w:t>).</w:t>
      </w:r>
    </w:p>
    <w:p w:rsidR="00E35CB0" w:rsidRPr="00E86164" w:rsidRDefault="00E35CB0" w:rsidP="00E35CB0">
      <w:pPr>
        <w:pStyle w:val="OutlineNumbered1"/>
        <w:rPr>
          <w:rFonts w:eastAsia="Calibri"/>
          <w:szCs w:val="22"/>
          <w:lang w:eastAsia="en-US"/>
        </w:rPr>
      </w:pPr>
      <w:r>
        <w:t xml:space="preserve">Under </w:t>
      </w:r>
      <w:r w:rsidR="00741830">
        <w:t xml:space="preserve">the </w:t>
      </w:r>
      <w:r>
        <w:t>Wallis</w:t>
      </w:r>
      <w:r w:rsidR="00741830">
        <w:t xml:space="preserve"> Inquiry’s</w:t>
      </w:r>
      <w:r>
        <w:t xml:space="preserve"> approach, it was argued that </w:t>
      </w:r>
      <w:r w:rsidRPr="00E86164">
        <w:rPr>
          <w:rFonts w:eastAsia="Calibri"/>
          <w:szCs w:val="22"/>
          <w:lang w:eastAsia="en-US"/>
        </w:rPr>
        <w:t xml:space="preserve">prudential regulation </w:t>
      </w:r>
      <w:r>
        <w:rPr>
          <w:rFonts w:eastAsia="Calibri"/>
          <w:szCs w:val="22"/>
          <w:lang w:eastAsia="en-US"/>
        </w:rPr>
        <w:t xml:space="preserve">needed to be reserved </w:t>
      </w:r>
      <w:r w:rsidRPr="00E86164">
        <w:rPr>
          <w:rFonts w:eastAsia="Calibri"/>
          <w:szCs w:val="22"/>
          <w:lang w:eastAsia="en-US"/>
        </w:rPr>
        <w:t xml:space="preserve">for </w:t>
      </w:r>
      <w:r>
        <w:rPr>
          <w:rFonts w:eastAsia="Calibri"/>
          <w:szCs w:val="22"/>
          <w:lang w:eastAsia="en-US"/>
        </w:rPr>
        <w:t xml:space="preserve">the most intense </w:t>
      </w:r>
      <w:r w:rsidRPr="00E86164">
        <w:rPr>
          <w:rFonts w:eastAsia="Calibri"/>
          <w:szCs w:val="22"/>
          <w:lang w:eastAsia="en-US"/>
        </w:rPr>
        <w:t xml:space="preserve">financial promises </w:t>
      </w:r>
      <w:r>
        <w:rPr>
          <w:rFonts w:eastAsia="Calibri"/>
          <w:szCs w:val="22"/>
          <w:lang w:eastAsia="en-US"/>
        </w:rPr>
        <w:t xml:space="preserve">where breaking those promises </w:t>
      </w:r>
      <w:r w:rsidR="00220016">
        <w:rPr>
          <w:rFonts w:eastAsia="Calibri"/>
          <w:szCs w:val="22"/>
          <w:lang w:eastAsia="en-US"/>
        </w:rPr>
        <w:t>c</w:t>
      </w:r>
      <w:r>
        <w:rPr>
          <w:rFonts w:eastAsia="Calibri"/>
          <w:szCs w:val="22"/>
          <w:lang w:eastAsia="en-US"/>
        </w:rPr>
        <w:t>ould cause wide-spread damage to the real economy.</w:t>
      </w:r>
    </w:p>
    <w:p w:rsidR="00DA7D52" w:rsidRDefault="00E86164" w:rsidP="00CB7202">
      <w:pPr>
        <w:pStyle w:val="OutlineNumbered1"/>
      </w:pPr>
      <w:r>
        <w:t>To complement this approach, t</w:t>
      </w:r>
      <w:r w:rsidR="00DA7D52">
        <w:t xml:space="preserve">he Wallis </w:t>
      </w:r>
      <w:r w:rsidR="00741830">
        <w:t xml:space="preserve">Inquiry </w:t>
      </w:r>
      <w:r w:rsidR="00DA7D52">
        <w:t xml:space="preserve">recommended a </w:t>
      </w:r>
      <w:r>
        <w:t xml:space="preserve">more streamlined regulatory architecture </w:t>
      </w:r>
      <w:r w:rsidR="00DA7D52">
        <w:t>based on functions, rat</w:t>
      </w:r>
      <w:r w:rsidR="000430B4">
        <w:t>her than types of institutions</w:t>
      </w:r>
      <w:r w:rsidR="005B7C8C">
        <w:t>.</w:t>
      </w:r>
    </w:p>
    <w:p w:rsidR="006230C3" w:rsidRDefault="00DA7D52" w:rsidP="00CB7202">
      <w:pPr>
        <w:pStyle w:val="OutlineNumbered1"/>
      </w:pPr>
      <w:r>
        <w:t xml:space="preserve">The relationship between </w:t>
      </w:r>
      <w:r w:rsidR="005B7C8C">
        <w:t xml:space="preserve">the Wallis </w:t>
      </w:r>
      <w:r w:rsidR="00741830">
        <w:t>Inquiry</w:t>
      </w:r>
      <w:r w:rsidR="005B7C8C">
        <w:t>’s</w:t>
      </w:r>
      <w:r>
        <w:t xml:space="preserve"> policy objectives and </w:t>
      </w:r>
      <w:r w:rsidR="005B7C8C">
        <w:t xml:space="preserve">its proposed </w:t>
      </w:r>
      <w:r>
        <w:t>the regulator</w:t>
      </w:r>
      <w:r w:rsidR="00E86164">
        <w:t>y</w:t>
      </w:r>
      <w:r>
        <w:t xml:space="preserve"> methods are illustrated below.</w:t>
      </w:r>
    </w:p>
    <w:p w:rsidR="006230C3" w:rsidRPr="00A80ECD" w:rsidRDefault="006230C3" w:rsidP="00A80ECD">
      <w:pPr>
        <w:pStyle w:val="Bullet"/>
        <w:keepNext/>
        <w:numPr>
          <w:ilvl w:val="0"/>
          <w:numId w:val="0"/>
        </w:numPr>
        <w:spacing w:before="480" w:after="360" w:line="240" w:lineRule="auto"/>
        <w:ind w:right="-45"/>
        <w:jc w:val="center"/>
        <w:rPr>
          <w:b/>
          <w:sz w:val="32"/>
        </w:rPr>
      </w:pPr>
      <w:r w:rsidRPr="00A80ECD">
        <w:rPr>
          <w:b/>
          <w:sz w:val="32"/>
        </w:rPr>
        <w:t xml:space="preserve">Wallis </w:t>
      </w:r>
      <w:r w:rsidR="00965880" w:rsidRPr="00A80ECD">
        <w:rPr>
          <w:b/>
          <w:sz w:val="32"/>
        </w:rPr>
        <w:t>Inquiry regulatory framework</w:t>
      </w:r>
    </w:p>
    <w:p w:rsidR="00965880" w:rsidRDefault="00535AA3" w:rsidP="00A80ECD">
      <w:pPr>
        <w:pStyle w:val="OutlineNumbered1"/>
        <w:numPr>
          <w:ilvl w:val="0"/>
          <w:numId w:val="0"/>
        </w:numPr>
        <w:spacing w:after="0" w:line="240" w:lineRule="auto"/>
      </w:pPr>
      <w:r>
        <w:object w:dxaOrig="13266" w:dyaOrig="4649" w14:anchorId="75B7F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8.25pt" o:ole="">
            <v:imagedata r:id="rId14" o:title=""/>
          </v:shape>
          <o:OLEObject Type="Embed" ProgID="Visio.Drawing.11" ShapeID="_x0000_i1025" DrawAspect="Content" ObjectID="_1655703658" r:id="rId15"/>
        </w:object>
      </w:r>
    </w:p>
    <w:p w:rsidR="00965880" w:rsidRDefault="00965880" w:rsidP="002642B4">
      <w:pPr>
        <w:pStyle w:val="OutlineNumbered1"/>
        <w:keepNext/>
      </w:pPr>
      <w:r>
        <w:lastRenderedPageBreak/>
        <w:t>The Wallis Committee articulated the following objectives for financial system regulation:</w:t>
      </w:r>
    </w:p>
    <w:p w:rsidR="00965880" w:rsidRDefault="00965880" w:rsidP="008444CA">
      <w:pPr>
        <w:pStyle w:val="Bullet"/>
        <w:keepNext/>
      </w:pPr>
      <w:r w:rsidRPr="005847D5">
        <w:rPr>
          <w:b/>
        </w:rPr>
        <w:t>market integrity</w:t>
      </w:r>
      <w:r w:rsidR="0027181A">
        <w:t xml:space="preserve"> — </w:t>
      </w:r>
      <w:r>
        <w:t>the financial system operates in a fair and transparent manner, absent of fraud and market abuse, and effective disclosure;</w:t>
      </w:r>
    </w:p>
    <w:p w:rsidR="00965880" w:rsidRDefault="00965880" w:rsidP="00965880">
      <w:pPr>
        <w:pStyle w:val="Bullet"/>
      </w:pPr>
      <w:r w:rsidRPr="005847D5">
        <w:rPr>
          <w:b/>
        </w:rPr>
        <w:t>conduct and consumer protection</w:t>
      </w:r>
      <w:r w:rsidR="0027181A">
        <w:t xml:space="preserve"> — </w:t>
      </w:r>
      <w:r>
        <w:t>the needs of consumers are addressed, consumer interests are safeguarded and service providers interact with customers in a transparent and professional manner;</w:t>
      </w:r>
    </w:p>
    <w:p w:rsidR="00965880" w:rsidRDefault="00965880" w:rsidP="00965880">
      <w:pPr>
        <w:pStyle w:val="Bullet"/>
      </w:pPr>
      <w:r w:rsidRPr="005847D5">
        <w:rPr>
          <w:b/>
        </w:rPr>
        <w:t>competition</w:t>
      </w:r>
      <w:r w:rsidR="0027181A">
        <w:t xml:space="preserve"> — </w:t>
      </w:r>
      <w:r w:rsidR="005B7C8C">
        <w:t xml:space="preserve"> </w:t>
      </w:r>
      <w:r>
        <w:t>markets generate efficient outcomes, with capital allocated to its most productive uses, the pricing of financial services reflecting costs, and the expected returns from financial services reflecting risks; and</w:t>
      </w:r>
    </w:p>
    <w:p w:rsidR="00965880" w:rsidRDefault="00965880" w:rsidP="00965880">
      <w:pPr>
        <w:pStyle w:val="Bullet"/>
      </w:pPr>
      <w:r w:rsidRPr="005847D5">
        <w:rPr>
          <w:b/>
        </w:rPr>
        <w:t>safety and stability</w:t>
      </w:r>
      <w:r w:rsidR="0027181A">
        <w:t xml:space="preserve"> — </w:t>
      </w:r>
      <w:r>
        <w:t xml:space="preserve">consumers can expect the most intense financial promises to be  fulfilled and the financial system is resilient to shocks </w:t>
      </w:r>
      <w:r w:rsidR="005B7C8C">
        <w:t>so</w:t>
      </w:r>
      <w:r>
        <w:t xml:space="preserve"> the failure of one institution does not cause other otherwise sound institutions to fail.</w:t>
      </w:r>
    </w:p>
    <w:p w:rsidR="00DA7D52" w:rsidRPr="004C5C7D" w:rsidRDefault="00687AB5" w:rsidP="00E11B4D">
      <w:pPr>
        <w:pStyle w:val="Heading4"/>
      </w:pPr>
      <w:bookmarkStart w:id="182" w:name="_Toc380408297"/>
      <w:r>
        <w:t xml:space="preserve">Reforms following the </w:t>
      </w:r>
      <w:r w:rsidR="00DA7D52">
        <w:t xml:space="preserve">Wallis </w:t>
      </w:r>
      <w:bookmarkEnd w:id="182"/>
      <w:r>
        <w:t>Inquiry have served Australia well</w:t>
      </w:r>
    </w:p>
    <w:p w:rsidR="00687AB5" w:rsidRDefault="00DA7D52" w:rsidP="00CB7202">
      <w:pPr>
        <w:pStyle w:val="OutlineNumbered1"/>
      </w:pPr>
      <w:r w:rsidRPr="00117BEF">
        <w:t>The reforms following the Wallis Inquiry</w:t>
      </w:r>
      <w:r w:rsidR="00687AB5">
        <w:t>, and modified following the collapse of HIH, have served Australia well by establishing</w:t>
      </w:r>
      <w:r w:rsidRPr="00117BEF">
        <w:t xml:space="preserve"> a</w:t>
      </w:r>
      <w:r w:rsidR="00FE4E2C">
        <w:t xml:space="preserve"> principles-based</w:t>
      </w:r>
      <w:r w:rsidRPr="00117BEF">
        <w:t xml:space="preserve"> regulatory system </w:t>
      </w:r>
      <w:r w:rsidR="00FE4E2C">
        <w:t>that targets defined objectives and is flexible to adapt to changes in the system.</w:t>
      </w:r>
      <w:r w:rsidRPr="00117BEF">
        <w:t xml:space="preserve">  </w:t>
      </w:r>
      <w:r w:rsidR="003907FF">
        <w:t>The regulatory system contributed significantly to the stability of the Australian financial system through the global financial crisis.</w:t>
      </w:r>
    </w:p>
    <w:p w:rsidR="00687AB5" w:rsidRDefault="00687AB5" w:rsidP="00687AB5">
      <w:pPr>
        <w:pStyle w:val="OutlineNumbered1"/>
      </w:pPr>
      <w:r>
        <w:t xml:space="preserve">The reforms streamlined Australia’s regulatory architecture </w:t>
      </w:r>
      <w:r w:rsidRPr="009A41F2">
        <w:t xml:space="preserve">to accommodate structural changes </w:t>
      </w:r>
      <w:r>
        <w:t xml:space="preserve">and innovation </w:t>
      </w:r>
      <w:r w:rsidRPr="009A41F2">
        <w:t>in</w:t>
      </w:r>
      <w:r>
        <w:t xml:space="preserve"> </w:t>
      </w:r>
      <w:r w:rsidRPr="009A41F2">
        <w:t>markets, such as an increasing presence of financial conglomerates.</w:t>
      </w:r>
    </w:p>
    <w:p w:rsidR="00DA7D52" w:rsidRDefault="00687AB5" w:rsidP="00687AB5">
      <w:pPr>
        <w:pStyle w:val="OutlineNumbered1"/>
      </w:pPr>
      <w:r>
        <w:t>In addition, s</w:t>
      </w:r>
      <w:r w:rsidR="00DA7D52" w:rsidRPr="009A41F2">
        <w:t xml:space="preserve">tructuring financial </w:t>
      </w:r>
      <w:r w:rsidR="00C53673">
        <w:t>system</w:t>
      </w:r>
      <w:r w:rsidR="00DA7D52" w:rsidRPr="009A41F2">
        <w:t xml:space="preserve"> regulation along functional </w:t>
      </w:r>
      <w:r w:rsidR="00AF254F">
        <w:t>line</w:t>
      </w:r>
      <w:r w:rsidR="00DA7D52" w:rsidRPr="009A41F2">
        <w:t>s has assisted in</w:t>
      </w:r>
      <w:r w:rsidR="00DA7D52">
        <w:t xml:space="preserve"> </w:t>
      </w:r>
      <w:r w:rsidR="00DA7D52" w:rsidRPr="009A41F2">
        <w:t>making regulation consistent across the range of competing financial products and</w:t>
      </w:r>
      <w:r w:rsidR="00DA7D52">
        <w:t xml:space="preserve"> </w:t>
      </w:r>
      <w:r w:rsidR="00DA7D52" w:rsidRPr="009A41F2">
        <w:t xml:space="preserve">providers, thus fostering competition and greater efficiency in </w:t>
      </w:r>
      <w:r w:rsidR="000430B4">
        <w:t xml:space="preserve">the financial </w:t>
      </w:r>
      <w:r w:rsidR="00C53673">
        <w:t>system</w:t>
      </w:r>
      <w:r>
        <w:t>.</w:t>
      </w:r>
      <w:r w:rsidR="000430B4">
        <w:rPr>
          <w:rStyle w:val="FootnoteReference"/>
        </w:rPr>
        <w:footnoteReference w:id="15"/>
      </w:r>
    </w:p>
    <w:p w:rsidR="00687AB5" w:rsidRDefault="00687AB5" w:rsidP="00DA7D52">
      <w:pPr>
        <w:pStyle w:val="OutlineNumbered1"/>
      </w:pPr>
      <w:r>
        <w:t xml:space="preserve">The reforms also brought </w:t>
      </w:r>
      <w:r w:rsidR="00DA7D52" w:rsidRPr="009A41F2">
        <w:t>together similar regulatory functions from a number of Commonwealth and</w:t>
      </w:r>
      <w:r w:rsidR="00DA7D52">
        <w:t xml:space="preserve"> </w:t>
      </w:r>
      <w:r w:rsidR="00DA7D52" w:rsidRPr="009A41F2">
        <w:t xml:space="preserve">State regulatory authorities </w:t>
      </w:r>
      <w:r>
        <w:t>which has</w:t>
      </w:r>
      <w:r w:rsidR="00DA7D52" w:rsidRPr="009A41F2">
        <w:t xml:space="preserve"> reduced duplication and inconsistency in regulation,</w:t>
      </w:r>
      <w:r w:rsidR="00DA7D52">
        <w:t xml:space="preserve"> reducing costs and complexity</w:t>
      </w:r>
      <w:r>
        <w:t>.</w:t>
      </w:r>
    </w:p>
    <w:p w:rsidR="00DA7D52" w:rsidRDefault="0035239E" w:rsidP="001F5C18">
      <w:pPr>
        <w:pStyle w:val="Heading3"/>
        <w:rPr>
          <w:lang w:eastAsia="en-AU"/>
        </w:rPr>
      </w:pPr>
      <w:bookmarkStart w:id="183" w:name="_Toc381270015"/>
      <w:bookmarkStart w:id="184" w:name="_Toc381824177"/>
      <w:bookmarkStart w:id="185" w:name="_Toc381951942"/>
      <w:bookmarkStart w:id="186" w:name="_Toc382496725"/>
      <w:bookmarkStart w:id="187" w:name="_Toc382496779"/>
      <w:bookmarkStart w:id="188" w:name="_Toc383524010"/>
      <w:bookmarkStart w:id="189" w:name="_Toc383531501"/>
      <w:bookmarkStart w:id="190" w:name="_Toc383703285"/>
      <w:bookmarkStart w:id="191" w:name="_Toc383704169"/>
      <w:bookmarkStart w:id="192" w:name="_Toc383783837"/>
      <w:bookmarkStart w:id="193" w:name="_Toc383784641"/>
      <w:bookmarkStart w:id="194" w:name="_Toc384121498"/>
      <w:bookmarkStart w:id="195" w:name="_Toc384123724"/>
      <w:bookmarkStart w:id="196" w:name="_Toc384132410"/>
      <w:bookmarkStart w:id="197" w:name="_Toc384205168"/>
      <w:bookmarkStart w:id="198" w:name="_Toc384278504"/>
      <w:r>
        <w:rPr>
          <w:lang w:eastAsia="en-AU"/>
        </w:rPr>
        <w:lastRenderedPageBreak/>
        <w:t xml:space="preserve">Wallis regulatory philosophy remains valid but needs </w:t>
      </w:r>
      <w:bookmarkEnd w:id="183"/>
      <w:bookmarkEnd w:id="184"/>
      <w:bookmarkEnd w:id="185"/>
      <w:bookmarkEnd w:id="186"/>
      <w:bookmarkEnd w:id="187"/>
      <w:bookmarkEnd w:id="188"/>
      <w:bookmarkEnd w:id="189"/>
      <w:r>
        <w:rPr>
          <w:lang w:eastAsia="en-AU"/>
        </w:rPr>
        <w:t>updating</w:t>
      </w:r>
      <w:bookmarkEnd w:id="190"/>
      <w:bookmarkEnd w:id="191"/>
      <w:bookmarkEnd w:id="192"/>
      <w:bookmarkEnd w:id="193"/>
      <w:bookmarkEnd w:id="194"/>
      <w:bookmarkEnd w:id="195"/>
      <w:bookmarkEnd w:id="196"/>
      <w:bookmarkEnd w:id="197"/>
      <w:bookmarkEnd w:id="198"/>
    </w:p>
    <w:p w:rsidR="001F5C18" w:rsidRDefault="003907FF" w:rsidP="00AD3F6F">
      <w:pPr>
        <w:pStyle w:val="OutlineNumbered1"/>
      </w:pPr>
      <w:r>
        <w:t>Nonetheless, e</w:t>
      </w:r>
      <w:r w:rsidR="001F5C18">
        <w:t xml:space="preserve">vents since </w:t>
      </w:r>
      <w:r w:rsidR="00B00F68">
        <w:t xml:space="preserve">the </w:t>
      </w:r>
      <w:r w:rsidR="001F5C18">
        <w:t xml:space="preserve">Wallis </w:t>
      </w:r>
      <w:r w:rsidR="00B00F68">
        <w:t>Inquiry</w:t>
      </w:r>
      <w:r w:rsidR="001F5C18">
        <w:t xml:space="preserve"> have demonstrated the need to </w:t>
      </w:r>
      <w:r w:rsidR="0035239E">
        <w:t xml:space="preserve">adjust the regulatory framework to accommodate </w:t>
      </w:r>
      <w:r w:rsidR="00AD10D5">
        <w:t>developments in</w:t>
      </w:r>
      <w:r w:rsidR="0035239E">
        <w:t xml:space="preserve"> global and domestic financial systems</w:t>
      </w:r>
      <w:r w:rsidR="00B81850">
        <w:t xml:space="preserve"> and new approaches </w:t>
      </w:r>
      <w:r w:rsidR="00AD10D5">
        <w:t>to</w:t>
      </w:r>
      <w:r w:rsidR="00B81850">
        <w:t xml:space="preserve"> consumer </w:t>
      </w:r>
      <w:r w:rsidR="00AD10D5">
        <w:t>empowerment</w:t>
      </w:r>
      <w:r w:rsidR="00B81850">
        <w:t>.</w:t>
      </w:r>
    </w:p>
    <w:p w:rsidR="00DA7D52" w:rsidRPr="00EE6918" w:rsidRDefault="00AD10D5" w:rsidP="00AD3F6F">
      <w:pPr>
        <w:pStyle w:val="OutlineNumbered1"/>
      </w:pPr>
      <w:r>
        <w:t>I</w:t>
      </w:r>
      <w:r w:rsidR="00B81850">
        <w:t xml:space="preserve">n refreshing the philosophy underpinning regulation of the financial system, the Financial System Inquiry should </w:t>
      </w:r>
      <w:r w:rsidR="003907FF">
        <w:t>respond to</w:t>
      </w:r>
      <w:r w:rsidR="00B81850">
        <w:t>:</w:t>
      </w:r>
    </w:p>
    <w:p w:rsidR="001A47D7" w:rsidRPr="00014C94" w:rsidRDefault="00C173E0" w:rsidP="00DA7D52">
      <w:pPr>
        <w:pStyle w:val="Bullet"/>
      </w:pPr>
      <w:r w:rsidRPr="00EE6918">
        <w:rPr>
          <w:b/>
        </w:rPr>
        <w:t xml:space="preserve">the collapse of HIH </w:t>
      </w:r>
      <w:r w:rsidR="00EE6918">
        <w:t>which</w:t>
      </w:r>
      <w:r w:rsidR="008D619E">
        <w:t xml:space="preserve"> </w:t>
      </w:r>
      <w:r w:rsidR="00A34C34">
        <w:t>demonstrated that</w:t>
      </w:r>
      <w:r w:rsidR="00014C94">
        <w:t xml:space="preserve"> vigilant supervision and a proactive regulatory culture is superior to a rules-based approach to regulation</w:t>
      </w:r>
      <w:r w:rsidRPr="00014C94">
        <w:t>;</w:t>
      </w:r>
    </w:p>
    <w:p w:rsidR="003D59AF" w:rsidRPr="003D59AF" w:rsidRDefault="003D59AF" w:rsidP="003D59AF">
      <w:pPr>
        <w:pStyle w:val="Bullet"/>
      </w:pPr>
      <w:r w:rsidRPr="003D59AF">
        <w:rPr>
          <w:b/>
        </w:rPr>
        <w:t xml:space="preserve">the global financial crisis </w:t>
      </w:r>
      <w:r w:rsidR="00014C94">
        <w:t>which confirmed the need for well-</w:t>
      </w:r>
      <w:r w:rsidRPr="00014C94">
        <w:t>capitalised financial institutions and robust markets</w:t>
      </w:r>
      <w:r w:rsidR="00014C94">
        <w:t>;</w:t>
      </w:r>
      <w:r>
        <w:t xml:space="preserve"> </w:t>
      </w:r>
    </w:p>
    <w:p w:rsidR="00DA7D52" w:rsidRPr="00943C13" w:rsidRDefault="00AD3F6F" w:rsidP="008D619E">
      <w:pPr>
        <w:pStyle w:val="Bullet"/>
      </w:pPr>
      <w:r w:rsidRPr="00EE6918">
        <w:rPr>
          <w:b/>
        </w:rPr>
        <w:t>evolving global standards</w:t>
      </w:r>
      <w:r>
        <w:t xml:space="preserve"> that continue to shape </w:t>
      </w:r>
      <w:r w:rsidR="008D619E" w:rsidRPr="008D619E">
        <w:t>Au</w:t>
      </w:r>
      <w:r>
        <w:t>stralia’s financial regulation</w:t>
      </w:r>
      <w:r w:rsidR="004F103A">
        <w:t xml:space="preserve"> and, if implemented appropriately, will </w:t>
      </w:r>
      <w:r>
        <w:t>improv</w:t>
      </w:r>
      <w:r w:rsidR="004F103A">
        <w:t>e</w:t>
      </w:r>
      <w:r w:rsidR="008D619E">
        <w:t xml:space="preserve"> the </w:t>
      </w:r>
      <w:r w:rsidR="008D619E" w:rsidRPr="008D619E">
        <w:t>soundness of domes</w:t>
      </w:r>
      <w:r w:rsidR="003907FF">
        <w:t>tic institutions and provid</w:t>
      </w:r>
      <w:r w:rsidR="004F103A">
        <w:t>e</w:t>
      </w:r>
      <w:r w:rsidR="008D619E" w:rsidRPr="008D619E">
        <w:t xml:space="preserve"> more assured access to </w:t>
      </w:r>
      <w:r w:rsidR="009862CD">
        <w:t>global financial</w:t>
      </w:r>
      <w:r w:rsidR="008D619E" w:rsidRPr="008D619E">
        <w:t xml:space="preserve"> markets</w:t>
      </w:r>
      <w:r w:rsidR="008D619E">
        <w:t>;</w:t>
      </w:r>
    </w:p>
    <w:p w:rsidR="00DA7D52" w:rsidRPr="00943C13" w:rsidRDefault="004F103A" w:rsidP="00F7729F">
      <w:pPr>
        <w:pStyle w:val="Bullet"/>
      </w:pPr>
      <w:r>
        <w:rPr>
          <w:b/>
        </w:rPr>
        <w:t xml:space="preserve">Implicit and </w:t>
      </w:r>
      <w:r w:rsidR="00DA7D52" w:rsidRPr="00EE6918">
        <w:rPr>
          <w:b/>
        </w:rPr>
        <w:t>explicit guarantees</w:t>
      </w:r>
      <w:r w:rsidR="00DA7D52" w:rsidRPr="00943C13">
        <w:t xml:space="preserve"> </w:t>
      </w:r>
      <w:r w:rsidR="00DA7D52">
        <w:t xml:space="preserve">now </w:t>
      </w:r>
      <w:r w:rsidR="00AD3F6F">
        <w:t xml:space="preserve">becoming </w:t>
      </w:r>
      <w:r w:rsidR="0050148E">
        <w:t xml:space="preserve">an established </w:t>
      </w:r>
      <w:r w:rsidR="00DA7D52">
        <w:t>feature of the Australian financial system</w:t>
      </w:r>
      <w:r w:rsidR="00AD3F6F">
        <w:t>, introducing</w:t>
      </w:r>
      <w:r w:rsidR="00F7729F" w:rsidRPr="00F7729F">
        <w:t xml:space="preserve"> or reinforc</w:t>
      </w:r>
      <w:r w:rsidR="009862CD">
        <w:t>ing</w:t>
      </w:r>
      <w:r w:rsidR="00F7729F" w:rsidRPr="00F7729F">
        <w:t xml:space="preserve"> distortions that generate moral</w:t>
      </w:r>
      <w:r w:rsidR="00A34C34">
        <w:t xml:space="preserve"> hazard and that preference some banks over others to the detriment of competition</w:t>
      </w:r>
      <w:r w:rsidR="0026296D">
        <w:t xml:space="preserve"> and the efficiency of the banking sector</w:t>
      </w:r>
      <w:r w:rsidR="00DA7D52">
        <w:t>;</w:t>
      </w:r>
      <w:r w:rsidR="00AD3F6F">
        <w:t xml:space="preserve"> and</w:t>
      </w:r>
    </w:p>
    <w:p w:rsidR="00DA7D52" w:rsidRDefault="00AD3F6F" w:rsidP="00DA7D52">
      <w:pPr>
        <w:pStyle w:val="Bullet"/>
      </w:pPr>
      <w:r w:rsidRPr="00EE6918">
        <w:rPr>
          <w:b/>
        </w:rPr>
        <w:t xml:space="preserve">the emergence of </w:t>
      </w:r>
      <w:r w:rsidR="00DA7D52" w:rsidRPr="00EE6918">
        <w:rPr>
          <w:b/>
        </w:rPr>
        <w:t xml:space="preserve">more cost-effective ways </w:t>
      </w:r>
      <w:r w:rsidRPr="00EE6918">
        <w:rPr>
          <w:b/>
        </w:rPr>
        <w:t>to</w:t>
      </w:r>
      <w:r w:rsidR="00DA7D52" w:rsidRPr="00EE6918">
        <w:rPr>
          <w:b/>
        </w:rPr>
        <w:t xml:space="preserve"> empower consumers</w:t>
      </w:r>
      <w:r w:rsidR="00DA7D52">
        <w:t xml:space="preserve"> </w:t>
      </w:r>
      <w:r>
        <w:t xml:space="preserve">at </w:t>
      </w:r>
      <w:r w:rsidR="00F7729F">
        <w:t xml:space="preserve">a time when </w:t>
      </w:r>
      <w:r w:rsidR="00070232">
        <w:t xml:space="preserve">current </w:t>
      </w:r>
      <w:r w:rsidR="00F7729F">
        <w:t>a</w:t>
      </w:r>
      <w:r w:rsidR="00F7729F" w:rsidRPr="00943C13">
        <w:t xml:space="preserve">pproaches to disclosure and </w:t>
      </w:r>
      <w:r w:rsidR="008B3F00">
        <w:t xml:space="preserve">financial literacy programs </w:t>
      </w:r>
      <w:r w:rsidR="00F7729F" w:rsidRPr="00943C13">
        <w:t xml:space="preserve">have </w:t>
      </w:r>
      <w:r w:rsidR="00F7729F">
        <w:t>reached the limits of their effectiveness</w:t>
      </w:r>
      <w:r>
        <w:t>.</w:t>
      </w:r>
    </w:p>
    <w:p w:rsidR="00DA7D52" w:rsidRPr="00943C13" w:rsidRDefault="00695D3B" w:rsidP="00AD10D5">
      <w:pPr>
        <w:pStyle w:val="OutlineNumbered1"/>
      </w:pPr>
      <w:r>
        <w:t xml:space="preserve">In addition, events have </w:t>
      </w:r>
      <w:r w:rsidR="004F103A">
        <w:t xml:space="preserve">further </w:t>
      </w:r>
      <w:r>
        <w:t xml:space="preserve">blurred </w:t>
      </w:r>
      <w:r w:rsidR="00DA7D52">
        <w:t>the prudential boundaries</w:t>
      </w:r>
      <w:r w:rsidR="00F7729F">
        <w:t>, creating a need for a clearer demarcation between the financial promises of institutions that are regulated in different ways</w:t>
      </w:r>
      <w:r>
        <w:t>.  This is canvassed in</w:t>
      </w:r>
      <w:r w:rsidR="00F7729F">
        <w:t xml:space="preserve"> </w:t>
      </w:r>
      <w:r w:rsidR="00E40CB8" w:rsidRPr="0035239E">
        <w:t xml:space="preserve">Part </w:t>
      </w:r>
      <w:r w:rsidR="00F7729F" w:rsidRPr="0035239E">
        <w:t>2</w:t>
      </w:r>
      <w:r w:rsidR="00E40CB8" w:rsidRPr="0035239E">
        <w:t xml:space="preserve"> </w:t>
      </w:r>
      <w:r w:rsidR="004F103A">
        <w:t>of this submission.</w:t>
      </w:r>
    </w:p>
    <w:p w:rsidR="00DA7D52" w:rsidRPr="003F4995" w:rsidRDefault="00EC1D91" w:rsidP="004A26A2">
      <w:pPr>
        <w:pStyle w:val="Bullet"/>
        <w:keepNext/>
        <w:numPr>
          <w:ilvl w:val="0"/>
          <w:numId w:val="0"/>
        </w:numPr>
        <w:spacing w:before="480" w:after="360"/>
        <w:ind w:left="567" w:hanging="567"/>
        <w:jc w:val="center"/>
        <w:rPr>
          <w:b/>
          <w:sz w:val="32"/>
        </w:rPr>
      </w:pPr>
      <w:r w:rsidRPr="003F4995">
        <w:rPr>
          <w:b/>
          <w:sz w:val="32"/>
        </w:rPr>
        <w:lastRenderedPageBreak/>
        <w:t xml:space="preserve">Events </w:t>
      </w:r>
      <w:r w:rsidR="00AD3F6F">
        <w:rPr>
          <w:b/>
          <w:sz w:val="32"/>
        </w:rPr>
        <w:t xml:space="preserve">since the Wallis Committee prompting </w:t>
      </w:r>
      <w:r w:rsidR="00AD3F6F">
        <w:rPr>
          <w:b/>
          <w:sz w:val="32"/>
        </w:rPr>
        <w:br/>
        <w:t>a need to refresh</w:t>
      </w:r>
      <w:r w:rsidRPr="003F4995">
        <w:rPr>
          <w:b/>
          <w:sz w:val="32"/>
        </w:rPr>
        <w:t xml:space="preserve"> the </w:t>
      </w:r>
      <w:r w:rsidR="00AD3F6F">
        <w:rPr>
          <w:b/>
          <w:sz w:val="32"/>
        </w:rPr>
        <w:t xml:space="preserve">regulatory </w:t>
      </w:r>
      <w:r w:rsidRPr="003F4995">
        <w:rPr>
          <w:b/>
          <w:sz w:val="32"/>
        </w:rPr>
        <w:t>philosophy</w:t>
      </w:r>
    </w:p>
    <w:p w:rsidR="00721165" w:rsidRDefault="00535AA3" w:rsidP="009644B8">
      <w:bookmarkStart w:id="199" w:name="_Toc381270017"/>
      <w:bookmarkStart w:id="200" w:name="_Toc381824179"/>
      <w:bookmarkStart w:id="201" w:name="_Toc381951944"/>
      <w:r>
        <w:rPr>
          <w:noProof/>
          <w:lang w:val="en-US"/>
        </w:rPr>
        <w:drawing>
          <wp:inline distT="0" distB="0" distL="0" distR="0" wp14:anchorId="542DB796" wp14:editId="5DBD45CF">
            <wp:extent cx="5719313" cy="2725947"/>
            <wp:effectExtent l="0" t="0" r="0" b="0"/>
            <wp:docPr id="15" name="Picture 15" descr="\\fs2\indiv$\txd\Documents\PRESENTATION - PSM 2013 WITH NOTES - Future of the financial system\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indiv$\txd\Documents\PRESENTATION - PSM 2013 WITH NOTES - Future of the financial system\Slide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6307" b="10235"/>
                    <a:stretch/>
                  </pic:blipFill>
                  <pic:spPr bwMode="auto">
                    <a:xfrm>
                      <a:off x="0" y="0"/>
                      <a:ext cx="5719445" cy="2726010"/>
                    </a:xfrm>
                    <a:prstGeom prst="rect">
                      <a:avLst/>
                    </a:prstGeom>
                    <a:noFill/>
                    <a:ln>
                      <a:noFill/>
                    </a:ln>
                    <a:extLst>
                      <a:ext uri="{53640926-AAD7-44D8-BBD7-CCE9431645EC}">
                        <a14:shadowObscured xmlns:a14="http://schemas.microsoft.com/office/drawing/2010/main"/>
                      </a:ext>
                    </a:extLst>
                  </pic:spPr>
                </pic:pic>
              </a:graphicData>
            </a:graphic>
          </wp:inline>
        </w:drawing>
      </w:r>
    </w:p>
    <w:p w:rsidR="003D59AF" w:rsidRDefault="005E423B" w:rsidP="005E423B">
      <w:pPr>
        <w:pStyle w:val="Heading4"/>
      </w:pPr>
      <w:bookmarkStart w:id="202" w:name="_Toc380408300"/>
      <w:bookmarkStart w:id="203" w:name="_Toc381270016"/>
      <w:bookmarkStart w:id="204" w:name="_Toc381824178"/>
      <w:bookmarkStart w:id="205" w:name="_Toc381951943"/>
      <w:bookmarkStart w:id="206" w:name="_Toc381954253"/>
      <w:bookmarkStart w:id="207" w:name="_Toc383524011"/>
      <w:bookmarkStart w:id="208" w:name="_Toc383531502"/>
      <w:bookmarkStart w:id="209" w:name="_Toc382496726"/>
      <w:bookmarkStart w:id="210" w:name="_Toc382496780"/>
      <w:r>
        <w:t xml:space="preserve">Effective regulation involves </w:t>
      </w:r>
      <w:bookmarkEnd w:id="202"/>
      <w:r w:rsidR="00867723">
        <w:t>intensively</w:t>
      </w:r>
      <w:r>
        <w:t xml:space="preserve"> supervised </w:t>
      </w:r>
      <w:bookmarkEnd w:id="203"/>
      <w:bookmarkEnd w:id="204"/>
      <w:bookmarkEnd w:id="205"/>
      <w:bookmarkEnd w:id="206"/>
      <w:r>
        <w:t>institutions</w:t>
      </w:r>
      <w:bookmarkEnd w:id="207"/>
      <w:bookmarkEnd w:id="208"/>
    </w:p>
    <w:p w:rsidR="005E423B" w:rsidRDefault="005E423B" w:rsidP="00E251CA">
      <w:pPr>
        <w:pStyle w:val="OutlineNumbered1"/>
      </w:pPr>
      <w:r>
        <w:t xml:space="preserve">The </w:t>
      </w:r>
      <w:r w:rsidRPr="00014C94">
        <w:t>collapse of HIH</w:t>
      </w:r>
      <w:r>
        <w:t xml:space="preserve"> in 2001 revealed that a sound regulatory architecture is a necessary but not sufficient condition for fostering well-functioning markets.  While the Wallis reforms assigned clear accountabilities, there were shortcomings in how these accountabilities were exercised.  The Royal Commission into the collapse of HIH found:</w:t>
      </w:r>
    </w:p>
    <w:p w:rsidR="00E84353" w:rsidRDefault="005E423B" w:rsidP="00E84353">
      <w:pPr>
        <w:ind w:left="720"/>
        <w:rPr>
          <w:rFonts w:asciiTheme="minorHAnsi" w:hAnsiTheme="minorHAnsi"/>
          <w:szCs w:val="24"/>
          <w:lang w:val="en"/>
        </w:rPr>
      </w:pPr>
      <w:r w:rsidRPr="00216722">
        <w:rPr>
          <w:rFonts w:asciiTheme="minorHAnsi" w:hAnsiTheme="minorHAnsi"/>
          <w:i/>
          <w:szCs w:val="24"/>
          <w:lang w:val="en"/>
        </w:rPr>
        <w:t xml:space="preserve">"APRA's failure to act did not contribute to the collapse of HIH. </w:t>
      </w:r>
      <w:r w:rsidR="007E2AB6">
        <w:rPr>
          <w:rFonts w:asciiTheme="minorHAnsi" w:hAnsiTheme="minorHAnsi"/>
          <w:i/>
          <w:szCs w:val="24"/>
          <w:lang w:val="en"/>
        </w:rPr>
        <w:t xml:space="preserve"> </w:t>
      </w:r>
      <w:r w:rsidRPr="00216722">
        <w:rPr>
          <w:rFonts w:asciiTheme="minorHAnsi" w:hAnsiTheme="minorHAnsi"/>
          <w:i/>
          <w:szCs w:val="24"/>
          <w:lang w:val="en"/>
        </w:rPr>
        <w:t>However, the manner in which APRA exercised its powers and discharged its responsibilities under the Insurance Act fell short of that which the community was entitled to expect from the prudential regulator of the insurance industry"</w:t>
      </w:r>
      <w:r w:rsidR="00EB63A8">
        <w:rPr>
          <w:rFonts w:asciiTheme="minorHAnsi" w:hAnsiTheme="minorHAnsi"/>
          <w:i/>
          <w:szCs w:val="24"/>
          <w:lang w:val="en"/>
        </w:rPr>
        <w:t>.</w:t>
      </w:r>
      <w:r>
        <w:rPr>
          <w:rStyle w:val="FootnoteReference"/>
          <w:rFonts w:asciiTheme="minorHAnsi" w:hAnsiTheme="minorHAnsi"/>
          <w:i/>
          <w:szCs w:val="24"/>
          <w:lang w:val="en"/>
        </w:rPr>
        <w:footnoteReference w:id="16"/>
      </w:r>
    </w:p>
    <w:p w:rsidR="00E251CA" w:rsidRDefault="00E84353" w:rsidP="00E251CA">
      <w:pPr>
        <w:pStyle w:val="OutlineNumbered1"/>
      </w:pPr>
      <w:r>
        <w:t>In response, Australia’s regulatory agencies developed a pro-active approach to regulation, recognising that supervisory effectiveness hinges on the right supervisory mindset.</w:t>
      </w:r>
      <w:r>
        <w:rPr>
          <w:rStyle w:val="FootnoteReference"/>
        </w:rPr>
        <w:footnoteReference w:id="17"/>
      </w:r>
      <w:r w:rsidR="00E251CA" w:rsidRPr="00E251CA">
        <w:t xml:space="preserve"> </w:t>
      </w:r>
      <w:r w:rsidR="00014C94">
        <w:t xml:space="preserve"> </w:t>
      </w:r>
      <w:r w:rsidR="00E251CA">
        <w:t>The importance of vigilant supervision has been emphasised by the IMF:</w:t>
      </w:r>
    </w:p>
    <w:p w:rsidR="00E251CA" w:rsidRPr="008632F5" w:rsidRDefault="00E251CA" w:rsidP="00E251CA">
      <w:pPr>
        <w:pStyle w:val="OutlineNumbered1"/>
        <w:numPr>
          <w:ilvl w:val="0"/>
          <w:numId w:val="0"/>
        </w:numPr>
        <w:ind w:left="720"/>
        <w:rPr>
          <w:i/>
        </w:rPr>
      </w:pPr>
      <w:r w:rsidRPr="008632F5">
        <w:rPr>
          <w:i/>
        </w:rPr>
        <w:t xml:space="preserve">The “ability” to supervise…requires appropriate resources, authority, organization and constructive working relationships with other agencies </w:t>
      </w:r>
      <w:r w:rsidR="00AF254F">
        <w:rPr>
          <w:i/>
        </w:rPr>
        <w:t xml:space="preserve">[and] </w:t>
      </w:r>
      <w:r w:rsidRPr="008632F5">
        <w:rPr>
          <w:i/>
        </w:rPr>
        <w:t xml:space="preserve">must be complemented by the “will” to act.  Supervisors must be willing and empowered to take timely and effective action, to intrude on decision-making, to question common wisdom, and to take unpopular decisions.  </w:t>
      </w:r>
    </w:p>
    <w:p w:rsidR="00E251CA" w:rsidRPr="008632F5" w:rsidRDefault="00E251CA" w:rsidP="00E251CA">
      <w:pPr>
        <w:pStyle w:val="OutlineNumbered1"/>
        <w:numPr>
          <w:ilvl w:val="0"/>
          <w:numId w:val="0"/>
        </w:numPr>
        <w:ind w:left="720"/>
        <w:rPr>
          <w:i/>
        </w:rPr>
      </w:pPr>
      <w:r w:rsidRPr="008632F5">
        <w:rPr>
          <w:i/>
        </w:rPr>
        <w:lastRenderedPageBreak/>
        <w:t>Developing this “will to act” is a more difficult task and requires that supervisors have a clear and unambiguous mandate, operational independence coupled with accountability, skilled staff, and a relationship with industry that avoids “regulatory capture.”</w:t>
      </w:r>
      <w:r w:rsidR="00DA6D50" w:rsidRPr="00DA6D50">
        <w:rPr>
          <w:rStyle w:val="FootnoteReference"/>
          <w:i/>
        </w:rPr>
        <w:t xml:space="preserve"> </w:t>
      </w:r>
      <w:r w:rsidR="00DA6D50">
        <w:rPr>
          <w:rStyle w:val="FootnoteReference"/>
          <w:i/>
        </w:rPr>
        <w:footnoteReference w:id="18"/>
      </w:r>
    </w:p>
    <w:p w:rsidR="00EB63A8" w:rsidRPr="00DC60F6" w:rsidRDefault="00014C94" w:rsidP="0057449E">
      <w:pPr>
        <w:pStyle w:val="OutlineNumbered1"/>
        <w:rPr>
          <w:szCs w:val="24"/>
        </w:rPr>
      </w:pPr>
      <w:r w:rsidRPr="00DC60F6">
        <w:rPr>
          <w:szCs w:val="24"/>
        </w:rPr>
        <w:t xml:space="preserve">The independence of Australia’s regulators needs to be preserved in order to </w:t>
      </w:r>
      <w:r w:rsidR="004F103A" w:rsidRPr="00DC60F6">
        <w:rPr>
          <w:szCs w:val="24"/>
        </w:rPr>
        <w:t xml:space="preserve">ensure their supervisory effectiveness and to </w:t>
      </w:r>
      <w:r w:rsidRPr="00DC60F6">
        <w:rPr>
          <w:szCs w:val="24"/>
        </w:rPr>
        <w:t>maintain Australia’s reputation among global peers that Australia remains a safe and attractive environment in which to invest.  A</w:t>
      </w:r>
      <w:r w:rsidR="00727593" w:rsidRPr="00DC60F6">
        <w:rPr>
          <w:szCs w:val="24"/>
        </w:rPr>
        <w:t xml:space="preserve"> challenge</w:t>
      </w:r>
      <w:r w:rsidRPr="00DC60F6">
        <w:rPr>
          <w:szCs w:val="24"/>
        </w:rPr>
        <w:t xml:space="preserve"> is</w:t>
      </w:r>
      <w:r w:rsidR="00727593" w:rsidRPr="00DC60F6">
        <w:rPr>
          <w:szCs w:val="24"/>
        </w:rPr>
        <w:t xml:space="preserve"> balancing supervisory independence and accountability</w:t>
      </w:r>
      <w:r w:rsidR="0027181A">
        <w:rPr>
          <w:szCs w:val="24"/>
        </w:rPr>
        <w:t xml:space="preserve"> — </w:t>
      </w:r>
      <w:r w:rsidRPr="00DC60F6">
        <w:rPr>
          <w:szCs w:val="24"/>
        </w:rPr>
        <w:t xml:space="preserve">which </w:t>
      </w:r>
      <w:r w:rsidR="00727593" w:rsidRPr="00DC60F6">
        <w:rPr>
          <w:szCs w:val="24"/>
        </w:rPr>
        <w:t xml:space="preserve">is explored </w:t>
      </w:r>
      <w:r w:rsidR="00E251CA" w:rsidRPr="00DC60F6">
        <w:rPr>
          <w:szCs w:val="24"/>
        </w:rPr>
        <w:t>in Part 2.</w:t>
      </w:r>
      <w:bookmarkStart w:id="211" w:name="_Toc383524012"/>
      <w:bookmarkStart w:id="212" w:name="_Toc383531503"/>
    </w:p>
    <w:p w:rsidR="00247B6E" w:rsidRDefault="00014C94" w:rsidP="00247B6E">
      <w:pPr>
        <w:pStyle w:val="Heading4"/>
      </w:pPr>
      <w:r>
        <w:t xml:space="preserve">The global financial crisis </w:t>
      </w:r>
      <w:r w:rsidR="003907FF">
        <w:t>confirmed</w:t>
      </w:r>
      <w:r>
        <w:t xml:space="preserve"> the importance of well capitalised institutions</w:t>
      </w:r>
    </w:p>
    <w:p w:rsidR="00EB63A8" w:rsidRPr="00727593" w:rsidRDefault="00EB63A8" w:rsidP="00EB63A8">
      <w:pPr>
        <w:pStyle w:val="OutlineNumbered1"/>
      </w:pPr>
      <w:r w:rsidRPr="00727593">
        <w:t>Australia did not experience the same crisis conditions faced overseas, in part</w:t>
      </w:r>
      <w:r w:rsidR="008547FD">
        <w:t>,</w:t>
      </w:r>
      <w:r w:rsidRPr="00727593">
        <w:t xml:space="preserve"> because Australia had improved the ability of financial instituti</w:t>
      </w:r>
      <w:r w:rsidR="0026296D">
        <w:t xml:space="preserve">ons to meet their obligations by </w:t>
      </w:r>
      <w:r w:rsidRPr="00727593">
        <w:t xml:space="preserve">ensuring </w:t>
      </w:r>
      <w:r w:rsidR="0026296D">
        <w:t>they</w:t>
      </w:r>
      <w:r w:rsidRPr="00727593">
        <w:t xml:space="preserve"> were well capitalised and subject to </w:t>
      </w:r>
      <w:r w:rsidR="004F103A">
        <w:t>effective</w:t>
      </w:r>
      <w:r w:rsidRPr="00727593">
        <w:t xml:space="preserve"> supervision.</w:t>
      </w:r>
      <w:r w:rsidRPr="00727593">
        <w:rPr>
          <w:rStyle w:val="FootnoteReference"/>
          <w:bCs/>
        </w:rPr>
        <w:footnoteReference w:id="19"/>
      </w:r>
      <w:r w:rsidRPr="00727593">
        <w:t xml:space="preserve">  </w:t>
      </w:r>
    </w:p>
    <w:p w:rsidR="00EB63A8" w:rsidRPr="00EB63A8" w:rsidRDefault="00EB63A8" w:rsidP="00EB63A8">
      <w:pPr>
        <w:pStyle w:val="OutlineNumbered1"/>
      </w:pPr>
      <w:r w:rsidRPr="00727593">
        <w:rPr>
          <w:bCs/>
        </w:rPr>
        <w:t xml:space="preserve">In addition, the collapse of HIH had prompted </w:t>
      </w:r>
      <w:r w:rsidRPr="00727593">
        <w:t>Australia to undertake extensive preparatory work on crisis management and the development of th</w:t>
      </w:r>
      <w:r w:rsidR="00E80D61">
        <w:t>e pre</w:t>
      </w:r>
      <w:r w:rsidRPr="00727593">
        <w:t xml:space="preserve">cursor to the </w:t>
      </w:r>
      <w:r>
        <w:t>financial claims scheme.</w:t>
      </w:r>
    </w:p>
    <w:p w:rsidR="00247B6E" w:rsidRPr="00EB63A8" w:rsidRDefault="00247B6E" w:rsidP="00247B6E">
      <w:pPr>
        <w:pStyle w:val="OutlineNumbered1"/>
        <w:rPr>
          <w:bCs/>
        </w:rPr>
      </w:pPr>
      <w:r w:rsidRPr="00EB63A8">
        <w:t>While the Australian financial system fared better than many during the financial crisis, it was not immune.  Australian banks were confronted with the same turmoil in global financial markets as their global competitors with wholesale funding markets almost fully closed</w:t>
      </w:r>
      <w:r w:rsidR="00EB63A8">
        <w:t>.</w:t>
      </w:r>
      <w:r w:rsidRPr="00EB63A8">
        <w:rPr>
          <w:rStyle w:val="FootnoteReference"/>
        </w:rPr>
        <w:footnoteReference w:id="20"/>
      </w:r>
    </w:p>
    <w:p w:rsidR="00247B6E" w:rsidRPr="00EB63A8" w:rsidRDefault="005D12BE" w:rsidP="005D12BE">
      <w:pPr>
        <w:pStyle w:val="OutlineNumbered1"/>
      </w:pPr>
      <w:r w:rsidRPr="00EB63A8">
        <w:t>Despite the sound financial position of Australian institutions, global developments necessitated Government guarantees to financial institutions, funding injections to the securitisation market, superannuation funds confronting liquidity issues</w:t>
      </w:r>
      <w:r w:rsidR="00837A11">
        <w:t xml:space="preserve"> and</w:t>
      </w:r>
      <w:r w:rsidRPr="00EB63A8">
        <w:t xml:space="preserve"> a ‘freezing’ of redemptions in managed funds.</w:t>
      </w:r>
    </w:p>
    <w:p w:rsidR="00EB63A8" w:rsidRPr="00EB63A8" w:rsidRDefault="00EB63A8" w:rsidP="00EB63A8">
      <w:pPr>
        <w:pStyle w:val="OutlineNumbered1"/>
      </w:pPr>
      <w:r w:rsidRPr="00EB63A8">
        <w:t xml:space="preserve">The crisis underscored the need to ensure financial institutions can meet their obligations by being well-capitalised and </w:t>
      </w:r>
      <w:r w:rsidR="004F103A">
        <w:t>effectively</w:t>
      </w:r>
      <w:r w:rsidRPr="00EB63A8">
        <w:t xml:space="preserve"> supervised by regulators with institutional support to safeguard the financial system.</w:t>
      </w:r>
    </w:p>
    <w:p w:rsidR="00DA7D52" w:rsidRDefault="003A05B8" w:rsidP="00247B6E">
      <w:pPr>
        <w:pStyle w:val="Heading4"/>
      </w:pPr>
      <w:r>
        <w:lastRenderedPageBreak/>
        <w:t>Australia</w:t>
      </w:r>
      <w:r w:rsidR="00537FFD">
        <w:t>’s financial regulation will continue to be shaped by global</w:t>
      </w:r>
      <w:r w:rsidR="001E0522">
        <w:t xml:space="preserve"> </w:t>
      </w:r>
      <w:r w:rsidR="00537FFD">
        <w:t>standards</w:t>
      </w:r>
      <w:bookmarkEnd w:id="199"/>
      <w:bookmarkEnd w:id="200"/>
      <w:bookmarkEnd w:id="201"/>
      <w:bookmarkEnd w:id="209"/>
      <w:bookmarkEnd w:id="210"/>
      <w:bookmarkEnd w:id="211"/>
      <w:bookmarkEnd w:id="212"/>
    </w:p>
    <w:p w:rsidR="00247B6E" w:rsidRPr="005D12BE" w:rsidRDefault="00247B6E" w:rsidP="00247B6E">
      <w:pPr>
        <w:pStyle w:val="OutlineNumbered1"/>
        <w:rPr>
          <w:bCs/>
        </w:rPr>
      </w:pPr>
      <w:r w:rsidRPr="005D12BE">
        <w:rPr>
          <w:bCs/>
        </w:rPr>
        <w:t xml:space="preserve">The </w:t>
      </w:r>
      <w:r w:rsidR="005D12BE" w:rsidRPr="005D12BE">
        <w:rPr>
          <w:bCs/>
        </w:rPr>
        <w:t xml:space="preserve">global financial </w:t>
      </w:r>
      <w:r w:rsidRPr="005D12BE">
        <w:rPr>
          <w:bCs/>
        </w:rPr>
        <w:t xml:space="preserve">crisis </w:t>
      </w:r>
      <w:r>
        <w:t xml:space="preserve">prompted countries to consider stronger financial regulation, with some governments </w:t>
      </w:r>
      <w:r w:rsidR="00AF254F">
        <w:t>reversing</w:t>
      </w:r>
      <w:r>
        <w:t xml:space="preserve"> past deregulatory actions.</w:t>
      </w:r>
      <w:r w:rsidR="005D12BE">
        <w:t xml:space="preserve">  </w:t>
      </w:r>
      <w:r w:rsidRPr="00A50990">
        <w:t xml:space="preserve">Global regulations that were once lagging behind Australia have now ventured towards </w:t>
      </w:r>
      <w:r w:rsidRPr="005D12BE">
        <w:rPr>
          <w:bCs/>
        </w:rPr>
        <w:t xml:space="preserve">more rigid rules-based approaches </w:t>
      </w:r>
      <w:r w:rsidRPr="00A50990">
        <w:t xml:space="preserve">which, in many ways, represent a significant </w:t>
      </w:r>
      <w:r>
        <w:t>leap</w:t>
      </w:r>
      <w:r w:rsidRPr="00A50990">
        <w:t xml:space="preserve"> beyond Australia’s </w:t>
      </w:r>
      <w:r>
        <w:t>flexible, risk-based framework</w:t>
      </w:r>
      <w:r w:rsidRPr="00A50990">
        <w:t>.</w:t>
      </w:r>
    </w:p>
    <w:p w:rsidR="00247B6E" w:rsidRDefault="00247B6E" w:rsidP="00247B6E">
      <w:pPr>
        <w:pStyle w:val="OutlineNumbered1"/>
      </w:pPr>
      <w:r>
        <w:t>Australia has strong market-driven incentives to meet global standards</w:t>
      </w:r>
      <w:r w:rsidR="005D12BE">
        <w:t>.</w:t>
      </w:r>
      <w:r>
        <w:t xml:space="preserve">  Australia and its financial institutions have much to gain from global reforms that improve the soundness of </w:t>
      </w:r>
      <w:r w:rsidR="00837A11">
        <w:t>financial</w:t>
      </w:r>
      <w:r>
        <w:t xml:space="preserve"> institutions and provide more assured access to </w:t>
      </w:r>
      <w:r w:rsidR="00014C94">
        <w:t>global</w:t>
      </w:r>
      <w:r>
        <w:t xml:space="preserve"> markets.</w:t>
      </w:r>
      <w:r w:rsidR="005D12BE" w:rsidRPr="005D12BE">
        <w:rPr>
          <w:rStyle w:val="FootnoteReference"/>
        </w:rPr>
        <w:t xml:space="preserve"> </w:t>
      </w:r>
    </w:p>
    <w:p w:rsidR="00247B6E" w:rsidRPr="00247B6E" w:rsidRDefault="004F103A" w:rsidP="00247B6E">
      <w:pPr>
        <w:pStyle w:val="OutlineNumbered1"/>
        <w:rPr>
          <w:sz w:val="22"/>
        </w:rPr>
      </w:pPr>
      <w:r>
        <w:t>Australia’s a</w:t>
      </w:r>
      <w:r w:rsidR="00247B6E">
        <w:t>dherence to global benchmarks</w:t>
      </w:r>
      <w:r w:rsidR="005D12BE">
        <w:t xml:space="preserve"> helps</w:t>
      </w:r>
      <w:r w:rsidR="00247B6E">
        <w:t xml:space="preserve"> </w:t>
      </w:r>
      <w:r w:rsidR="005D12BE">
        <w:t>attract global investors.</w:t>
      </w:r>
      <w:r w:rsidR="00247B6E">
        <w:t xml:space="preserve">  In the post-global financial crisis context, investors and their advisers demand greater transparency and will judge Australia’s financial institutions against global standards.</w:t>
      </w:r>
      <w:r w:rsidR="00247B6E" w:rsidRPr="00247B6E">
        <w:t xml:space="preserve"> </w:t>
      </w:r>
      <w:r w:rsidR="005D12BE">
        <w:t xml:space="preserve"> Australia’s ‘global citizenship’ and broader international engagement objectives are also relevant.</w:t>
      </w:r>
      <w:r w:rsidR="005D12BE" w:rsidRPr="00561565">
        <w:rPr>
          <w:rStyle w:val="FootnoteReference"/>
        </w:rPr>
        <w:footnoteReference w:id="21"/>
      </w:r>
    </w:p>
    <w:p w:rsidR="00247B6E" w:rsidRPr="005D12BE" w:rsidRDefault="005D12BE" w:rsidP="00247B6E">
      <w:pPr>
        <w:pStyle w:val="OutlineNumbered1"/>
        <w:rPr>
          <w:sz w:val="22"/>
        </w:rPr>
      </w:pPr>
      <w:r>
        <w:t xml:space="preserve">At the same time, the global financial crisis confirmed the benefits of ensuring the methods of implementing global standards are applicable to an Australian context.  </w:t>
      </w:r>
      <w:r w:rsidR="00247B6E" w:rsidRPr="005E150E">
        <w:t xml:space="preserve">While there are benefits from strengthening Australia’s regulatory </w:t>
      </w:r>
      <w:r w:rsidR="00247B6E">
        <w:t>framework</w:t>
      </w:r>
      <w:r w:rsidR="00247B6E" w:rsidRPr="005E150E">
        <w:t xml:space="preserve"> in line with global standards, there are circumstances where </w:t>
      </w:r>
      <w:r w:rsidR="004F103A">
        <w:t>these standards</w:t>
      </w:r>
      <w:r w:rsidR="00247B6E" w:rsidRPr="005E150E">
        <w:t xml:space="preserve"> should provide flexibility in implementation to ensure </w:t>
      </w:r>
      <w:r w:rsidR="004F103A">
        <w:t>the</w:t>
      </w:r>
      <w:r w:rsidR="00247B6E" w:rsidRPr="005E150E">
        <w:t xml:space="preserve"> rules remain sensible for Australia</w:t>
      </w:r>
      <w:r>
        <w:t>.</w:t>
      </w:r>
      <w:r w:rsidR="00247B6E">
        <w:rPr>
          <w:rStyle w:val="FootnoteReference"/>
        </w:rPr>
        <w:footnoteReference w:id="22"/>
      </w:r>
      <w:r w:rsidR="00247B6E">
        <w:t xml:space="preserve">  </w:t>
      </w:r>
    </w:p>
    <w:p w:rsidR="00247B6E" w:rsidRDefault="00247B6E" w:rsidP="00247B6E">
      <w:pPr>
        <w:pStyle w:val="OutlineNumbered1"/>
        <w:rPr>
          <w:sz w:val="22"/>
        </w:rPr>
      </w:pPr>
      <w:r>
        <w:t xml:space="preserve">Australia’s participation in global fora has resulted in modifications to </w:t>
      </w:r>
      <w:r w:rsidRPr="001152B0">
        <w:t xml:space="preserve">international proposals </w:t>
      </w:r>
      <w:r>
        <w:t xml:space="preserve">to make them better </w:t>
      </w:r>
      <w:r w:rsidRPr="001152B0">
        <w:t>suited to the Australian financial system</w:t>
      </w:r>
      <w:r>
        <w:t xml:space="preserve">, such as winning global acceptance for alternative approaches to satisfying the liquidity requirements of Basel III.  Similar gains have been made in </w:t>
      </w:r>
      <w:r w:rsidR="003907FF">
        <w:t>working with American and European authorities to reduce</w:t>
      </w:r>
      <w:r>
        <w:t xml:space="preserve"> the compliance burden </w:t>
      </w:r>
      <w:r w:rsidR="003907FF">
        <w:t xml:space="preserve">on Australian institutions active in their markets through a process of ‘substituted compliance’ </w:t>
      </w:r>
      <w:r w:rsidR="008B2BBE">
        <w:t>that recognises the quality of Australia’s financial regulation</w:t>
      </w:r>
      <w:r w:rsidRPr="00347F7D">
        <w:t>.</w:t>
      </w:r>
    </w:p>
    <w:p w:rsidR="00247B6E" w:rsidRDefault="00247B6E" w:rsidP="00247B6E">
      <w:pPr>
        <w:pStyle w:val="OutlineNumbered1"/>
      </w:pPr>
      <w:r w:rsidRPr="00F7579B">
        <w:t>With the most acute phase of the crisis having passed, and significant reform progress having already been made, the G20 has agreed that 2014 is an appropriate time to begin transitioning the financial regulation agenda from that of ‘crisis response’ towards, ultimately, a mo</w:t>
      </w:r>
      <w:r>
        <w:t>re ‘steady state’ of operation</w:t>
      </w:r>
      <w:r w:rsidR="005D12BE">
        <w:t>.</w:t>
      </w:r>
      <w:r w:rsidR="005D12BE" w:rsidRPr="00561565">
        <w:rPr>
          <w:rStyle w:val="FootnoteReference"/>
        </w:rPr>
        <w:footnoteReference w:id="23"/>
      </w:r>
      <w:r>
        <w:t xml:space="preserve"> </w:t>
      </w:r>
    </w:p>
    <w:p w:rsidR="00DA7D52" w:rsidRPr="005D12BE" w:rsidRDefault="00247B6E" w:rsidP="005D12BE">
      <w:pPr>
        <w:pStyle w:val="OutlineNumbered1"/>
      </w:pPr>
      <w:r>
        <w:t>Australia should continue to advocate, through the G20,</w:t>
      </w:r>
      <w:r w:rsidRPr="00F7579B">
        <w:t xml:space="preserve"> greater certainty in the regulatory environment to foster </w:t>
      </w:r>
      <w:r>
        <w:t xml:space="preserve">confidence and growth and work to ensure the </w:t>
      </w:r>
      <w:r>
        <w:lastRenderedPageBreak/>
        <w:t xml:space="preserve">impact of regulation beyond agreed international standards does not </w:t>
      </w:r>
      <w:r w:rsidR="00760C9E">
        <w:t>undermine</w:t>
      </w:r>
      <w:r>
        <w:t xml:space="preserve"> </w:t>
      </w:r>
      <w:r w:rsidR="004E513D">
        <w:t>Australia’s</w:t>
      </w:r>
      <w:r w:rsidR="00760C9E">
        <w:t xml:space="preserve"> national interest</w:t>
      </w:r>
      <w:r>
        <w:t>.</w:t>
      </w:r>
    </w:p>
    <w:p w:rsidR="00DA7D52" w:rsidRPr="00296214" w:rsidRDefault="0050148E" w:rsidP="006C06CD">
      <w:pPr>
        <w:pStyle w:val="Heading4"/>
      </w:pPr>
      <w:bookmarkStart w:id="213" w:name="_Toc380408302"/>
      <w:bookmarkStart w:id="214" w:name="_Toc381270018"/>
      <w:bookmarkStart w:id="215" w:name="_Toc381824180"/>
      <w:bookmarkStart w:id="216" w:name="_Toc381951945"/>
      <w:bookmarkStart w:id="217" w:name="_Toc382496727"/>
      <w:bookmarkStart w:id="218" w:name="_Toc382496781"/>
      <w:bookmarkStart w:id="219" w:name="_Toc383524013"/>
      <w:bookmarkStart w:id="220" w:name="_Toc383531504"/>
      <w:r>
        <w:t xml:space="preserve">Guarantees have become an established </w:t>
      </w:r>
      <w:r w:rsidR="00DA7D52">
        <w:t>feature of the Australian financial system</w:t>
      </w:r>
      <w:bookmarkEnd w:id="213"/>
      <w:bookmarkEnd w:id="214"/>
      <w:bookmarkEnd w:id="215"/>
      <w:bookmarkEnd w:id="216"/>
      <w:bookmarkEnd w:id="217"/>
      <w:bookmarkEnd w:id="218"/>
      <w:bookmarkEnd w:id="219"/>
      <w:bookmarkEnd w:id="220"/>
    </w:p>
    <w:p w:rsidR="006C06CD" w:rsidRDefault="006C06CD" w:rsidP="006C06CD">
      <w:pPr>
        <w:pStyle w:val="OutlineNumbered1"/>
        <w:keepNext/>
      </w:pPr>
      <w:r>
        <w:t xml:space="preserve">In the period since the Wallis </w:t>
      </w:r>
      <w:r w:rsidR="006E6FA7">
        <w:t>Inquiry</w:t>
      </w:r>
      <w:r>
        <w:t>, governments confronted unprecedented circumstances that led to the implementation of guarantees</w:t>
      </w:r>
      <w:r w:rsidR="00D82358" w:rsidRPr="00D82358">
        <w:t xml:space="preserve"> </w:t>
      </w:r>
      <w:r w:rsidR="00D82358">
        <w:t xml:space="preserve">in the financial </w:t>
      </w:r>
      <w:r w:rsidR="00C53673">
        <w:t>system</w:t>
      </w:r>
      <w:r>
        <w:t>:</w:t>
      </w:r>
    </w:p>
    <w:p w:rsidR="006C06CD" w:rsidRPr="00EE0D4C" w:rsidRDefault="006C06CD" w:rsidP="006C06CD">
      <w:pPr>
        <w:pStyle w:val="Bullet"/>
      </w:pPr>
      <w:r w:rsidRPr="00EE0D4C">
        <w:t xml:space="preserve">the HIH Claims Support Scheme, which compensated HIH policy holders following its collapse; </w:t>
      </w:r>
    </w:p>
    <w:p w:rsidR="006C06CD" w:rsidRDefault="006C06CD" w:rsidP="006C06CD">
      <w:pPr>
        <w:pStyle w:val="Bullet"/>
      </w:pPr>
      <w:r w:rsidRPr="00EE0D4C">
        <w:t>the Financial Claims Scheme,</w:t>
      </w:r>
      <w:r w:rsidR="00D82358">
        <w:t xml:space="preserve"> which recognised that depositors could face hardship during a lengthy wind-up process for a failed institution</w:t>
      </w:r>
      <w:r>
        <w:t xml:space="preserve">; and </w:t>
      </w:r>
    </w:p>
    <w:p w:rsidR="008C28FF" w:rsidRDefault="006C06CD" w:rsidP="006C06CD">
      <w:pPr>
        <w:pStyle w:val="Bullet"/>
      </w:pPr>
      <w:r w:rsidRPr="00EE0D4C">
        <w:t>guarantees of bank wholesale funding</w:t>
      </w:r>
      <w:r w:rsidR="00D82358">
        <w:t>, at a time when governments around the world were guaranteeing their banks</w:t>
      </w:r>
      <w:r w:rsidR="0027181A">
        <w:t xml:space="preserve"> — </w:t>
      </w:r>
      <w:r w:rsidR="00D82358">
        <w:t>placing Australia</w:t>
      </w:r>
      <w:r w:rsidR="00760C9E">
        <w:t>n banks</w:t>
      </w:r>
      <w:r w:rsidR="00D82358">
        <w:t xml:space="preserve"> at a competitive disadvantage de</w:t>
      </w:r>
      <w:r w:rsidR="008547FD">
        <w:t>spite</w:t>
      </w:r>
      <w:r w:rsidR="00D82358">
        <w:t xml:space="preserve"> sound financial footing.</w:t>
      </w:r>
      <w:r w:rsidR="00D82358">
        <w:rPr>
          <w:rStyle w:val="FootnoteReference"/>
        </w:rPr>
        <w:footnoteReference w:id="24"/>
      </w:r>
    </w:p>
    <w:p w:rsidR="00D82358" w:rsidRDefault="00D82358" w:rsidP="00D82358">
      <w:pPr>
        <w:pStyle w:val="OutlineNumbered1"/>
      </w:pPr>
      <w:r>
        <w:t xml:space="preserve">The guarantees provided to the financial </w:t>
      </w:r>
      <w:r w:rsidR="00C53673">
        <w:t>sy</w:t>
      </w:r>
      <w:r w:rsidR="00A80ECD">
        <w:t>s</w:t>
      </w:r>
      <w:r w:rsidR="00C53673">
        <w:t>tem</w:t>
      </w:r>
      <w:r>
        <w:t xml:space="preserve"> will continue to have a lasting impact:</w:t>
      </w:r>
    </w:p>
    <w:p w:rsidR="00D82358" w:rsidRDefault="00D82358" w:rsidP="00D82358">
      <w:pPr>
        <w:pStyle w:val="Bullet"/>
      </w:pPr>
      <w:r>
        <w:t xml:space="preserve">the previous government’s decision to make the Financial Claims Scheme a permanent feature of the Australian financial system </w:t>
      </w:r>
      <w:r w:rsidR="0026296D">
        <w:t>reinforces</w:t>
      </w:r>
      <w:r>
        <w:t xml:space="preserve"> public expectations about the way government supports depositors; and</w:t>
      </w:r>
    </w:p>
    <w:p w:rsidR="00D82358" w:rsidRDefault="00D82358" w:rsidP="00D82358">
      <w:pPr>
        <w:pStyle w:val="Bullet"/>
      </w:pPr>
      <w:r>
        <w:t>the continuing effect of the wholesale funding guarantee on the way investors, ratings agencies, advisors and analysts predict the way the governm</w:t>
      </w:r>
      <w:r w:rsidR="004F103A">
        <w:t>ent c</w:t>
      </w:r>
      <w:r>
        <w:t>ould handle future disruptions in financial markets (despite the scheme closing to new debt four years ago).</w:t>
      </w:r>
    </w:p>
    <w:p w:rsidR="00706238" w:rsidRDefault="00706238" w:rsidP="00D82358">
      <w:pPr>
        <w:pStyle w:val="OutlineNumbered1"/>
      </w:pPr>
      <w:r>
        <w:t xml:space="preserve">The experience of the global financial crisis therefore has added to the difficulty of regulating to promote the stability of the financial system without such intervention being seen as a guarantee of the viability of individual institutions.  The credibility of any reforms to address this problem will be challenged by </w:t>
      </w:r>
      <w:r w:rsidR="00F72164">
        <w:t>the precedents set through the crisis.</w:t>
      </w:r>
    </w:p>
    <w:p w:rsidR="00F72164" w:rsidRDefault="00F72164" w:rsidP="00D82358">
      <w:pPr>
        <w:pStyle w:val="OutlineNumbered1"/>
      </w:pPr>
      <w:r>
        <w:t xml:space="preserve">Nonetheless the experience of the crisis in Europe and America has demonstrated the </w:t>
      </w:r>
      <w:r w:rsidR="00AF254F">
        <w:t>implications</w:t>
      </w:r>
      <w:r>
        <w:t xml:space="preserve"> of supporting financial institutions deemed ‘too big to fail’ (</w:t>
      </w:r>
      <w:r w:rsidR="004269FE">
        <w:t xml:space="preserve">see </w:t>
      </w:r>
      <w:r w:rsidR="004269FE">
        <w:fldChar w:fldCharType="begin"/>
      </w:r>
      <w:r w:rsidR="004269FE">
        <w:instrText xml:space="preserve"> REF _Ref383774393 \h </w:instrText>
      </w:r>
      <w:r w:rsidR="004269FE">
        <w:fldChar w:fldCharType="separate"/>
      </w:r>
      <w:r w:rsidR="0050148E">
        <w:t xml:space="preserve">Table </w:t>
      </w:r>
      <w:r w:rsidR="0050148E">
        <w:rPr>
          <w:noProof/>
        </w:rPr>
        <w:t>1</w:t>
      </w:r>
      <w:r w:rsidR="004269FE">
        <w:fldChar w:fldCharType="end"/>
      </w:r>
      <w:r>
        <w:t xml:space="preserve"> </w:t>
      </w:r>
      <w:r w:rsidR="004269FE">
        <w:t xml:space="preserve">on page </w:t>
      </w:r>
      <w:r w:rsidR="004269FE">
        <w:fldChar w:fldCharType="begin"/>
      </w:r>
      <w:r w:rsidR="004269FE">
        <w:instrText xml:space="preserve"> PAGEREF _Ref383774364 \h </w:instrText>
      </w:r>
      <w:r w:rsidR="004269FE">
        <w:fldChar w:fldCharType="separate"/>
      </w:r>
      <w:r w:rsidR="0050148E">
        <w:rPr>
          <w:noProof/>
        </w:rPr>
        <w:t>13</w:t>
      </w:r>
      <w:r w:rsidR="004269FE">
        <w:fldChar w:fldCharType="end"/>
      </w:r>
      <w:r>
        <w:t>).  Australia did not have the same fiscal costs associated with supporting the financial system</w:t>
      </w:r>
      <w:r w:rsidR="0027181A">
        <w:t xml:space="preserve"> — </w:t>
      </w:r>
      <w:r>
        <w:t>in part reflecting the robustness of the regulatory arrangements</w:t>
      </w:r>
      <w:r w:rsidR="0027181A">
        <w:t xml:space="preserve"> — </w:t>
      </w:r>
      <w:r>
        <w:t xml:space="preserve">but </w:t>
      </w:r>
      <w:r w:rsidR="00DF69B8">
        <w:t>still faces the inefficiencies and impact on competition that arise when some institutions are perceived to be ‘implicitly guaranteed’ by the government.</w:t>
      </w:r>
    </w:p>
    <w:p w:rsidR="00706238" w:rsidRDefault="00706238" w:rsidP="00D82358">
      <w:pPr>
        <w:pStyle w:val="OutlineNumbered1"/>
      </w:pPr>
      <w:r>
        <w:lastRenderedPageBreak/>
        <w:t>This is a global challenge to which the G20 and international standard setters are</w:t>
      </w:r>
      <w:r w:rsidR="004F103A">
        <w:t xml:space="preserve"> collectively</w:t>
      </w:r>
      <w:r>
        <w:t xml:space="preserve"> developing a response</w:t>
      </w:r>
      <w:r w:rsidR="00DF69B8">
        <w:t xml:space="preserve"> and is further addressed in Part 3.</w:t>
      </w:r>
    </w:p>
    <w:p w:rsidR="00DA7D52" w:rsidRPr="00ED691C" w:rsidRDefault="00DA7D52" w:rsidP="00ED691C">
      <w:pPr>
        <w:pStyle w:val="Heading4"/>
      </w:pPr>
      <w:bookmarkStart w:id="221" w:name="_Toc380408306"/>
      <w:bookmarkStart w:id="222" w:name="_Toc381270019"/>
      <w:bookmarkStart w:id="223" w:name="_Toc381824181"/>
      <w:bookmarkStart w:id="224" w:name="_Toc381951946"/>
      <w:bookmarkStart w:id="225" w:name="_Toc382496728"/>
      <w:bookmarkStart w:id="226" w:name="_Toc382496782"/>
      <w:bookmarkStart w:id="227" w:name="_Toc383524014"/>
      <w:bookmarkStart w:id="228" w:name="_Toc383531505"/>
      <w:bookmarkStart w:id="229" w:name="_Toc383703286"/>
      <w:bookmarkStart w:id="230" w:name="_Toc383704170"/>
      <w:bookmarkStart w:id="231" w:name="_Toc383783838"/>
      <w:bookmarkStart w:id="232" w:name="_Toc383784642"/>
      <w:bookmarkStart w:id="233" w:name="_Toc384121499"/>
      <w:bookmarkStart w:id="234" w:name="_Toc384123725"/>
      <w:bookmarkStart w:id="235" w:name="_Toc384132411"/>
      <w:bookmarkStart w:id="236" w:name="_Toc384205169"/>
      <w:bookmarkStart w:id="237" w:name="_Toc384278505"/>
      <w:r w:rsidRPr="00ED691C">
        <w:rPr>
          <w:rStyle w:val="Heading3Char"/>
          <w:b/>
          <w:color w:val="auto"/>
          <w:sz w:val="28"/>
          <w:szCs w:val="22"/>
        </w:rPr>
        <w:t>More cost-effective methods of consumer empowerment</w:t>
      </w:r>
      <w:bookmarkEnd w:id="221"/>
      <w:r w:rsidRPr="00ED691C">
        <w:rPr>
          <w:rStyle w:val="Heading3Char"/>
          <w:b/>
          <w:color w:val="auto"/>
          <w:sz w:val="28"/>
          <w:szCs w:val="22"/>
        </w:rPr>
        <w:t xml:space="preserve"> are emerging</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1009B" w:rsidRDefault="0081009B" w:rsidP="000E7FE9">
      <w:pPr>
        <w:pStyle w:val="OutlineNumbered1"/>
      </w:pPr>
      <w:r>
        <w:t>The financial system meets its objectives when financial b</w:t>
      </w:r>
      <w:r w:rsidR="00AC0BA7">
        <w:t xml:space="preserve">usinesses are driven by the needs of consumers.  </w:t>
      </w:r>
      <w:r>
        <w:t>Yet, t</w:t>
      </w:r>
      <w:r w:rsidR="000E7FE9">
        <w:t xml:space="preserve">he </w:t>
      </w:r>
      <w:r w:rsidR="00AC0BA7">
        <w:t>premise of the current regulatory framework</w:t>
      </w:r>
      <w:r w:rsidR="0027181A">
        <w:t xml:space="preserve"> — </w:t>
      </w:r>
      <w:r w:rsidR="000E7FE9">
        <w:t>adequately informed consumers making ‘rational’ financial decisions</w:t>
      </w:r>
      <w:r w:rsidR="0027181A">
        <w:t xml:space="preserve"> — </w:t>
      </w:r>
      <w:r>
        <w:t>fails to take account of how people actually behave, process information and use information technology.</w:t>
      </w:r>
    </w:p>
    <w:p w:rsidR="000E7FE9" w:rsidRPr="00AC0BA7" w:rsidRDefault="0081009B" w:rsidP="000E7FE9">
      <w:pPr>
        <w:pStyle w:val="OutlineNumbered1"/>
      </w:pPr>
      <w:r>
        <w:t>The regulatory framework should be designed for its users</w:t>
      </w:r>
      <w:r w:rsidR="0027181A">
        <w:t xml:space="preserve"> — </w:t>
      </w:r>
      <w:r>
        <w:t xml:space="preserve">acknowledging </w:t>
      </w:r>
      <w:r w:rsidR="000E7FE9">
        <w:t xml:space="preserve">that around half the Australian adult population struggles to understand basic everyday documents and forms, and </w:t>
      </w:r>
      <w:r w:rsidR="00AF254F">
        <w:t>are</w:t>
      </w:r>
      <w:r w:rsidR="000E7FE9" w:rsidRPr="000E7FE9">
        <w:rPr>
          <w:shd w:val="clear" w:color="auto" w:fill="FFFFFF"/>
        </w:rPr>
        <w:t xml:space="preserve"> unable to understand and perform rudimentary analysis of figures in texts, tables and graphs</w:t>
      </w:r>
      <w:r w:rsidR="00AC0BA7">
        <w:rPr>
          <w:shd w:val="clear" w:color="auto" w:fill="FFFFFF"/>
        </w:rPr>
        <w:t>.</w:t>
      </w:r>
      <w:r w:rsidR="000E7FE9">
        <w:rPr>
          <w:rStyle w:val="FootnoteReference"/>
          <w:shd w:val="clear" w:color="auto" w:fill="FFFFFF"/>
        </w:rPr>
        <w:footnoteReference w:id="25"/>
      </w:r>
    </w:p>
    <w:p w:rsidR="00AC0BA7" w:rsidRDefault="00387A73" w:rsidP="0081009B">
      <w:pPr>
        <w:pStyle w:val="OutlineNumbered1"/>
      </w:pPr>
      <w:r>
        <w:t>Current d</w:t>
      </w:r>
      <w:r w:rsidR="0081009B">
        <w:t>isclosure requirements are not effective in helping consumers make informed decisions</w:t>
      </w:r>
      <w:r w:rsidR="0081009B">
        <w:rPr>
          <w:rStyle w:val="FootnoteReference"/>
        </w:rPr>
        <w:footnoteReference w:id="26"/>
      </w:r>
      <w:r w:rsidR="0081009B">
        <w:t xml:space="preserve"> and financial literacy programs have little, if any</w:t>
      </w:r>
      <w:r w:rsidR="00AF254F">
        <w:t>,</w:t>
      </w:r>
      <w:r w:rsidR="0081009B">
        <w:t xml:space="preserve"> sustained impact on behaviour or improved financial outcomes.</w:t>
      </w:r>
      <w:r w:rsidR="0081009B">
        <w:rPr>
          <w:rStyle w:val="FootnoteReference"/>
        </w:rPr>
        <w:footnoteReference w:id="27"/>
      </w:r>
      <w:r w:rsidR="0081009B">
        <w:t xml:space="preserve">  As such, </w:t>
      </w:r>
      <w:r w:rsidR="004F103A">
        <w:t xml:space="preserve">despite disclosure supporting information flows among experts within the market place, </w:t>
      </w:r>
      <w:r w:rsidR="0081009B">
        <w:t xml:space="preserve">businesses </w:t>
      </w:r>
      <w:r>
        <w:t>are</w:t>
      </w:r>
      <w:r w:rsidR="0081009B">
        <w:t xml:space="preserve"> incurring compliance costs from a regulatory regime</w:t>
      </w:r>
      <w:r w:rsidR="008C28FF">
        <w:t xml:space="preserve"> that has </w:t>
      </w:r>
      <w:r>
        <w:t>minimal</w:t>
      </w:r>
      <w:r w:rsidR="008C28FF">
        <w:t xml:space="preserve"> impact</w:t>
      </w:r>
      <w:r w:rsidR="004F103A">
        <w:t xml:space="preserve"> on consumer empowerment</w:t>
      </w:r>
      <w:r w:rsidR="008C28FF">
        <w:t xml:space="preserve">, and </w:t>
      </w:r>
      <w:r w:rsidR="004F103A">
        <w:t xml:space="preserve">often </w:t>
      </w:r>
      <w:r w:rsidR="008C28FF">
        <w:t xml:space="preserve">pass these costs </w:t>
      </w:r>
      <w:r w:rsidR="004F103A">
        <w:t xml:space="preserve">on </w:t>
      </w:r>
      <w:r w:rsidR="008C28FF">
        <w:t>to consumers.</w:t>
      </w:r>
    </w:p>
    <w:p w:rsidR="008C28FF" w:rsidRDefault="008C28FF" w:rsidP="00AC0BA7">
      <w:pPr>
        <w:pStyle w:val="OutlineNumbered1"/>
      </w:pPr>
      <w:r>
        <w:t>The continuing rise in household wealth and growing product choice and complexity provide further rational</w:t>
      </w:r>
      <w:r w:rsidR="00387A73">
        <w:t>e</w:t>
      </w:r>
      <w:r>
        <w:t xml:space="preserve"> for the</w:t>
      </w:r>
      <w:r w:rsidR="00932770">
        <w:t xml:space="preserve"> Financial System</w:t>
      </w:r>
      <w:r>
        <w:t xml:space="preserve"> </w:t>
      </w:r>
      <w:r w:rsidR="000E7FE9">
        <w:t xml:space="preserve">Inquiry </w:t>
      </w:r>
      <w:r>
        <w:t xml:space="preserve">to </w:t>
      </w:r>
      <w:r w:rsidR="000E7FE9">
        <w:t>consider simplifying and rationalising regulation</w:t>
      </w:r>
      <w:r>
        <w:t xml:space="preserve">, with a focus on:  </w:t>
      </w:r>
    </w:p>
    <w:p w:rsidR="008C28FF" w:rsidRDefault="008C28FF" w:rsidP="008C28FF">
      <w:pPr>
        <w:pStyle w:val="Bullet"/>
      </w:pPr>
      <w:r w:rsidRPr="008C28FF">
        <w:rPr>
          <w:b/>
        </w:rPr>
        <w:t>maintaining a clearly identifiable ‘safe harbour’</w:t>
      </w:r>
      <w:r>
        <w:t xml:space="preserve"> for essential </w:t>
      </w:r>
      <w:r w:rsidR="00AF254F">
        <w:t>financial products</w:t>
      </w:r>
      <w:r>
        <w:t xml:space="preserve"> such as deposits, superannuation and insurance;</w:t>
      </w:r>
    </w:p>
    <w:p w:rsidR="000E7FE9" w:rsidRDefault="00AC0BA7" w:rsidP="008C28FF">
      <w:pPr>
        <w:pStyle w:val="Bullet"/>
      </w:pPr>
      <w:r w:rsidRPr="008C28FF">
        <w:rPr>
          <w:b/>
        </w:rPr>
        <w:t>unlocking the potential of markets</w:t>
      </w:r>
      <w:r>
        <w:t xml:space="preserve"> by </w:t>
      </w:r>
      <w:r w:rsidR="00387A73">
        <w:t>making</w:t>
      </w:r>
      <w:r w:rsidR="008C28FF">
        <w:t xml:space="preserve"> information </w:t>
      </w:r>
      <w:r w:rsidR="00387A73">
        <w:t>more accessible</w:t>
      </w:r>
      <w:r w:rsidR="008C28FF">
        <w:t xml:space="preserve"> electronically </w:t>
      </w:r>
      <w:r>
        <w:t xml:space="preserve">to enable growth in </w:t>
      </w:r>
      <w:r w:rsidR="00922ABC">
        <w:t xml:space="preserve">the financial advice </w:t>
      </w:r>
      <w:r w:rsidR="00C53673">
        <w:t>sector</w:t>
      </w:r>
      <w:r w:rsidR="00922ABC">
        <w:t xml:space="preserve"> and </w:t>
      </w:r>
      <w:r>
        <w:t xml:space="preserve">‘information intermediaries’, such as online product comparison specialists, that </w:t>
      </w:r>
      <w:r w:rsidR="00387A73">
        <w:t>could</w:t>
      </w:r>
      <w:r>
        <w:t xml:space="preserve"> apply expertise in presenting information in an effective, readily digestible way</w:t>
      </w:r>
      <w:r w:rsidR="008C28FF">
        <w:t>;</w:t>
      </w:r>
      <w:r w:rsidRPr="00466700">
        <w:rPr>
          <w:rStyle w:val="FootnoteReference"/>
        </w:rPr>
        <w:t xml:space="preserve"> </w:t>
      </w:r>
      <w:r w:rsidR="00466700">
        <w:rPr>
          <w:rStyle w:val="FootnoteReference"/>
        </w:rPr>
        <w:footnoteReference w:id="28"/>
      </w:r>
      <w:r>
        <w:t xml:space="preserve">  </w:t>
      </w:r>
    </w:p>
    <w:p w:rsidR="00387A73" w:rsidRPr="00387A73" w:rsidRDefault="00387A73" w:rsidP="008C28FF">
      <w:pPr>
        <w:pStyle w:val="Bullet"/>
      </w:pPr>
      <w:r>
        <w:rPr>
          <w:b/>
        </w:rPr>
        <w:lastRenderedPageBreak/>
        <w:t>using technology, multi-layered disclosure and other interactive disclosure methods</w:t>
      </w:r>
      <w:r>
        <w:t xml:space="preserve"> to better allow consumers to assess risks without being overwhelmed by information;</w:t>
      </w:r>
      <w:r w:rsidR="004957CA">
        <w:t xml:space="preserve"> and</w:t>
      </w:r>
    </w:p>
    <w:p w:rsidR="00B42A42" w:rsidRDefault="008C28FF" w:rsidP="008C28FF">
      <w:pPr>
        <w:pStyle w:val="Bullet"/>
        <w:sectPr w:rsidR="00B42A42" w:rsidSect="00FD7165">
          <w:headerReference w:type="default" r:id="rId17"/>
          <w:pgSz w:w="11906" w:h="16838"/>
          <w:pgMar w:top="1440" w:right="1440" w:bottom="1440" w:left="1440" w:header="708" w:footer="708" w:gutter="0"/>
          <w:pgNumType w:chapStyle="1"/>
          <w:cols w:space="708"/>
          <w:docGrid w:linePitch="360"/>
        </w:sectPr>
      </w:pPr>
      <w:r w:rsidRPr="008C28FF">
        <w:rPr>
          <w:b/>
        </w:rPr>
        <w:t>allowing c</w:t>
      </w:r>
      <w:r w:rsidR="00B42A42" w:rsidRPr="008C28FF">
        <w:rPr>
          <w:b/>
        </w:rPr>
        <w:t xml:space="preserve">onsumers </w:t>
      </w:r>
      <w:r w:rsidR="00AF254F">
        <w:rPr>
          <w:b/>
        </w:rPr>
        <w:t>who</w:t>
      </w:r>
      <w:r w:rsidR="00B42A42" w:rsidRPr="008C28FF">
        <w:rPr>
          <w:b/>
        </w:rPr>
        <w:t xml:space="preserve"> are suitably engaged to access a spectrum of risk</w:t>
      </w:r>
      <w:r w:rsidR="00B42A42">
        <w:t xml:space="preserve"> that b</w:t>
      </w:r>
      <w:r>
        <w:t xml:space="preserve">est satisfies their preferences, for example, considering areas where ‘default’ outcomes could be improved to promote regulatory goals while preserving choice, </w:t>
      </w:r>
      <w:r w:rsidRPr="00BD00A1">
        <w:t>individual authority, ownership and control</w:t>
      </w:r>
      <w:r>
        <w:t>.</w:t>
      </w:r>
      <w:r>
        <w:rPr>
          <w:rStyle w:val="FootnoteReference"/>
        </w:rPr>
        <w:footnoteReference w:id="29"/>
      </w:r>
      <w:bookmarkStart w:id="238" w:name="_Toc381951949"/>
      <w:bookmarkStart w:id="239" w:name="_Toc381956558"/>
      <w:bookmarkStart w:id="240" w:name="_Toc383531506"/>
      <w:bookmarkStart w:id="241" w:name="Part2"/>
      <w:bookmarkEnd w:id="83"/>
    </w:p>
    <w:p w:rsidR="00DA7D52" w:rsidRDefault="00D01B63" w:rsidP="0003563D">
      <w:pPr>
        <w:pStyle w:val="Heading1"/>
      </w:pPr>
      <w:bookmarkStart w:id="242" w:name="_Toc383703287"/>
      <w:bookmarkStart w:id="243" w:name="_Toc383704171"/>
      <w:bookmarkStart w:id="244" w:name="_Toc383783839"/>
      <w:bookmarkStart w:id="245" w:name="_Toc383784643"/>
      <w:bookmarkStart w:id="246" w:name="_Toc384121500"/>
      <w:bookmarkStart w:id="247" w:name="_Toc384123726"/>
      <w:bookmarkStart w:id="248" w:name="_Toc384132412"/>
      <w:bookmarkStart w:id="249" w:name="_Toc384205170"/>
      <w:bookmarkStart w:id="250" w:name="_Toc384278506"/>
      <w:r>
        <w:lastRenderedPageBreak/>
        <w:t xml:space="preserve">Part 2:  </w:t>
      </w:r>
      <w:r w:rsidR="00EA756A">
        <w:t xml:space="preserve">The effectiveness of </w:t>
      </w:r>
      <w:r w:rsidR="00ED5628">
        <w:t xml:space="preserve">Australia’s </w:t>
      </w:r>
      <w:r w:rsidR="00EA756A">
        <w:t>r</w:t>
      </w:r>
      <w:r w:rsidR="004A14C9" w:rsidRPr="000E467F">
        <w:t>egulatory</w:t>
      </w:r>
      <w:r w:rsidR="004A14C9">
        <w:t xml:space="preserve"> architecture</w:t>
      </w:r>
      <w:bookmarkEnd w:id="238"/>
      <w:bookmarkEnd w:id="239"/>
      <w:bookmarkEnd w:id="240"/>
      <w:bookmarkEnd w:id="242"/>
      <w:bookmarkEnd w:id="243"/>
      <w:bookmarkEnd w:id="244"/>
      <w:bookmarkEnd w:id="245"/>
      <w:bookmarkEnd w:id="246"/>
      <w:bookmarkEnd w:id="247"/>
      <w:bookmarkEnd w:id="248"/>
      <w:bookmarkEnd w:id="249"/>
      <w:bookmarkEnd w:id="250"/>
    </w:p>
    <w:tbl>
      <w:tblPr>
        <w:tblStyle w:val="TableGrid"/>
        <w:tblW w:w="0" w:type="auto"/>
        <w:shd w:val="clear" w:color="auto" w:fill="EEECE1" w:themeFill="background2"/>
        <w:tblLook w:val="04A0" w:firstRow="1" w:lastRow="0" w:firstColumn="1" w:lastColumn="0" w:noHBand="0" w:noVBand="1"/>
      </w:tblPr>
      <w:tblGrid>
        <w:gridCol w:w="9242"/>
      </w:tblGrid>
      <w:tr w:rsidR="001813C6" w:rsidTr="001813C6">
        <w:tc>
          <w:tcPr>
            <w:tcW w:w="9242" w:type="dxa"/>
            <w:shd w:val="clear" w:color="auto" w:fill="EEECE1" w:themeFill="background2"/>
          </w:tcPr>
          <w:p w:rsidR="001813C6" w:rsidRPr="00F61DBF" w:rsidRDefault="001813C6" w:rsidP="001813C6">
            <w:pPr>
              <w:pStyle w:val="Heading3"/>
              <w:keepNext w:val="0"/>
            </w:pPr>
            <w:bookmarkStart w:id="251" w:name="_Toc383783840"/>
            <w:bookmarkStart w:id="252" w:name="_Toc383784644"/>
            <w:bookmarkStart w:id="253" w:name="_Toc384121501"/>
            <w:bookmarkStart w:id="254" w:name="_Toc384123727"/>
            <w:bookmarkStart w:id="255" w:name="_Toc384132413"/>
            <w:bookmarkStart w:id="256" w:name="_Toc384205171"/>
            <w:bookmarkStart w:id="257" w:name="_Toc384278507"/>
            <w:bookmarkStart w:id="258" w:name="_Toc382493627"/>
            <w:bookmarkStart w:id="259" w:name="_Toc382493806"/>
            <w:bookmarkStart w:id="260" w:name="_Toc382495825"/>
            <w:bookmarkStart w:id="261" w:name="_Toc382496709"/>
            <w:bookmarkStart w:id="262" w:name="_Toc383178789"/>
            <w:bookmarkStart w:id="263" w:name="_Toc383523995"/>
            <w:bookmarkStart w:id="264" w:name="_Toc383531507"/>
            <w:bookmarkStart w:id="265" w:name="_Toc383703288"/>
            <w:bookmarkStart w:id="266" w:name="_Toc383704172"/>
            <w:r w:rsidRPr="00F61DBF">
              <w:t>Key points</w:t>
            </w:r>
            <w:bookmarkEnd w:id="251"/>
            <w:bookmarkEnd w:id="252"/>
            <w:bookmarkEnd w:id="253"/>
            <w:bookmarkEnd w:id="254"/>
            <w:bookmarkEnd w:id="255"/>
            <w:bookmarkEnd w:id="256"/>
            <w:bookmarkEnd w:id="257"/>
          </w:p>
          <w:p w:rsidR="001813C6" w:rsidRDefault="001813C6" w:rsidP="001813C6">
            <w:pPr>
              <w:pStyle w:val="OutlineNumbered1"/>
            </w:pPr>
            <w:r>
              <w:t xml:space="preserve">The regulatory architecture that has evolved since </w:t>
            </w:r>
            <w:r w:rsidR="00B00F68">
              <w:t xml:space="preserve">the </w:t>
            </w:r>
            <w:r>
              <w:t xml:space="preserve">Wallis </w:t>
            </w:r>
            <w:r w:rsidR="00C53673">
              <w:t xml:space="preserve">Inquiry </w:t>
            </w:r>
            <w:r>
              <w:t>has proved to be sound and should be maintained.</w:t>
            </w:r>
          </w:p>
          <w:p w:rsidR="001813C6" w:rsidRDefault="001813C6" w:rsidP="001813C6">
            <w:pPr>
              <w:pStyle w:val="OutlineNumbered1"/>
            </w:pPr>
            <w:r>
              <w:t xml:space="preserve">The Australian financial system contributed to Australia’s ability to maintain growth during the global </w:t>
            </w:r>
            <w:r w:rsidRPr="00F61DBF">
              <w:t>financial crisis</w:t>
            </w:r>
            <w:r>
              <w:t>,</w:t>
            </w:r>
            <w:r w:rsidRPr="00F61DBF">
              <w:t xml:space="preserve"> </w:t>
            </w:r>
            <w:r>
              <w:t xml:space="preserve">in part validating </w:t>
            </w:r>
            <w:r w:rsidRPr="00F61DBF">
              <w:t xml:space="preserve">the </w:t>
            </w:r>
            <w:r>
              <w:t>regulatory</w:t>
            </w:r>
            <w:r w:rsidRPr="00F61DBF">
              <w:t xml:space="preserve"> architecture proposed by Wallis and the pro-active </w:t>
            </w:r>
            <w:r>
              <w:t xml:space="preserve">and intensive </w:t>
            </w:r>
            <w:r w:rsidRPr="00F61DBF">
              <w:t xml:space="preserve">supervision APRA developed in </w:t>
            </w:r>
            <w:r>
              <w:t>response</w:t>
            </w:r>
            <w:r w:rsidRPr="00F61DBF">
              <w:t xml:space="preserve"> </w:t>
            </w:r>
            <w:r>
              <w:t xml:space="preserve">to </w:t>
            </w:r>
            <w:r w:rsidRPr="00F61DBF">
              <w:t xml:space="preserve">the </w:t>
            </w:r>
            <w:r>
              <w:t xml:space="preserve">collapse of </w:t>
            </w:r>
            <w:r w:rsidRPr="00F61DBF">
              <w:t>HIH.</w:t>
            </w:r>
          </w:p>
          <w:p w:rsidR="001813C6" w:rsidRPr="00F61DBF" w:rsidRDefault="001813C6" w:rsidP="001813C6">
            <w:pPr>
              <w:pStyle w:val="OutlineNumbered1"/>
            </w:pPr>
            <w:r w:rsidRPr="00F61DBF">
              <w:t>The independence of regulators to exercise their supervisory responsibil</w:t>
            </w:r>
            <w:r>
              <w:t>ities is</w:t>
            </w:r>
            <w:r w:rsidR="002D2CF8">
              <w:t xml:space="preserve"> therefore</w:t>
            </w:r>
            <w:r>
              <w:t xml:space="preserve"> a critical element of the</w:t>
            </w:r>
            <w:r w:rsidRPr="00F61DBF">
              <w:t xml:space="preserve"> regulatory system.  Such independence needs to be balanced by effective accountability.  </w:t>
            </w:r>
            <w:r w:rsidR="002B7010">
              <w:t xml:space="preserve">The Financial System Inquiry should consider the scope </w:t>
            </w:r>
            <w:r w:rsidR="00C64EE7">
              <w:t>to</w:t>
            </w:r>
            <w:r w:rsidR="002B7010">
              <w:t xml:space="preserve"> strengthen the mechanisms by which regulators account for the discharge of their responsibilities, </w:t>
            </w:r>
            <w:r w:rsidR="00C64EE7">
              <w:t xml:space="preserve">noting </w:t>
            </w:r>
            <w:r w:rsidR="002B7010">
              <w:t xml:space="preserve">the </w:t>
            </w:r>
            <w:r w:rsidR="00C64EE7">
              <w:t xml:space="preserve">work of the </w:t>
            </w:r>
            <w:r w:rsidR="002B7010">
              <w:t>Productivity Commission i</w:t>
            </w:r>
            <w:r w:rsidR="00C64EE7">
              <w:t>n</w:t>
            </w:r>
            <w:r w:rsidRPr="00F61DBF">
              <w:t xml:space="preserve"> developing a set of indicators for assessing the performance of </w:t>
            </w:r>
            <w:r w:rsidR="002B7010">
              <w:t>regulators</w:t>
            </w:r>
            <w:r w:rsidRPr="00F61DBF">
              <w:t>.</w:t>
            </w:r>
          </w:p>
          <w:p w:rsidR="001813C6" w:rsidRPr="00F61DBF" w:rsidRDefault="001813C6" w:rsidP="001813C6">
            <w:pPr>
              <w:pStyle w:val="OutlineNumbered1"/>
            </w:pPr>
            <w:r w:rsidRPr="00F61DBF">
              <w:t>Market developments and pol</w:t>
            </w:r>
            <w:r w:rsidR="00C64EE7">
              <w:t>icy changes since</w:t>
            </w:r>
            <w:r w:rsidR="00B00F68">
              <w:t xml:space="preserve"> </w:t>
            </w:r>
            <w:r w:rsidR="00C53673">
              <w:t xml:space="preserve">the </w:t>
            </w:r>
            <w:r w:rsidRPr="00F61DBF">
              <w:t xml:space="preserve">Wallis </w:t>
            </w:r>
            <w:r w:rsidR="00C53673">
              <w:t xml:space="preserve">Inquiry </w:t>
            </w:r>
            <w:r w:rsidRPr="00F61DBF">
              <w:t xml:space="preserve">have blurred some of the responsibilities between the regulators, particularly between APRA and ASIC.  This risks confusion about their roles </w:t>
            </w:r>
            <w:r>
              <w:t xml:space="preserve">and potentially reduces the benefits </w:t>
            </w:r>
            <w:r w:rsidR="00ED5628">
              <w:t xml:space="preserve">to industry and consumers </w:t>
            </w:r>
            <w:r>
              <w:t>of a regulatory architecture based on clear functional lines.</w:t>
            </w:r>
            <w:r w:rsidR="00C64EE7">
              <w:t xml:space="preserve">  It is timely for the Financial System Inquiry to address overlaps or gaps between the roles of the regulators to ensure a clear demarcation between regulators is maintained.</w:t>
            </w:r>
          </w:p>
          <w:p w:rsidR="00005CBF" w:rsidRDefault="00C64EE7" w:rsidP="001813C6">
            <w:pPr>
              <w:pStyle w:val="OutlineNumbered1"/>
            </w:pPr>
            <w:r>
              <w:t xml:space="preserve">In particular, the proposed response to the </w:t>
            </w:r>
            <w:r w:rsidR="001813C6" w:rsidRPr="00F61DBF">
              <w:t xml:space="preserve">collapse of Banksia in 2012 </w:t>
            </w:r>
            <w:r>
              <w:t xml:space="preserve">that involves </w:t>
            </w:r>
            <w:r w:rsidR="001813C6" w:rsidRPr="00F61DBF">
              <w:t xml:space="preserve">a </w:t>
            </w:r>
            <w:r w:rsidR="0027181A">
              <w:t>quasi-prudential</w:t>
            </w:r>
            <w:r w:rsidR="001813C6" w:rsidRPr="00F61DBF">
              <w:t xml:space="preserve"> regime for debenture issuers administered by ASIC rather than APRA </w:t>
            </w:r>
            <w:r>
              <w:t>is</w:t>
            </w:r>
            <w:r w:rsidR="001813C6" w:rsidRPr="00F61DBF">
              <w:t xml:space="preserve"> a significant departure from the framework proposed by Wallis.  </w:t>
            </w:r>
            <w:r w:rsidR="00005CBF">
              <w:t>Prudential regulation should continue to be administered by a specialised regulator.</w:t>
            </w:r>
          </w:p>
          <w:p w:rsidR="001813C6" w:rsidRPr="00F61DBF" w:rsidRDefault="00005CBF" w:rsidP="001813C6">
            <w:pPr>
              <w:pStyle w:val="OutlineNumbered1"/>
            </w:pPr>
            <w:r>
              <w:t xml:space="preserve">The blurring of responsibilities between APRA and ASIC reflects the confusion among investors as to the distinction </w:t>
            </w:r>
            <w:r w:rsidR="001813C6" w:rsidRPr="00F61DBF">
              <w:t>about the extent of the prudential perimeter and the risks and protections of their investments.</w:t>
            </w:r>
          </w:p>
          <w:p w:rsidR="001813C6" w:rsidRDefault="001813C6" w:rsidP="004E513D">
            <w:pPr>
              <w:pStyle w:val="OutlineNumbered1"/>
            </w:pPr>
            <w:r>
              <w:t xml:space="preserve">Improving the ability to distinguish between entities regulated in different ways is likely to present the lowest cost option for dealing with this issue.  </w:t>
            </w:r>
            <w:r w:rsidRPr="00B574D5">
              <w:t>The alternative,</w:t>
            </w:r>
            <w:r w:rsidRPr="00F61DBF">
              <w:t xml:space="preserve"> </w:t>
            </w:r>
            <w:r w:rsidRPr="00CF5CCE">
              <w:t>e</w:t>
            </w:r>
            <w:r w:rsidRPr="00B574D5">
              <w:t xml:space="preserve">xpanding the prudential perimeter </w:t>
            </w:r>
            <w:r w:rsidRPr="003E5FB2">
              <w:t>to cover a larger range of businesses</w:t>
            </w:r>
            <w:r w:rsidRPr="00BC1619">
              <w:t>, is likely to invite regulatory arbitrage</w:t>
            </w:r>
            <w:r w:rsidR="00ED5628">
              <w:t>,</w:t>
            </w:r>
            <w:r w:rsidRPr="00BC1619">
              <w:t xml:space="preserve"> and </w:t>
            </w:r>
            <w:r w:rsidRPr="00F61DBF">
              <w:t xml:space="preserve">involve significant </w:t>
            </w:r>
            <w:r>
              <w:t xml:space="preserve">industry </w:t>
            </w:r>
            <w:r w:rsidRPr="00F61DBF">
              <w:t>compliance and opportunity costs.</w:t>
            </w:r>
          </w:p>
        </w:tc>
      </w:tr>
    </w:tbl>
    <w:p w:rsidR="001E69DE" w:rsidRPr="00EB3E6B" w:rsidRDefault="00B11D96" w:rsidP="00BC1619">
      <w:pPr>
        <w:pStyle w:val="Heading3"/>
      </w:pPr>
      <w:bookmarkStart w:id="267" w:name="_Toc384121502"/>
      <w:bookmarkStart w:id="268" w:name="_Toc384123728"/>
      <w:bookmarkStart w:id="269" w:name="_Toc384132414"/>
      <w:bookmarkStart w:id="270" w:name="_Toc384205172"/>
      <w:bookmarkStart w:id="271" w:name="_Toc384278508"/>
      <w:bookmarkEnd w:id="258"/>
      <w:bookmarkEnd w:id="259"/>
      <w:bookmarkEnd w:id="260"/>
      <w:bookmarkEnd w:id="261"/>
      <w:bookmarkEnd w:id="262"/>
      <w:bookmarkEnd w:id="263"/>
      <w:bookmarkEnd w:id="264"/>
      <w:bookmarkEnd w:id="265"/>
      <w:bookmarkEnd w:id="266"/>
      <w:r>
        <w:lastRenderedPageBreak/>
        <w:t>Independence is necessary for effective regulatory supervision, but needs to be balanced by accountability</w:t>
      </w:r>
      <w:bookmarkStart w:id="272" w:name="_Toc383178792"/>
      <w:bookmarkStart w:id="273" w:name="_Toc383523997"/>
      <w:bookmarkStart w:id="274" w:name="_Toc383531508"/>
      <w:bookmarkStart w:id="275" w:name="_Toc383703289"/>
      <w:bookmarkStart w:id="276" w:name="_Toc383704173"/>
      <w:bookmarkStart w:id="277" w:name="_Toc383783841"/>
      <w:bookmarkStart w:id="278" w:name="_Toc383784645"/>
      <w:bookmarkEnd w:id="267"/>
      <w:bookmarkEnd w:id="268"/>
      <w:bookmarkEnd w:id="269"/>
      <w:bookmarkEnd w:id="270"/>
      <w:bookmarkEnd w:id="271"/>
      <w:bookmarkEnd w:id="272"/>
      <w:bookmarkEnd w:id="273"/>
      <w:bookmarkEnd w:id="274"/>
      <w:bookmarkEnd w:id="275"/>
      <w:bookmarkEnd w:id="276"/>
      <w:bookmarkEnd w:id="277"/>
      <w:bookmarkEnd w:id="278"/>
    </w:p>
    <w:p w:rsidR="00F61DBF" w:rsidRPr="00F61DBF" w:rsidRDefault="00B11D96" w:rsidP="004E3DDE">
      <w:pPr>
        <w:pStyle w:val="OutlineNumbered1"/>
      </w:pPr>
      <w:r>
        <w:t xml:space="preserve">The regulatory framework established by Wallis contributed to the stability and resilience of the Australia’s financial system </w:t>
      </w:r>
      <w:r w:rsidR="005D4640">
        <w:t xml:space="preserve">and its economy </w:t>
      </w:r>
      <w:r>
        <w:t>through the crisis.</w:t>
      </w:r>
      <w:r w:rsidR="00F61DBF" w:rsidRPr="00F61DBF">
        <w:t xml:space="preserve">  </w:t>
      </w:r>
      <w:r w:rsidR="005D4640">
        <w:t>As addressed in Part 1, a key element of that success was the development of a culture of vigilant and proactive supervision following the collapse of HIH.</w:t>
      </w:r>
    </w:p>
    <w:p w:rsidR="00F61DBF" w:rsidRPr="00F61DBF" w:rsidRDefault="00F61DBF" w:rsidP="000A1191">
      <w:pPr>
        <w:pStyle w:val="OutlineNumbered1"/>
      </w:pPr>
      <w:r w:rsidRPr="00F61DBF">
        <w:t xml:space="preserve">The success of this formula has been recognised by jurisdictions that experienced financial instability through the recent crisis.  </w:t>
      </w:r>
      <w:r w:rsidR="00C607E1">
        <w:t>The Netherlands, for example, ha</w:t>
      </w:r>
      <w:r w:rsidR="000A1191">
        <w:t>d moved to a ‘twin peaks’ model prior to the financial crisis, but have since sought to strengthen their regulatory system by changing the culture of their prudential regulator to be more forward looking and intensive.</w:t>
      </w:r>
      <w:r w:rsidR="003C28A5">
        <w:rPr>
          <w:rStyle w:val="FootnoteReference"/>
        </w:rPr>
        <w:footnoteReference w:id="30"/>
      </w:r>
    </w:p>
    <w:p w:rsidR="00F61DBF" w:rsidRPr="00F61DBF" w:rsidRDefault="00F61DBF" w:rsidP="004E3DDE">
      <w:pPr>
        <w:pStyle w:val="OutlineNumbered1"/>
      </w:pPr>
      <w:r w:rsidRPr="00F61DBF">
        <w:t xml:space="preserve">An important aspect of </w:t>
      </w:r>
      <w:r w:rsidR="00DE78D3">
        <w:t>effective supervision</w:t>
      </w:r>
      <w:r w:rsidR="00DE78D3" w:rsidRPr="00F61DBF">
        <w:t xml:space="preserve"> </w:t>
      </w:r>
      <w:r w:rsidRPr="00F61DBF">
        <w:t xml:space="preserve">is the independence of the regulators from government in implementing their </w:t>
      </w:r>
      <w:r w:rsidR="00DE78D3">
        <w:t xml:space="preserve">supervisory </w:t>
      </w:r>
      <w:r w:rsidRPr="00F61DBF">
        <w:t>functions.  The importance of independence was emphasised in two substantial reviews:</w:t>
      </w:r>
    </w:p>
    <w:p w:rsidR="001E6EFE" w:rsidRDefault="00F61DBF" w:rsidP="003C28A5">
      <w:pPr>
        <w:pStyle w:val="Bullet"/>
      </w:pPr>
      <w:r w:rsidRPr="00F61DBF">
        <w:t>the Palmer Report into the role played by APRA in the collapse of HIH</w:t>
      </w:r>
      <w:r w:rsidR="0027181A">
        <w:t xml:space="preserve"> — </w:t>
      </w:r>
      <w:r w:rsidRPr="00F61DBF">
        <w:t xml:space="preserve">which urged the government </w:t>
      </w:r>
      <w:r w:rsidR="00322B72">
        <w:t xml:space="preserve">to </w:t>
      </w:r>
      <w:r w:rsidRPr="00F61DBF">
        <w:t xml:space="preserve">provide </w:t>
      </w:r>
      <w:r w:rsidR="00322B72">
        <w:t xml:space="preserve">APRA with </w:t>
      </w:r>
      <w:r w:rsidRPr="00F61DBF">
        <w:t>a high degree of de facto independence and the ability to act quickly and decisively</w:t>
      </w:r>
      <w:r w:rsidR="001E6EFE">
        <w:t>;</w:t>
      </w:r>
      <w:r w:rsidRPr="00F61DBF">
        <w:rPr>
          <w:vertAlign w:val="superscript"/>
        </w:rPr>
        <w:footnoteReference w:id="31"/>
      </w:r>
      <w:r w:rsidR="001E6EFE">
        <w:t xml:space="preserve"> and</w:t>
      </w:r>
    </w:p>
    <w:p w:rsidR="00F61DBF" w:rsidRPr="00F61DBF" w:rsidRDefault="00F61DBF" w:rsidP="003C28A5">
      <w:pPr>
        <w:pStyle w:val="Bullet"/>
      </w:pPr>
      <w:r w:rsidRPr="00F61DBF">
        <w:t>the Uhrig Review of corporate governance of statutory authorities and office holders.  The Uhrig Review concluded that the independence of regulators is important when functions require a separation from government to ensure objectivity.</w:t>
      </w:r>
    </w:p>
    <w:p w:rsidR="00F61DBF" w:rsidRPr="00F61DBF" w:rsidRDefault="00F61DBF" w:rsidP="001E6EFE">
      <w:pPr>
        <w:pStyle w:val="OutlineNumbered1"/>
        <w:keepNext/>
      </w:pPr>
      <w:r w:rsidRPr="00F61DBF">
        <w:t>How</w:t>
      </w:r>
      <w:r w:rsidR="003C28A5">
        <w:t>e</w:t>
      </w:r>
      <w:r w:rsidRPr="00F61DBF">
        <w:t>ver</w:t>
      </w:r>
      <w:r w:rsidR="005F7C20">
        <w:t>,</w:t>
      </w:r>
      <w:r w:rsidRPr="00F61DBF">
        <w:t xml:space="preserve"> independence of regulators need</w:t>
      </w:r>
      <w:r w:rsidR="001660DB">
        <w:t>s</w:t>
      </w:r>
      <w:r w:rsidRPr="00F61DBF">
        <w:t xml:space="preserve"> to be balanced by appropriate accountability mechanisms.  The Uhrig Review</w:t>
      </w:r>
      <w:r w:rsidR="00963A55">
        <w:t xml:space="preserve"> </w:t>
      </w:r>
      <w:r w:rsidRPr="00F61DBF">
        <w:t>found that:</w:t>
      </w:r>
    </w:p>
    <w:p w:rsidR="00F61DBF" w:rsidRPr="00F61DBF" w:rsidRDefault="00F61DBF" w:rsidP="003C28A5">
      <w:pPr>
        <w:ind w:left="720"/>
      </w:pPr>
      <w:r w:rsidRPr="00F61DBF">
        <w:rPr>
          <w:i/>
        </w:rPr>
        <w:t>“The greater an organisation’s independence, the greater is the need for robust governance mechanisms as a means of ensuring it is discharging its delegation appropriately.</w:t>
      </w:r>
      <w:r w:rsidRPr="00F61DBF">
        <w:rPr>
          <w:i/>
        </w:rPr>
        <w:br/>
        <w:t>…</w:t>
      </w:r>
      <w:r w:rsidRPr="00F61DBF">
        <w:rPr>
          <w:i/>
        </w:rPr>
        <w:br/>
        <w:t>Robust governance provides assurance, not only to government, but also to the Parliament and the public, that those in the community affected by the activities of an authority are protected from the inappropriate exercise of power</w:t>
      </w:r>
      <w:r w:rsidR="001E6EFE">
        <w:rPr>
          <w:i/>
        </w:rPr>
        <w:t>.</w:t>
      </w:r>
      <w:r w:rsidRPr="00F61DBF">
        <w:rPr>
          <w:i/>
        </w:rPr>
        <w:t>”</w:t>
      </w:r>
      <w:r w:rsidRPr="00F61DBF">
        <w:rPr>
          <w:i/>
          <w:vertAlign w:val="superscript"/>
        </w:rPr>
        <w:footnoteReference w:id="32"/>
      </w:r>
    </w:p>
    <w:p w:rsidR="00963A55" w:rsidRDefault="00963A55" w:rsidP="004E3DDE">
      <w:pPr>
        <w:pStyle w:val="OutlineNumbered1"/>
      </w:pPr>
      <w:r w:rsidRPr="00F61DBF">
        <w:lastRenderedPageBreak/>
        <w:t xml:space="preserve">Wallis recommended a range of mechanisms by which the actions of the regulators would be transparent and subject to scrutiny, including annual reporting to Parliament and </w:t>
      </w:r>
      <w:r w:rsidR="00B2381E">
        <w:t xml:space="preserve">monitoring of developments by a </w:t>
      </w:r>
      <w:r w:rsidRPr="003E5FB2">
        <w:t>Financial Sector Advisory Council</w:t>
      </w:r>
      <w:r w:rsidRPr="00F61DBF">
        <w:t>.</w:t>
      </w:r>
    </w:p>
    <w:p w:rsidR="00DE78D3" w:rsidRDefault="002F444C" w:rsidP="004E3DDE">
      <w:pPr>
        <w:pStyle w:val="OutlineNumbered1"/>
      </w:pPr>
      <w:r w:rsidRPr="005E4424">
        <w:t xml:space="preserve">Such mechanisms improve transparency </w:t>
      </w:r>
      <w:r w:rsidR="005E4424">
        <w:t xml:space="preserve">and provide a </w:t>
      </w:r>
      <w:r w:rsidR="000B2290">
        <w:t xml:space="preserve">valuable </w:t>
      </w:r>
      <w:r w:rsidR="005E4424">
        <w:t xml:space="preserve">vehicle for engaging with industry on developments in the financial system and its regulation.  </w:t>
      </w:r>
    </w:p>
    <w:p w:rsidR="005E4424" w:rsidRDefault="005E4424" w:rsidP="004E3DDE">
      <w:pPr>
        <w:pStyle w:val="OutlineNumbered1"/>
      </w:pPr>
      <w:r>
        <w:t>However</w:t>
      </w:r>
      <w:r w:rsidR="00DE78D3">
        <w:t>,</w:t>
      </w:r>
      <w:r>
        <w:t xml:space="preserve"> there is room to improve these accountability mechanisms</w:t>
      </w:r>
      <w:r w:rsidR="00DE78D3">
        <w:t>.  D</w:t>
      </w:r>
      <w:r>
        <w:t xml:space="preserve">eveloping measures of success would assist regulators, industry and Parliament </w:t>
      </w:r>
      <w:r w:rsidR="00DE78D3">
        <w:t xml:space="preserve">to </w:t>
      </w:r>
      <w:r>
        <w:t xml:space="preserve">identify some of the tensions within the regulators’ statutory objectives (such as </w:t>
      </w:r>
      <w:r w:rsidR="00322B72">
        <w:t xml:space="preserve">between </w:t>
      </w:r>
      <w:r>
        <w:t xml:space="preserve">stability and competition for APRA, </w:t>
      </w:r>
      <w:r w:rsidR="00322B72">
        <w:t xml:space="preserve">and between </w:t>
      </w:r>
      <w:r>
        <w:t xml:space="preserve">lower business costs </w:t>
      </w:r>
      <w:r w:rsidR="00322B72">
        <w:t xml:space="preserve">and </w:t>
      </w:r>
      <w:r w:rsidR="000B2290">
        <w:t xml:space="preserve">informed investors for ASIC) and support </w:t>
      </w:r>
      <w:r w:rsidR="00DE78D3">
        <w:t xml:space="preserve">transparent </w:t>
      </w:r>
      <w:r w:rsidR="000B2290">
        <w:t>dialogue on how the regulators address these tensions.</w:t>
      </w:r>
    </w:p>
    <w:p w:rsidR="00F61DBF" w:rsidRPr="00F61DBF" w:rsidRDefault="005F7C20" w:rsidP="004E3DDE">
      <w:pPr>
        <w:pStyle w:val="OutlineNumbered1"/>
      </w:pPr>
      <w:r>
        <w:t xml:space="preserve">The </w:t>
      </w:r>
      <w:r w:rsidR="00F61DBF" w:rsidRPr="00F61DBF">
        <w:t xml:space="preserve">Uhrig </w:t>
      </w:r>
      <w:r>
        <w:t xml:space="preserve">Review </w:t>
      </w:r>
      <w:r w:rsidR="00F61DBF" w:rsidRPr="00F61DBF">
        <w:t xml:space="preserve">recommended </w:t>
      </w:r>
      <w:r w:rsidR="000B2290">
        <w:t>government</w:t>
      </w:r>
      <w:r w:rsidR="00DE78D3">
        <w:t>s</w:t>
      </w:r>
      <w:r w:rsidR="000B2290">
        <w:t xml:space="preserve"> prepare and publish a</w:t>
      </w:r>
      <w:r w:rsidR="00F61DBF" w:rsidRPr="00F61DBF">
        <w:t xml:space="preserve"> statement of expectations </w:t>
      </w:r>
      <w:r w:rsidR="000B2290">
        <w:t>for government agencies</w:t>
      </w:r>
      <w:r w:rsidR="00DE78D3">
        <w:t>.  The statement</w:t>
      </w:r>
      <w:r w:rsidR="00F61DBF" w:rsidRPr="00F61DBF">
        <w:t xml:space="preserve"> </w:t>
      </w:r>
      <w:r w:rsidR="00DE78D3">
        <w:t xml:space="preserve">would </w:t>
      </w:r>
      <w:r w:rsidR="00F61DBF" w:rsidRPr="00F61DBF">
        <w:t xml:space="preserve">outline the </w:t>
      </w:r>
      <w:r w:rsidR="00322B72">
        <w:t>Government’s broad policy framework</w:t>
      </w:r>
      <w:r w:rsidR="00F61DBF" w:rsidRPr="00F61DBF" w:rsidDel="00DE78D3">
        <w:t xml:space="preserve"> </w:t>
      </w:r>
      <w:r w:rsidR="00F61DBF" w:rsidRPr="00F61DBF">
        <w:t>relate</w:t>
      </w:r>
      <w:r w:rsidR="00322B72">
        <w:t>d</w:t>
      </w:r>
      <w:r w:rsidR="00F61DBF" w:rsidRPr="00F61DBF">
        <w:t xml:space="preserve"> to </w:t>
      </w:r>
      <w:r w:rsidR="00DE78D3">
        <w:t>each</w:t>
      </w:r>
      <w:r w:rsidR="00DE78D3" w:rsidRPr="00F61DBF">
        <w:t xml:space="preserve"> </w:t>
      </w:r>
      <w:r w:rsidR="00F61DBF" w:rsidRPr="00F61DBF">
        <w:t>agenc</w:t>
      </w:r>
      <w:r w:rsidR="00DE78D3">
        <w:t>y’s</w:t>
      </w:r>
      <w:r w:rsidR="00F61DBF" w:rsidRPr="00F61DBF">
        <w:t xml:space="preserve"> </w:t>
      </w:r>
      <w:r w:rsidR="00322B72">
        <w:t xml:space="preserve">role and </w:t>
      </w:r>
      <w:r w:rsidR="00F61DBF" w:rsidRPr="00F61DBF">
        <w:t>responsibilities</w:t>
      </w:r>
      <w:r w:rsidR="00DE78D3">
        <w:t xml:space="preserve">.  </w:t>
      </w:r>
      <w:r w:rsidR="00322B72">
        <w:t xml:space="preserve">The Review also recommended that </w:t>
      </w:r>
      <w:r w:rsidR="00DE78D3">
        <w:t>each</w:t>
      </w:r>
      <w:r w:rsidR="00F61DBF" w:rsidRPr="00F61DBF">
        <w:t xml:space="preserve"> regulator</w:t>
      </w:r>
      <w:r w:rsidR="00322B72">
        <w:t xml:space="preserve"> reply with a </w:t>
      </w:r>
      <w:r w:rsidR="00F61DBF" w:rsidRPr="00F61DBF">
        <w:t>statement of intent outlining how they intend to meet policy goals and performance indicators.</w:t>
      </w:r>
    </w:p>
    <w:p w:rsidR="00FF48A5" w:rsidRPr="00F61DBF" w:rsidRDefault="00F61DBF" w:rsidP="004E3DDE">
      <w:pPr>
        <w:pStyle w:val="OutlineNumbered1"/>
      </w:pPr>
      <w:r w:rsidRPr="00F61DBF">
        <w:t xml:space="preserve">The Government has indicated in its commitment to promote regulatory certainty </w:t>
      </w:r>
      <w:r w:rsidR="00322B72">
        <w:t xml:space="preserve">that it will issue new </w:t>
      </w:r>
      <w:r w:rsidRPr="00F61DBF">
        <w:t>statement</w:t>
      </w:r>
      <w:r w:rsidR="00FF48A5">
        <w:t>s</w:t>
      </w:r>
      <w:r w:rsidRPr="00F61DBF">
        <w:t xml:space="preserve"> of expectations.  The</w:t>
      </w:r>
      <w:r w:rsidRPr="00F61DBF" w:rsidDel="00DE78D3">
        <w:t xml:space="preserve"> </w:t>
      </w:r>
      <w:r w:rsidRPr="00F61DBF">
        <w:t xml:space="preserve">Productivity Commission </w:t>
      </w:r>
      <w:r w:rsidR="00322B72">
        <w:t xml:space="preserve">to provide advice on </w:t>
      </w:r>
      <w:r w:rsidRPr="00F61DBF">
        <w:t>a framework that will lead to specific indicators for assessing agency performance, including explicit metrics of success that take account of policy objectives and compliance costs.</w:t>
      </w:r>
    </w:p>
    <w:p w:rsidR="00F61DBF" w:rsidRPr="00F61DBF" w:rsidRDefault="001E69DE" w:rsidP="003F4995">
      <w:pPr>
        <w:pStyle w:val="Heading3"/>
      </w:pPr>
      <w:bookmarkStart w:id="279" w:name="_Toc383178793"/>
      <w:bookmarkStart w:id="280" w:name="_Toc383523998"/>
      <w:bookmarkStart w:id="281" w:name="_Toc383531509"/>
      <w:bookmarkStart w:id="282" w:name="_Toc383703290"/>
      <w:bookmarkStart w:id="283" w:name="_Toc383704174"/>
      <w:bookmarkStart w:id="284" w:name="_Toc383783842"/>
      <w:bookmarkStart w:id="285" w:name="_Toc383784646"/>
      <w:bookmarkStart w:id="286" w:name="_Toc384121503"/>
      <w:bookmarkStart w:id="287" w:name="_Toc384123729"/>
      <w:bookmarkStart w:id="288" w:name="_Toc384132415"/>
      <w:bookmarkStart w:id="289" w:name="_Toc384205173"/>
      <w:bookmarkStart w:id="290" w:name="_Toc384278509"/>
      <w:r>
        <w:t>Overlaps and gaps</w:t>
      </w:r>
      <w:r w:rsidR="008C639F">
        <w:t xml:space="preserve"> require attention</w:t>
      </w:r>
      <w:bookmarkEnd w:id="279"/>
      <w:bookmarkEnd w:id="280"/>
      <w:bookmarkEnd w:id="281"/>
      <w:bookmarkEnd w:id="282"/>
      <w:bookmarkEnd w:id="283"/>
      <w:bookmarkEnd w:id="284"/>
      <w:bookmarkEnd w:id="285"/>
      <w:bookmarkEnd w:id="286"/>
      <w:bookmarkEnd w:id="287"/>
      <w:bookmarkEnd w:id="288"/>
      <w:bookmarkEnd w:id="289"/>
      <w:bookmarkEnd w:id="290"/>
    </w:p>
    <w:p w:rsidR="00DE78D3" w:rsidRDefault="002B00FC" w:rsidP="004E3DDE">
      <w:pPr>
        <w:pStyle w:val="OutlineNumbered1"/>
      </w:pPr>
      <w:r>
        <w:t>One of the</w:t>
      </w:r>
      <w:r w:rsidDel="00DE78D3">
        <w:t xml:space="preserve"> </w:t>
      </w:r>
      <w:r w:rsidR="00DE78D3">
        <w:t xml:space="preserve">main </w:t>
      </w:r>
      <w:r>
        <w:t>benefits of the Wallis reforms was to establish clear functional lines of r</w:t>
      </w:r>
      <w:r w:rsidR="000321E8">
        <w:t>esponsibility for the specialist</w:t>
      </w:r>
      <w:r>
        <w:t xml:space="preserve"> </w:t>
      </w:r>
      <w:r w:rsidR="00DE78D3">
        <w:t xml:space="preserve">financial system </w:t>
      </w:r>
      <w:r>
        <w:t>regulators.</w:t>
      </w:r>
      <w:r w:rsidR="000321E8">
        <w:t xml:space="preserve">  </w:t>
      </w:r>
    </w:p>
    <w:p w:rsidR="002B00FC" w:rsidRDefault="000321E8" w:rsidP="004E3DDE">
      <w:pPr>
        <w:pStyle w:val="OutlineNumbered1"/>
      </w:pPr>
      <w:r>
        <w:t>While the broad architecture established by Wallis remains sound and should be retained, it is timely for the Financial System Inquiry to address any overlaps or gaps between the roles of the regulators</w:t>
      </w:r>
      <w:r w:rsidR="00A8307A">
        <w:t xml:space="preserve"> to ensure a clear demarcation between regulators is maintained.</w:t>
      </w:r>
    </w:p>
    <w:p w:rsidR="00F61DBF" w:rsidRPr="00F61DBF" w:rsidRDefault="00C64EE7" w:rsidP="004E3DDE">
      <w:pPr>
        <w:pStyle w:val="OutlineNumbered1"/>
      </w:pPr>
      <w:r>
        <w:t>To this end, a</w:t>
      </w:r>
      <w:r w:rsidR="00A8307A">
        <w:t xml:space="preserve"> key issue for the Financial System Inquiry to consider is the blurring of responsibilities between APRA and ASIC that has occurred since</w:t>
      </w:r>
      <w:r w:rsidR="00C53673">
        <w:t xml:space="preserve"> the</w:t>
      </w:r>
      <w:r w:rsidR="00A8307A">
        <w:t xml:space="preserve"> Wallis</w:t>
      </w:r>
      <w:r w:rsidR="00C53673">
        <w:t xml:space="preserve"> Inquiry.</w:t>
      </w:r>
    </w:p>
    <w:p w:rsidR="00F61DBF" w:rsidRDefault="00DE78D3" w:rsidP="004E3DDE">
      <w:pPr>
        <w:pStyle w:val="OutlineNumbered1"/>
      </w:pPr>
      <w:r>
        <w:t>E</w:t>
      </w:r>
      <w:r w:rsidR="00F61DBF" w:rsidRPr="00F61DBF">
        <w:t>stablishing the prudential perimeter and ensuring that investors</w:t>
      </w:r>
      <w:r>
        <w:t>,</w:t>
      </w:r>
      <w:r w:rsidR="0027181A">
        <w:t xml:space="preserve"> </w:t>
      </w:r>
      <w:r w:rsidR="00F61DBF" w:rsidRPr="00F61DBF">
        <w:t>particularly retail investors</w:t>
      </w:r>
      <w:r>
        <w:t xml:space="preserve">, </w:t>
      </w:r>
      <w:r w:rsidR="00F61DBF" w:rsidRPr="00F61DBF">
        <w:t xml:space="preserve">are clear on the risks they </w:t>
      </w:r>
      <w:r w:rsidR="00B2381E">
        <w:t xml:space="preserve">are </w:t>
      </w:r>
      <w:r w:rsidR="00F61DBF" w:rsidRPr="00F61DBF">
        <w:t xml:space="preserve">expected to manage on </w:t>
      </w:r>
      <w:r w:rsidR="00AF254F">
        <w:t>each side</w:t>
      </w:r>
      <w:r w:rsidR="00F61DBF" w:rsidRPr="00F61DBF">
        <w:t xml:space="preserve"> of the prudential perimeter</w:t>
      </w:r>
      <w:r>
        <w:t xml:space="preserve"> is challenging</w:t>
      </w:r>
      <w:r w:rsidR="00F61DBF" w:rsidRPr="00F61DBF">
        <w:t>.</w:t>
      </w:r>
    </w:p>
    <w:p w:rsidR="001D78C1" w:rsidRPr="00F61DBF" w:rsidRDefault="009655D2" w:rsidP="00901C72">
      <w:pPr>
        <w:pStyle w:val="OutlineNumbered1"/>
        <w:keepNext/>
      </w:pPr>
      <w:r>
        <w:lastRenderedPageBreak/>
        <w:t>W</w:t>
      </w:r>
      <w:r w:rsidR="001D78C1" w:rsidRPr="00F61DBF">
        <w:t xml:space="preserve">allis judged that prudential regulation should only apply in limited circumstances: </w:t>
      </w:r>
    </w:p>
    <w:p w:rsidR="001D78C1" w:rsidRPr="00F61DBF" w:rsidRDefault="001D78C1" w:rsidP="001D78C1">
      <w:pPr>
        <w:ind w:left="720"/>
        <w:rPr>
          <w:i/>
        </w:rPr>
      </w:pPr>
      <w:r w:rsidRPr="00F61DBF">
        <w:rPr>
          <w:i/>
        </w:rPr>
        <w:t>Governments should not seek to impose safety regulation across the entire financial system.</w:t>
      </w:r>
      <w:r>
        <w:rPr>
          <w:i/>
        </w:rPr>
        <w:t xml:space="preserve"> […]  </w:t>
      </w:r>
      <w:r w:rsidRPr="00F61DBF">
        <w:rPr>
          <w:i/>
        </w:rPr>
        <w:t>Despite its importance, safety does not require that all financial promises be kept.  Risk is an essential component of any financial system and, in an efficient system, is priced to reward those who bear it</w:t>
      </w:r>
      <w:r w:rsidR="001E6EFE">
        <w:rPr>
          <w:i/>
        </w:rPr>
        <w:t>.</w:t>
      </w:r>
      <w:r w:rsidRPr="00F61DBF">
        <w:rPr>
          <w:i/>
          <w:vertAlign w:val="superscript"/>
        </w:rPr>
        <w:footnoteReference w:id="33"/>
      </w:r>
    </w:p>
    <w:p w:rsidR="00B2381E" w:rsidRDefault="001D78C1" w:rsidP="00700675">
      <w:pPr>
        <w:pStyle w:val="OutlineNumbered1"/>
      </w:pPr>
      <w:r>
        <w:t xml:space="preserve">Wallis also took account of the systemic importance of institutions that offer financial promises in defining the prudential framework.  For example, </w:t>
      </w:r>
      <w:r w:rsidRPr="009655D2">
        <w:t>Wallis concluded that finance companies</w:t>
      </w:r>
      <w:r w:rsidR="00760C9E">
        <w:t>,</w:t>
      </w:r>
      <w:r w:rsidRPr="009655D2">
        <w:t xml:space="preserve"> such as those that issue debentures</w:t>
      </w:r>
      <w:r w:rsidR="00760C9E">
        <w:t>,</w:t>
      </w:r>
      <w:r w:rsidRPr="009655D2">
        <w:t xml:space="preserve"> need not be prudentially </w:t>
      </w:r>
      <w:r w:rsidR="00EC66AE">
        <w:t xml:space="preserve">regulated </w:t>
      </w:r>
      <w:r w:rsidR="00760C9E">
        <w:t>given</w:t>
      </w:r>
      <w:r w:rsidRPr="009655D2">
        <w:t xml:space="preserve"> their relatively minor share of the market.</w:t>
      </w:r>
    </w:p>
    <w:p w:rsidR="00730858" w:rsidRDefault="00730858" w:rsidP="00BC1619">
      <w:pPr>
        <w:pStyle w:val="Heading4"/>
      </w:pPr>
      <w:r>
        <w:t>Consumers have difficulty identifying the prudential per</w:t>
      </w:r>
      <w:r w:rsidR="00681067">
        <w:t>imeter</w:t>
      </w:r>
    </w:p>
    <w:p w:rsidR="00F61DBF" w:rsidRPr="00F61DBF" w:rsidRDefault="00F61DBF" w:rsidP="004E3DDE">
      <w:pPr>
        <w:pStyle w:val="OutlineNumbered1"/>
      </w:pPr>
      <w:r w:rsidRPr="00F61DBF">
        <w:t>In practice, the delineation of which institutions should be subject to prudential regulation by APRA can be difficult.  While the ‘intensity of promises’ offers a framework</w:t>
      </w:r>
      <w:r w:rsidR="004A5F59">
        <w:t xml:space="preserve"> for delineating the prudential/</w:t>
      </w:r>
      <w:r w:rsidRPr="00F61DBF">
        <w:t>non-prudential boundar</w:t>
      </w:r>
      <w:r w:rsidR="004A5F59">
        <w:t>y</w:t>
      </w:r>
      <w:r w:rsidRPr="00F61DBF">
        <w:t>, a remaining challenge for users of the financial system (retail consumers and investors in particular</w:t>
      </w:r>
      <w:r w:rsidR="00C55CEC" w:rsidRPr="00F61DBF">
        <w:rPr>
          <w:vertAlign w:val="superscript"/>
        </w:rPr>
        <w:footnoteReference w:id="34"/>
      </w:r>
      <w:r w:rsidRPr="00F61DBF">
        <w:t xml:space="preserve">) </w:t>
      </w:r>
      <w:r w:rsidR="00573570">
        <w:t xml:space="preserve">is distinguishing promises that are intense from those that are not, and making a meaningful distinction between </w:t>
      </w:r>
      <w:r w:rsidR="009655D2" w:rsidRPr="009655D2">
        <w:rPr>
          <w:b/>
        </w:rPr>
        <w:t>regulation</w:t>
      </w:r>
      <w:r w:rsidR="009655D2">
        <w:t xml:space="preserve"> by APRA and </w:t>
      </w:r>
      <w:r w:rsidR="009655D2" w:rsidRPr="009655D2">
        <w:rPr>
          <w:b/>
        </w:rPr>
        <w:t>registration</w:t>
      </w:r>
      <w:r w:rsidR="009655D2">
        <w:t xml:space="preserve"> with ASIC.</w:t>
      </w:r>
    </w:p>
    <w:p w:rsidR="00F61DBF" w:rsidRPr="00F61DBF" w:rsidRDefault="00F61DBF" w:rsidP="004E3DDE">
      <w:pPr>
        <w:pStyle w:val="OutlineNumbered1"/>
      </w:pPr>
      <w:r w:rsidRPr="00F61DBF">
        <w:t>The collapse</w:t>
      </w:r>
      <w:r w:rsidR="00C525FF">
        <w:t>s</w:t>
      </w:r>
      <w:r w:rsidRPr="00F61DBF">
        <w:t xml:space="preserve"> of Trio Capital in 2009 and Banksia Securities Limited in 2012 have highlighted the challenges for investors in distinguishing between:</w:t>
      </w:r>
    </w:p>
    <w:p w:rsidR="00F61DBF" w:rsidRPr="00F61DBF" w:rsidRDefault="00F61DBF" w:rsidP="003F4995">
      <w:pPr>
        <w:pStyle w:val="Bullet"/>
      </w:pPr>
      <w:r w:rsidRPr="00F61DBF">
        <w:t>Banksia</w:t>
      </w:r>
      <w:r w:rsidR="00C525FF">
        <w:t>, a debenture issuer,</w:t>
      </w:r>
      <w:r w:rsidRPr="00F61DBF">
        <w:t xml:space="preserve"> and an author</w:t>
      </w:r>
      <w:r w:rsidR="009655D2">
        <w:t>ised deposit taking institution</w:t>
      </w:r>
      <w:r w:rsidR="002B00FC">
        <w:t xml:space="preserve"> </w:t>
      </w:r>
      <w:r w:rsidR="006317B2">
        <w:t xml:space="preserve">regulated by APRA </w:t>
      </w:r>
      <w:r w:rsidR="002B00FC">
        <w:t>that is covered by the depositor protection arrangements of the Financial Claims Scheme</w:t>
      </w:r>
      <w:r w:rsidRPr="00F61DBF">
        <w:t>;</w:t>
      </w:r>
    </w:p>
    <w:p w:rsidR="00F61DBF" w:rsidRPr="00F61DBF" w:rsidRDefault="000873A9" w:rsidP="003F4995">
      <w:pPr>
        <w:pStyle w:val="Bullet"/>
      </w:pPr>
      <w:r>
        <w:t>s</w:t>
      </w:r>
      <w:r w:rsidRPr="00F61DBF">
        <w:t>elf</w:t>
      </w:r>
      <w:r w:rsidR="004F1AA0">
        <w:noBreakHyphen/>
      </w:r>
      <w:r w:rsidR="00F61DBF" w:rsidRPr="00F61DBF">
        <w:t>managed super funds and APRA</w:t>
      </w:r>
      <w:r w:rsidR="00DE78D3">
        <w:t>-</w:t>
      </w:r>
      <w:r w:rsidR="00F61DBF" w:rsidRPr="00F61DBF">
        <w:t>regulated funds</w:t>
      </w:r>
      <w:r w:rsidR="002B00FC">
        <w:t xml:space="preserve"> that are covered by the fraud compensation schemes under the </w:t>
      </w:r>
      <w:r w:rsidR="002B00FC" w:rsidRPr="002B00FC">
        <w:rPr>
          <w:i/>
        </w:rPr>
        <w:t>Superannuation Industry (Supervision) Act 1993</w:t>
      </w:r>
      <w:r w:rsidR="00F61DBF" w:rsidRPr="00F61DBF">
        <w:t>;</w:t>
      </w:r>
      <w:r w:rsidR="00E67291">
        <w:t xml:space="preserve"> and</w:t>
      </w:r>
    </w:p>
    <w:p w:rsidR="00F61DBF" w:rsidRPr="00F61DBF" w:rsidRDefault="00F61DBF" w:rsidP="003F4995">
      <w:pPr>
        <w:pStyle w:val="Bullet"/>
      </w:pPr>
      <w:r w:rsidRPr="00F61DBF">
        <w:t xml:space="preserve">the regulatory environment monitored by ASIC which is focussed on conduct and disclosure versus the regulatory environment </w:t>
      </w:r>
      <w:r w:rsidR="004A5F59">
        <w:t xml:space="preserve">managed by APRA </w:t>
      </w:r>
      <w:r w:rsidRPr="00F61DBF">
        <w:t>that protects depositors and superannuants through prudential regulation.</w:t>
      </w:r>
    </w:p>
    <w:p w:rsidR="00F61DBF" w:rsidRPr="00F61DBF" w:rsidRDefault="00F61DBF" w:rsidP="004E3DDE">
      <w:pPr>
        <w:pStyle w:val="OutlineNumbered1"/>
      </w:pPr>
      <w:r w:rsidRPr="00F61DBF">
        <w:t xml:space="preserve">The </w:t>
      </w:r>
      <w:r w:rsidR="00730858">
        <w:t>previous</w:t>
      </w:r>
      <w:r w:rsidR="00730858" w:rsidRPr="00F61DBF">
        <w:t xml:space="preserve"> </w:t>
      </w:r>
      <w:r w:rsidRPr="00F61DBF">
        <w:t>government responded to the collapse of Banksia by requesting ASIC and APRA consult on proposals for strengthening the regulation of companies that issue debentures to retail investors.</w:t>
      </w:r>
    </w:p>
    <w:p w:rsidR="00F61DBF" w:rsidRPr="00F61DBF" w:rsidRDefault="00F61DBF" w:rsidP="004E3DDE">
      <w:pPr>
        <w:pStyle w:val="OutlineNumbered1"/>
      </w:pPr>
      <w:r w:rsidRPr="00F61DBF">
        <w:lastRenderedPageBreak/>
        <w:t xml:space="preserve">In responding to that request, ASIC consulted on </w:t>
      </w:r>
      <w:r w:rsidR="001660DB" w:rsidRPr="00F61DBF">
        <w:t>proposals</w:t>
      </w:r>
      <w:r w:rsidR="0027181A">
        <w:t xml:space="preserve"> to introduce a </w:t>
      </w:r>
      <w:r w:rsidR="00C369ED">
        <w:t>quasi</w:t>
      </w:r>
      <w:r w:rsidR="009B048C">
        <w:noBreakHyphen/>
      </w:r>
      <w:r w:rsidRPr="00F61DBF">
        <w:t>prudential regime that would include capital and liquidity requirements, as well as enhanced disclosure and governance.  These proposals are currently on</w:t>
      </w:r>
      <w:r w:rsidR="00C50474">
        <w:t>-</w:t>
      </w:r>
      <w:r w:rsidRPr="00F61DBF">
        <w:t>hold pending the outcomes of the Financial System Inquiry.</w:t>
      </w:r>
    </w:p>
    <w:p w:rsidR="00F61DBF" w:rsidRDefault="00F61DBF" w:rsidP="004E3DDE">
      <w:pPr>
        <w:pStyle w:val="OutlineNumbered1"/>
      </w:pPr>
      <w:r w:rsidRPr="00F61DBF">
        <w:t xml:space="preserve">These proposals reflect a significant departure from </w:t>
      </w:r>
      <w:r w:rsidR="00B00F68">
        <w:t xml:space="preserve">the </w:t>
      </w:r>
      <w:r w:rsidRPr="00F61DBF">
        <w:t>Wallis</w:t>
      </w:r>
      <w:r w:rsidR="009655D2">
        <w:t xml:space="preserve"> framework</w:t>
      </w:r>
      <w:r w:rsidRPr="00F61DBF">
        <w:t xml:space="preserve">.  Expanding ASIC’s responsibilities to include </w:t>
      </w:r>
      <w:r w:rsidR="00327FB8">
        <w:t xml:space="preserve">quasi-prudential </w:t>
      </w:r>
      <w:r w:rsidRPr="00F61DBF">
        <w:t>regulation would compromise a key element of the twin peaks framework being the concept that prudential regulation is oversighted by a single specialised regulator with the requisite skills and clear accountability.</w:t>
      </w:r>
      <w:r w:rsidR="004F19A2">
        <w:t xml:space="preserve"> </w:t>
      </w:r>
    </w:p>
    <w:p w:rsidR="00C369ED" w:rsidRDefault="00C369ED" w:rsidP="004E3DDE">
      <w:pPr>
        <w:pStyle w:val="OutlineNumbered1"/>
      </w:pPr>
      <w:r>
        <w:t>Investors and other consumers of financial products are likely to believe mistakenly that entities subject to quasi-prudential regulation (which is rules-based) are also subject to active supervision – which is a feature of genuine prudential regulation.</w:t>
      </w:r>
    </w:p>
    <w:p w:rsidR="00F61DBF" w:rsidRPr="00F61DBF" w:rsidRDefault="00EC66AE" w:rsidP="004E3DDE">
      <w:pPr>
        <w:pStyle w:val="OutlineNumbered1"/>
      </w:pPr>
      <w:r>
        <w:t>The proposal to e</w:t>
      </w:r>
      <w:r w:rsidR="00F61DBF" w:rsidRPr="00F61DBF">
        <w:t xml:space="preserve">xpand ASIC’s responsibilities to include </w:t>
      </w:r>
      <w:r w:rsidR="0027181A">
        <w:t>quasi</w:t>
      </w:r>
      <w:r w:rsidR="00360BE4">
        <w:t>-</w:t>
      </w:r>
      <w:r w:rsidR="00F61DBF" w:rsidRPr="00F61DBF">
        <w:t>p</w:t>
      </w:r>
      <w:r w:rsidR="006317B2">
        <w:t xml:space="preserve">rudential regulation </w:t>
      </w:r>
      <w:r>
        <w:t xml:space="preserve">points to the challenges </w:t>
      </w:r>
      <w:r w:rsidR="00C50474" w:rsidRPr="00F61DBF">
        <w:t>for investors</w:t>
      </w:r>
      <w:r w:rsidR="0027181A">
        <w:t xml:space="preserve"> — </w:t>
      </w:r>
      <w:r>
        <w:t>illustrated</w:t>
      </w:r>
      <w:r w:rsidR="0027181A">
        <w:t xml:space="preserve"> by Trio and Banksia — </w:t>
      </w:r>
      <w:r w:rsidR="00F61DBF" w:rsidRPr="00F61DBF">
        <w:t>in understanding where the prudential perimeter is drawn and in understanding the risks that they bear and must manage on either side of that perimeter.</w:t>
      </w:r>
    </w:p>
    <w:p w:rsidR="00F61DBF" w:rsidRPr="00F61DBF" w:rsidRDefault="000873A9" w:rsidP="003F4995">
      <w:pPr>
        <w:pStyle w:val="Heading4"/>
      </w:pPr>
      <w:r>
        <w:t>R</w:t>
      </w:r>
      <w:r w:rsidR="00F61DBF" w:rsidRPr="00F61DBF">
        <w:t xml:space="preserve">edefining the prudential perimeter </w:t>
      </w:r>
      <w:r w:rsidR="00730858">
        <w:t>exacerbate</w:t>
      </w:r>
      <w:r w:rsidR="00D81834">
        <w:t>s</w:t>
      </w:r>
      <w:r w:rsidR="00730858">
        <w:t xml:space="preserve"> the challenges</w:t>
      </w:r>
    </w:p>
    <w:p w:rsidR="00F61DBF" w:rsidRPr="00F61DBF" w:rsidRDefault="00F61DBF" w:rsidP="004E3DDE">
      <w:pPr>
        <w:pStyle w:val="OutlineNumbered1"/>
      </w:pPr>
      <w:r w:rsidRPr="00F61DBF">
        <w:t xml:space="preserve">The distinction between those entities that are prudentially regulated and those that are not </w:t>
      </w:r>
      <w:r w:rsidR="00700675">
        <w:t xml:space="preserve">is a </w:t>
      </w:r>
      <w:r w:rsidRPr="00F61DBF">
        <w:t>source of confusion among investors and invite</w:t>
      </w:r>
      <w:r w:rsidR="00700675">
        <w:t>s</w:t>
      </w:r>
      <w:r w:rsidRPr="00F61DBF">
        <w:t xml:space="preserve"> regulatory arbitrage.</w:t>
      </w:r>
    </w:p>
    <w:p w:rsidR="00F61DBF" w:rsidRPr="00F61DBF" w:rsidRDefault="00F61DBF" w:rsidP="004E3DDE">
      <w:pPr>
        <w:pStyle w:val="OutlineNumbered1"/>
      </w:pPr>
      <w:r w:rsidRPr="00F61DBF">
        <w:t>Wallis</w:t>
      </w:r>
      <w:r w:rsidR="001E6EFE">
        <w:t xml:space="preserve"> </w:t>
      </w:r>
      <w:r w:rsidRPr="00F61DBF">
        <w:t>left open the possibility of revising the prudential perimeter to reflect market evolutions:</w:t>
      </w:r>
    </w:p>
    <w:p w:rsidR="00F61DBF" w:rsidRPr="00F61DBF" w:rsidRDefault="00F61DBF" w:rsidP="003F4995">
      <w:pPr>
        <w:ind w:left="720"/>
        <w:rPr>
          <w:i/>
        </w:rPr>
      </w:pPr>
      <w:r w:rsidRPr="00F61DBF">
        <w:rPr>
          <w:i/>
        </w:rPr>
        <w:t>Over time, the scope and intensity of prudential regulation should be adjusted to take account of changes in the intensity of these risks in the different parts of the financial system</w:t>
      </w:r>
      <w:r w:rsidR="001E6EFE">
        <w:rPr>
          <w:i/>
        </w:rPr>
        <w:t>.</w:t>
      </w:r>
      <w:r w:rsidR="004F1AA0">
        <w:rPr>
          <w:rStyle w:val="FootnoteReference"/>
          <w:i/>
        </w:rPr>
        <w:footnoteReference w:id="35"/>
      </w:r>
    </w:p>
    <w:p w:rsidR="00C369ED" w:rsidRDefault="00F61DBF" w:rsidP="004E3DDE">
      <w:pPr>
        <w:pStyle w:val="OutlineNumbered1"/>
      </w:pPr>
      <w:r w:rsidRPr="00F61DBF">
        <w:t>However changes</w:t>
      </w:r>
      <w:r w:rsidR="00C369ED">
        <w:t xml:space="preserve">, </w:t>
      </w:r>
      <w:r w:rsidRPr="00F61DBF">
        <w:t>particularly extensions</w:t>
      </w:r>
      <w:r w:rsidR="00C369ED">
        <w:t>,</w:t>
      </w:r>
      <w:r w:rsidR="0027181A">
        <w:t xml:space="preserve"> </w:t>
      </w:r>
      <w:r w:rsidRPr="00F61DBF">
        <w:t xml:space="preserve">to the prudential perimeter carry costs: </w:t>
      </w:r>
    </w:p>
    <w:p w:rsidR="00C369ED" w:rsidRDefault="00F61DBF" w:rsidP="009B048C">
      <w:pPr>
        <w:pStyle w:val="Bullet"/>
      </w:pPr>
      <w:r w:rsidRPr="00F61DBF">
        <w:t xml:space="preserve">the direct costs of the regulation and its associated compliance burden; </w:t>
      </w:r>
    </w:p>
    <w:p w:rsidR="00C369ED" w:rsidRDefault="00F61DBF" w:rsidP="009B048C">
      <w:pPr>
        <w:pStyle w:val="Bullet"/>
      </w:pPr>
      <w:r w:rsidRPr="00F61DBF">
        <w:t>the opportunity cost associated with locking capital in low</w:t>
      </w:r>
      <w:r w:rsidR="00B8284B">
        <w:t>-</w:t>
      </w:r>
      <w:r w:rsidRPr="00F61DBF">
        <w:t>risk assets</w:t>
      </w:r>
      <w:r w:rsidR="00C8661D">
        <w:t xml:space="preserve"> (Australia already ha</w:t>
      </w:r>
      <w:r w:rsidR="00E80E29">
        <w:t>s</w:t>
      </w:r>
      <w:r w:rsidR="00C8661D">
        <w:t xml:space="preserve"> a very high p</w:t>
      </w:r>
      <w:r w:rsidR="00E80E29">
        <w:t>roportion of financial assets in prudentially regulated instit</w:t>
      </w:r>
      <w:r w:rsidR="0052061E">
        <w:t>ut</w:t>
      </w:r>
      <w:r w:rsidR="00E80E29">
        <w:t>ions, reflecting the dominance of banking and APRA</w:t>
      </w:r>
      <w:r w:rsidR="00DE78D3">
        <w:t>-</w:t>
      </w:r>
      <w:r w:rsidR="00E80E29">
        <w:t>regulated funds)</w:t>
      </w:r>
      <w:r w:rsidRPr="00F61DBF">
        <w:t xml:space="preserve">; and </w:t>
      </w:r>
    </w:p>
    <w:p w:rsidR="00F61DBF" w:rsidRDefault="00F61DBF" w:rsidP="009B048C">
      <w:pPr>
        <w:pStyle w:val="Bullet"/>
      </w:pPr>
      <w:r w:rsidRPr="00F61DBF">
        <w:t>adding to investor uncertainty over the extent and effect of prudential regulation.</w:t>
      </w:r>
    </w:p>
    <w:p w:rsidR="00B8284B" w:rsidRDefault="00C8661D" w:rsidP="004E3DDE">
      <w:pPr>
        <w:pStyle w:val="OutlineNumbered1"/>
      </w:pPr>
      <w:r>
        <w:lastRenderedPageBreak/>
        <w:t xml:space="preserve">The more appropriate response would be to retain the Wallis framework of </w:t>
      </w:r>
      <w:r w:rsidR="00974E95">
        <w:t>a distinct</w:t>
      </w:r>
      <w:r>
        <w:t xml:space="preserve"> prudential perimeter</w:t>
      </w:r>
      <w:r w:rsidR="0027181A">
        <w:t xml:space="preserve"> — </w:t>
      </w:r>
      <w:r w:rsidR="00974E95">
        <w:t xml:space="preserve">intensively </w:t>
      </w:r>
      <w:r w:rsidR="00B8284B">
        <w:t xml:space="preserve">supervised and </w:t>
      </w:r>
      <w:r w:rsidR="00974E95">
        <w:t>regulated by a specialist agency in APRA</w:t>
      </w:r>
      <w:r w:rsidR="0027181A">
        <w:t xml:space="preserve"> — </w:t>
      </w:r>
      <w:r>
        <w:t xml:space="preserve">while exploring the scope for improving the capacity of investors to distinguish between </w:t>
      </w:r>
      <w:r w:rsidR="00C525FF">
        <w:t xml:space="preserve">entities that are </w:t>
      </w:r>
      <w:r>
        <w:t xml:space="preserve">prudentially regulated and those that are not.  </w:t>
      </w:r>
      <w:r w:rsidR="00B8284B">
        <w:t>The development of the Financial Claims Scheme ‘seal’ is a step in this direction.</w:t>
      </w:r>
    </w:p>
    <w:p w:rsidR="00C8661D" w:rsidRDefault="00E80E29" w:rsidP="004E3DDE">
      <w:pPr>
        <w:pStyle w:val="OutlineNumbered1"/>
      </w:pPr>
      <w:r>
        <w:t>Clearly t</w:t>
      </w:r>
      <w:r w:rsidR="00C8661D">
        <w:t>his is not a trivial task</w:t>
      </w:r>
      <w:r>
        <w:t>, and it underlines the role for financial advisers in assisting unsophisticated investors to navigate the financial system and potential benefits of the new</w:t>
      </w:r>
      <w:r w:rsidR="002B00FC">
        <w:t xml:space="preserve"> </w:t>
      </w:r>
      <w:r>
        <w:t>tools for consumer empowerment described in Part 1.</w:t>
      </w:r>
    </w:p>
    <w:p w:rsidR="00150F53" w:rsidRDefault="00150F53" w:rsidP="00150F53">
      <w:pPr>
        <w:sectPr w:rsidR="00150F53" w:rsidSect="00FD7165">
          <w:headerReference w:type="default" r:id="rId18"/>
          <w:pgSz w:w="11906" w:h="16838"/>
          <w:pgMar w:top="1440" w:right="1440" w:bottom="1440" w:left="1440" w:header="708" w:footer="708" w:gutter="0"/>
          <w:pgNumType w:chapStyle="1"/>
          <w:cols w:space="708"/>
          <w:docGrid w:linePitch="360"/>
        </w:sectPr>
      </w:pPr>
    </w:p>
    <w:p w:rsidR="00B8284B" w:rsidRDefault="00B8284B">
      <w:pPr>
        <w:spacing w:after="0" w:line="240" w:lineRule="auto"/>
        <w:rPr>
          <w:rFonts w:ascii="Arial Bold" w:hAnsi="Arial Bold"/>
          <w:color w:val="000080"/>
          <w:sz w:val="48"/>
          <w:szCs w:val="48"/>
        </w:rPr>
      </w:pPr>
      <w:bookmarkStart w:id="291" w:name="_Toc381951950"/>
      <w:bookmarkStart w:id="292" w:name="_Toc381956559"/>
      <w:bookmarkStart w:id="293" w:name="_Toc383531511"/>
      <w:bookmarkStart w:id="294" w:name="_Toc383703292"/>
      <w:bookmarkStart w:id="295" w:name="_Toc383704176"/>
      <w:bookmarkStart w:id="296" w:name="_Toc383783844"/>
      <w:bookmarkStart w:id="297" w:name="_Toc383784648"/>
      <w:bookmarkEnd w:id="241"/>
      <w:r>
        <w:br w:type="page"/>
      </w:r>
    </w:p>
    <w:p w:rsidR="004A14C9" w:rsidRPr="000E467F" w:rsidRDefault="00D01B63" w:rsidP="000E467F">
      <w:pPr>
        <w:pStyle w:val="Heading1"/>
      </w:pPr>
      <w:bookmarkStart w:id="298" w:name="_Toc384121504"/>
      <w:bookmarkStart w:id="299" w:name="_Toc384123730"/>
      <w:bookmarkStart w:id="300" w:name="_Toc384132416"/>
      <w:bookmarkStart w:id="301" w:name="_Toc384205174"/>
      <w:bookmarkStart w:id="302" w:name="_Toc384278510"/>
      <w:r>
        <w:lastRenderedPageBreak/>
        <w:t xml:space="preserve">Part 3:  </w:t>
      </w:r>
      <w:r w:rsidR="004A14C9" w:rsidRPr="000E467F">
        <w:t>Sectoral issues</w:t>
      </w:r>
      <w:bookmarkEnd w:id="291"/>
      <w:bookmarkEnd w:id="292"/>
      <w:bookmarkEnd w:id="293"/>
      <w:bookmarkEnd w:id="294"/>
      <w:bookmarkEnd w:id="295"/>
      <w:bookmarkEnd w:id="296"/>
      <w:bookmarkEnd w:id="297"/>
      <w:bookmarkEnd w:id="298"/>
      <w:bookmarkEnd w:id="299"/>
      <w:bookmarkEnd w:id="300"/>
      <w:bookmarkEnd w:id="301"/>
      <w:bookmarkEnd w:id="302"/>
    </w:p>
    <w:p w:rsidR="004A14C9" w:rsidRDefault="00431D30" w:rsidP="004A14C9">
      <w:pPr>
        <w:pStyle w:val="Heading2"/>
      </w:pPr>
      <w:bookmarkStart w:id="303" w:name="_Toc381951951"/>
      <w:bookmarkStart w:id="304" w:name="_Toc382492813"/>
      <w:bookmarkStart w:id="305" w:name="_Toc382493604"/>
      <w:bookmarkStart w:id="306" w:name="_Toc382493783"/>
      <w:bookmarkStart w:id="307" w:name="_Toc382495803"/>
      <w:bookmarkStart w:id="308" w:name="_Toc382496689"/>
      <w:bookmarkStart w:id="309" w:name="_Toc383523976"/>
      <w:bookmarkStart w:id="310" w:name="_Toc383531512"/>
      <w:bookmarkStart w:id="311" w:name="_Toc383703293"/>
      <w:bookmarkStart w:id="312" w:name="_Toc383704177"/>
      <w:bookmarkStart w:id="313" w:name="_Toc383783845"/>
      <w:bookmarkStart w:id="314" w:name="_Toc383784649"/>
      <w:bookmarkStart w:id="315" w:name="_Toc384121505"/>
      <w:bookmarkStart w:id="316" w:name="_Toc384123731"/>
      <w:bookmarkStart w:id="317" w:name="_Toc384132417"/>
      <w:bookmarkStart w:id="318" w:name="_Toc384205175"/>
      <w:bookmarkStart w:id="319" w:name="_Toc384278511"/>
      <w:bookmarkStart w:id="320" w:name="_Toc381175958"/>
      <w:bookmarkStart w:id="321" w:name="_Toc381620876"/>
      <w:bookmarkStart w:id="322" w:name="_Toc381628820"/>
      <w:bookmarkStart w:id="323" w:name="Part3"/>
      <w:r>
        <w:t>Banking</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tbl>
      <w:tblPr>
        <w:tblStyle w:val="TableGrid"/>
        <w:tblW w:w="0" w:type="auto"/>
        <w:shd w:val="clear" w:color="auto" w:fill="EEECE1" w:themeFill="background2"/>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FD7165" w:rsidRDefault="00081A2A" w:rsidP="00081A2A">
            <w:pPr>
              <w:pStyle w:val="Heading3"/>
              <w:keepNext w:val="0"/>
            </w:pPr>
            <w:bookmarkStart w:id="324" w:name="_Toc383783846"/>
            <w:bookmarkStart w:id="325" w:name="_Toc383784650"/>
            <w:bookmarkStart w:id="326" w:name="_Toc384121506"/>
            <w:bookmarkStart w:id="327" w:name="_Toc384123732"/>
            <w:bookmarkStart w:id="328" w:name="_Toc384132418"/>
            <w:bookmarkStart w:id="329" w:name="_Toc384205176"/>
            <w:bookmarkStart w:id="330" w:name="_Toc384278512"/>
            <w:bookmarkStart w:id="331" w:name="_Toc381951952"/>
            <w:bookmarkStart w:id="332" w:name="_Toc382492814"/>
            <w:bookmarkStart w:id="333" w:name="_Toc382493605"/>
            <w:bookmarkStart w:id="334" w:name="_Toc382493784"/>
            <w:bookmarkStart w:id="335" w:name="_Toc382495804"/>
            <w:bookmarkStart w:id="336" w:name="_Toc382496690"/>
            <w:bookmarkStart w:id="337" w:name="_Toc383523977"/>
            <w:bookmarkStart w:id="338" w:name="_Toc383531513"/>
            <w:bookmarkStart w:id="339" w:name="_Toc383703294"/>
            <w:bookmarkStart w:id="340" w:name="_Toc383704178"/>
            <w:r w:rsidRPr="00FD7165">
              <w:t>Key points</w:t>
            </w:r>
            <w:bookmarkEnd w:id="324"/>
            <w:bookmarkEnd w:id="325"/>
            <w:bookmarkEnd w:id="326"/>
            <w:bookmarkEnd w:id="327"/>
            <w:bookmarkEnd w:id="328"/>
            <w:bookmarkEnd w:id="329"/>
            <w:bookmarkEnd w:id="330"/>
          </w:p>
          <w:p w:rsidR="00081A2A" w:rsidRDefault="00081A2A" w:rsidP="00081A2A">
            <w:pPr>
              <w:pStyle w:val="OutlineNumbered1"/>
            </w:pPr>
            <w:r>
              <w:t xml:space="preserve">The key banking issue before the Financial System Inquiry is the level of competition within the sector and the extent to which it can be increased to promote greater efficiency without </w:t>
            </w:r>
            <w:r w:rsidR="00C525FF">
              <w:t xml:space="preserve">adversely </w:t>
            </w:r>
            <w:r>
              <w:t>affecting the stability of the system.</w:t>
            </w:r>
          </w:p>
          <w:p w:rsidR="00081A2A" w:rsidRDefault="00081A2A" w:rsidP="00081A2A">
            <w:pPr>
              <w:pStyle w:val="OutlineNumbered1"/>
            </w:pPr>
            <w:r>
              <w:t xml:space="preserve">The relationship between </w:t>
            </w:r>
            <w:r w:rsidR="00D07D70">
              <w:t xml:space="preserve">banking </w:t>
            </w:r>
            <w:r>
              <w:t>competition and stability is complex</w:t>
            </w:r>
            <w:r w:rsidR="0027181A">
              <w:t xml:space="preserve"> — </w:t>
            </w:r>
            <w:r>
              <w:t>the theoretical and empirical literature is divided on the nature of the relationship.  However to the extent that appropriate regulation and an active supervisor guard against systemic risk, then competition in banking will drive efficiency gains.</w:t>
            </w:r>
          </w:p>
          <w:p w:rsidR="00081A2A" w:rsidRDefault="00081A2A" w:rsidP="00081A2A">
            <w:pPr>
              <w:pStyle w:val="OutlineNumbered1"/>
            </w:pPr>
            <w:r>
              <w:t xml:space="preserve">Competition in banking </w:t>
            </w:r>
            <w:r w:rsidR="00D07D70">
              <w:t>cannot be characterised simply by</w:t>
            </w:r>
            <w:r>
              <w:t xml:space="preserve"> market structure.  The sector is clearly more concentrated than before the financial crisis, yet four parliamentary inquiries have reached no firm conclusions on the level of competition.</w:t>
            </w:r>
          </w:p>
          <w:p w:rsidR="00081A2A" w:rsidRDefault="00081A2A" w:rsidP="00081A2A">
            <w:pPr>
              <w:pStyle w:val="OutlineNumbered1"/>
            </w:pPr>
            <w:r>
              <w:t>In part this reflects that many indicators suggest that competition in the sector is relatively robust</w:t>
            </w:r>
            <w:r w:rsidR="0027181A">
              <w:t xml:space="preserve"> — </w:t>
            </w:r>
            <w:r>
              <w:t>net interest margins are near thirty year lows and measures of consumer satisfaction are near record highs</w:t>
            </w:r>
            <w:r w:rsidR="0027181A">
              <w:t xml:space="preserve"> — </w:t>
            </w:r>
            <w:r>
              <w:t xml:space="preserve">albeit the level of competition varies in intensity across market segments and over time.  </w:t>
            </w:r>
          </w:p>
          <w:p w:rsidR="00125ADA" w:rsidRDefault="00081A2A" w:rsidP="00081A2A">
            <w:pPr>
              <w:pStyle w:val="OutlineNumbered1"/>
            </w:pPr>
            <w:r>
              <w:t xml:space="preserve">Nonetheless the concentrated structure of the banking sector leaves no room for complacency about its capacity to meet the </w:t>
            </w:r>
            <w:r w:rsidR="00331237">
              <w:t xml:space="preserve">future </w:t>
            </w:r>
            <w:r>
              <w:t xml:space="preserve">needs of the Australian economy.  </w:t>
            </w:r>
          </w:p>
          <w:p w:rsidR="00081A2A" w:rsidRDefault="00081A2A" w:rsidP="00081A2A">
            <w:pPr>
              <w:pStyle w:val="OutlineNumbered1"/>
            </w:pPr>
            <w:r>
              <w:t>The Financial System Inquiry should review the scope to increase the efficiency of the sector through regulatory reform to promote competition or to price government intervention in the sector that has the potential to introduce distortions in the allocation of capital.</w:t>
            </w:r>
            <w:r w:rsidR="00125ADA">
              <w:t xml:space="preserve">  </w:t>
            </w:r>
            <w:r>
              <w:t>In particular, the Financial System Inquiry should address:</w:t>
            </w:r>
          </w:p>
          <w:p w:rsidR="00081A2A" w:rsidRDefault="00081A2A" w:rsidP="00081A2A">
            <w:pPr>
              <w:pStyle w:val="Bullet"/>
              <w:numPr>
                <w:ilvl w:val="0"/>
                <w:numId w:val="1"/>
              </w:numPr>
              <w:ind w:left="1134"/>
            </w:pPr>
            <w:r>
              <w:t>the pricing of the Financial Claims Scheme to ensure that the benefits of government support for depositors are appropriately priced;</w:t>
            </w:r>
          </w:p>
          <w:p w:rsidR="00081A2A" w:rsidRDefault="00081A2A" w:rsidP="00081A2A">
            <w:pPr>
              <w:pStyle w:val="Bullet"/>
              <w:numPr>
                <w:ilvl w:val="0"/>
                <w:numId w:val="1"/>
              </w:numPr>
              <w:ind w:left="1134"/>
            </w:pPr>
            <w:r>
              <w:t xml:space="preserve">the implied guarantee for banks considered too big to fail, </w:t>
            </w:r>
            <w:r w:rsidR="00125ADA">
              <w:t>recognising</w:t>
            </w:r>
            <w:r>
              <w:t xml:space="preserve"> the emerging global response to this problem and being mindful of the costs of developing an idiosyncratic Australian response; and</w:t>
            </w:r>
          </w:p>
          <w:p w:rsidR="00081A2A" w:rsidRDefault="00081A2A" w:rsidP="00331237">
            <w:pPr>
              <w:pStyle w:val="Bullet"/>
              <w:numPr>
                <w:ilvl w:val="0"/>
                <w:numId w:val="1"/>
              </w:numPr>
              <w:spacing w:after="0"/>
              <w:ind w:left="1134"/>
            </w:pPr>
            <w:r>
              <w:t>the impact of the differential application of global banking prudential standards, balancing the impact on competition against the objective of ensuring that capital requirements imposed on banks are sensitive to the risk borne by those banks.</w:t>
            </w:r>
          </w:p>
        </w:tc>
      </w:tr>
    </w:tbl>
    <w:p w:rsidR="00081A2A" w:rsidRDefault="00081A2A" w:rsidP="00081A2A"/>
    <w:p w:rsidR="00F72F7D" w:rsidRDefault="00163DE4" w:rsidP="00F72F7D">
      <w:pPr>
        <w:pStyle w:val="Heading3"/>
      </w:pPr>
      <w:bookmarkStart w:id="341" w:name="_Toc383523978"/>
      <w:bookmarkStart w:id="342" w:name="_Toc383531514"/>
      <w:bookmarkStart w:id="343" w:name="_Toc383703295"/>
      <w:bookmarkStart w:id="344" w:name="_Toc383704179"/>
      <w:bookmarkStart w:id="345" w:name="_Toc383783847"/>
      <w:bookmarkStart w:id="346" w:name="_Toc383784651"/>
      <w:bookmarkStart w:id="347" w:name="_Toc384121507"/>
      <w:bookmarkStart w:id="348" w:name="_Toc384123733"/>
      <w:bookmarkStart w:id="349" w:name="_Toc384132419"/>
      <w:bookmarkStart w:id="350" w:name="_Toc384205177"/>
      <w:bookmarkStart w:id="351" w:name="_Toc384278513"/>
      <w:bookmarkEnd w:id="320"/>
      <w:bookmarkEnd w:id="321"/>
      <w:bookmarkEnd w:id="322"/>
      <w:bookmarkEnd w:id="331"/>
      <w:bookmarkEnd w:id="332"/>
      <w:bookmarkEnd w:id="333"/>
      <w:bookmarkEnd w:id="334"/>
      <w:bookmarkEnd w:id="335"/>
      <w:bookmarkEnd w:id="336"/>
      <w:bookmarkEnd w:id="337"/>
      <w:bookmarkEnd w:id="338"/>
      <w:bookmarkEnd w:id="339"/>
      <w:bookmarkEnd w:id="340"/>
      <w:r>
        <w:t xml:space="preserve">The banking sector is concentrated but </w:t>
      </w:r>
      <w:r w:rsidR="00C525FF">
        <w:t xml:space="preserve">reasonably </w:t>
      </w:r>
      <w:r>
        <w:t>competitive</w:t>
      </w:r>
      <w:bookmarkEnd w:id="341"/>
      <w:bookmarkEnd w:id="342"/>
      <w:bookmarkEnd w:id="343"/>
      <w:bookmarkEnd w:id="344"/>
      <w:bookmarkEnd w:id="345"/>
      <w:bookmarkEnd w:id="346"/>
      <w:bookmarkEnd w:id="347"/>
      <w:bookmarkEnd w:id="348"/>
      <w:bookmarkEnd w:id="349"/>
      <w:bookmarkEnd w:id="350"/>
      <w:bookmarkEnd w:id="351"/>
    </w:p>
    <w:p w:rsidR="00E85CC3" w:rsidRDefault="00E85CC3" w:rsidP="004A14C9">
      <w:pPr>
        <w:pStyle w:val="OutlineNumbered1"/>
      </w:pPr>
      <w:r>
        <w:t xml:space="preserve">The relationship between competition and stability in banking </w:t>
      </w:r>
      <w:r w:rsidR="006D34E8">
        <w:t>is complex and the theoretical and empirical literature is divided on the nature of the relationship.</w:t>
      </w:r>
      <w:r w:rsidR="00E8561D" w:rsidRPr="00E8561D">
        <w:rPr>
          <w:rStyle w:val="FootnoteReference"/>
        </w:rPr>
        <w:t xml:space="preserve"> </w:t>
      </w:r>
      <w:r w:rsidR="00E8561D">
        <w:rPr>
          <w:rStyle w:val="FootnoteReference"/>
        </w:rPr>
        <w:footnoteReference w:id="36"/>
      </w:r>
    </w:p>
    <w:p w:rsidR="0002125E" w:rsidRDefault="0002125E" w:rsidP="004A14C9">
      <w:pPr>
        <w:pStyle w:val="OutlineNumbered1"/>
      </w:pPr>
      <w:r>
        <w:t xml:space="preserve">The traditional ‘charter view’ posits that competition generally has a negative impact on stability.  Under this view, banks with market power </w:t>
      </w:r>
      <w:r w:rsidR="003061F3">
        <w:t>operating in an uncompetitive market</w:t>
      </w:r>
      <w:r>
        <w:t xml:space="preserve"> have an incentive to limit their risk-taking to protect their ‘charter value’ and enjoy higher returns.</w:t>
      </w:r>
      <w:r>
        <w:rPr>
          <w:rStyle w:val="FootnoteReference"/>
        </w:rPr>
        <w:footnoteReference w:id="37"/>
      </w:r>
      <w:r w:rsidR="003061F3">
        <w:t xml:space="preserve">  Increased competition reduces this ‘charter value’ and promotes risk</w:t>
      </w:r>
      <w:r w:rsidR="00ED5628">
        <w:t>-</w:t>
      </w:r>
      <w:r w:rsidR="003061F3">
        <w:t>taking.</w:t>
      </w:r>
    </w:p>
    <w:p w:rsidR="0002125E" w:rsidRDefault="00EA125F" w:rsidP="004A14C9">
      <w:pPr>
        <w:pStyle w:val="OutlineNumbered1"/>
      </w:pPr>
      <w:r>
        <w:t xml:space="preserve">An alternate view suggests that bank competition can </w:t>
      </w:r>
      <w:r w:rsidR="00840144">
        <w:t>instead</w:t>
      </w:r>
      <w:r>
        <w:t xml:space="preserve"> improve stability.  Competition assist</w:t>
      </w:r>
      <w:r w:rsidR="00D81834">
        <w:t>s</w:t>
      </w:r>
      <w:r>
        <w:t xml:space="preserve"> stability by removing </w:t>
      </w:r>
      <w:r w:rsidR="00E8561D">
        <w:t>less efficient</w:t>
      </w:r>
      <w:r>
        <w:t xml:space="preserve"> banks from the financial system, making the overall system more resilient, adaptive and efficient over time.</w:t>
      </w:r>
      <w:r>
        <w:rPr>
          <w:rStyle w:val="FootnoteReference"/>
        </w:rPr>
        <w:footnoteReference w:id="38"/>
      </w:r>
    </w:p>
    <w:p w:rsidR="00BE6202" w:rsidRDefault="00BE6202" w:rsidP="004A14C9">
      <w:pPr>
        <w:pStyle w:val="OutlineNumbered1"/>
      </w:pPr>
      <w:r>
        <w:t>In practice, the extent to which competition either reduces or improves stability is likely to be dependent on the regulatory framework in which banks operate</w:t>
      </w:r>
      <w:r w:rsidR="001E6EFE">
        <w:t>.</w:t>
      </w:r>
      <w:r>
        <w:t xml:space="preserve">  </w:t>
      </w:r>
      <w:r w:rsidR="00E8561D">
        <w:t>Competition in the banking sector will drive efficiency gains w</w:t>
      </w:r>
      <w:r>
        <w:t>hen appropriate regulation and an active supervisor are in place to guard against systemic risk.</w:t>
      </w:r>
    </w:p>
    <w:p w:rsidR="00D0451F" w:rsidRPr="00D0451F" w:rsidRDefault="00D0451F" w:rsidP="00D0451F">
      <w:pPr>
        <w:pStyle w:val="OutlineNumbered1"/>
        <w:numPr>
          <w:ilvl w:val="0"/>
          <w:numId w:val="0"/>
        </w:numPr>
        <w:rPr>
          <w:i/>
        </w:rPr>
      </w:pPr>
      <w:r w:rsidRPr="00D0451F">
        <w:rPr>
          <w:i/>
        </w:rPr>
        <w:t>The level of competition</w:t>
      </w:r>
    </w:p>
    <w:p w:rsidR="009C43DC" w:rsidRDefault="007067E3" w:rsidP="004A14C9">
      <w:pPr>
        <w:pStyle w:val="OutlineNumbered1"/>
      </w:pPr>
      <w:r>
        <w:t xml:space="preserve">The </w:t>
      </w:r>
      <w:r w:rsidR="003D172F">
        <w:t xml:space="preserve">level of competition in the Australian banking system has been subject </w:t>
      </w:r>
      <w:r>
        <w:t>to much scrutiny</w:t>
      </w:r>
      <w:r w:rsidR="0088797F">
        <w:t>,</w:t>
      </w:r>
      <w:r w:rsidR="00E8561D">
        <w:t xml:space="preserve"> with</w:t>
      </w:r>
      <w:r>
        <w:t xml:space="preserve"> </w:t>
      </w:r>
      <w:r w:rsidR="003D172F">
        <w:t>four parliamentary inquiries</w:t>
      </w:r>
      <w:r>
        <w:t xml:space="preserve"> on the issue</w:t>
      </w:r>
      <w:r w:rsidR="003D172F">
        <w:t xml:space="preserve"> </w:t>
      </w:r>
      <w:r w:rsidR="00B05038">
        <w:t>since</w:t>
      </w:r>
      <w:r w:rsidR="003D172F">
        <w:t xml:space="preserve"> the global financial crisis</w:t>
      </w:r>
      <w:r w:rsidR="0088797F">
        <w:t>.</w:t>
      </w:r>
      <w:r w:rsidR="003D172F">
        <w:rPr>
          <w:rStyle w:val="FootnoteReference"/>
        </w:rPr>
        <w:footnoteReference w:id="39"/>
      </w:r>
      <w:r w:rsidR="003D172F">
        <w:t xml:space="preserve">  </w:t>
      </w:r>
      <w:r w:rsidR="009C43DC">
        <w:t xml:space="preserve">While no firm conclusions were reached, a common theme from these inquiries was that </w:t>
      </w:r>
      <w:r w:rsidR="00163DE4">
        <w:t>greater competition would be beneficial</w:t>
      </w:r>
      <w:r w:rsidR="009C43DC">
        <w:t>.</w:t>
      </w:r>
    </w:p>
    <w:p w:rsidR="000B3DB5" w:rsidRDefault="000B3DB5" w:rsidP="004A14C9">
      <w:pPr>
        <w:pStyle w:val="OutlineNumbered1"/>
      </w:pPr>
      <w:r>
        <w:t>The lack of a clear conclusion as to the state of competition in the banking sector reflects the inherent difficulties associated with assess</w:t>
      </w:r>
      <w:r w:rsidR="00C525FF">
        <w:t>ing</w:t>
      </w:r>
      <w:r>
        <w:t xml:space="preserve"> banking competition.  </w:t>
      </w:r>
    </w:p>
    <w:p w:rsidR="00D0451F" w:rsidRDefault="009C43DC" w:rsidP="004A14C9">
      <w:pPr>
        <w:pStyle w:val="OutlineNumbered1"/>
      </w:pPr>
      <w:r>
        <w:t>M</w:t>
      </w:r>
      <w:r w:rsidR="000B3DB5">
        <w:t xml:space="preserve">arket concentration is often cited as the key indicator of </w:t>
      </w:r>
      <w:r>
        <w:t>competition</w:t>
      </w:r>
      <w:r w:rsidR="00D0451F">
        <w:t xml:space="preserve">.  The Australian banking system has become increasingly concentrated following the financial crisis, </w:t>
      </w:r>
      <w:r w:rsidR="008149B2" w:rsidRPr="00D0451F">
        <w:t xml:space="preserve">with the major banks’ share of </w:t>
      </w:r>
      <w:r w:rsidR="008149B2">
        <w:t xml:space="preserve">home </w:t>
      </w:r>
      <w:r w:rsidR="008149B2" w:rsidRPr="008149B2">
        <w:t>lending rising from around 62 per cent pre-crisis to around 77 per cent in January 2014</w:t>
      </w:r>
      <w:r w:rsidR="008149B2" w:rsidRPr="00D0451F">
        <w:t>.</w:t>
      </w:r>
      <w:r w:rsidR="00F52674">
        <w:rPr>
          <w:rStyle w:val="FootnoteReference"/>
        </w:rPr>
        <w:footnoteReference w:id="40"/>
      </w:r>
    </w:p>
    <w:p w:rsidR="00163DE4" w:rsidRDefault="00163DE4" w:rsidP="00163DE4">
      <w:pPr>
        <w:pStyle w:val="OutlineNumbered1"/>
      </w:pPr>
      <w:r>
        <w:lastRenderedPageBreak/>
        <w:t xml:space="preserve">One of the drivers of the increase in concentration was turmoil in securitisation markets during the financial crisis.  From the late 1990s the relative costs of securitisation fell, allowing </w:t>
      </w:r>
      <w:r w:rsidR="00E8561D">
        <w:t>smaller lenders</w:t>
      </w:r>
      <w:r>
        <w:t xml:space="preserve"> to compete in mortgage markets with less reliance on balance sheets or capital bases to fund their loans.  The cost of securitisation increased markedly during the financial crisis, leading to the </w:t>
      </w:r>
      <w:r w:rsidR="00E8561D">
        <w:t>exit</w:t>
      </w:r>
      <w:r>
        <w:t xml:space="preserve"> of many non</w:t>
      </w:r>
      <w:r>
        <w:noBreakHyphen/>
        <w:t xml:space="preserve">bank lenders and </w:t>
      </w:r>
      <w:r w:rsidR="00887530">
        <w:t>the removal of an important</w:t>
      </w:r>
      <w:r>
        <w:t xml:space="preserve"> source of competition.</w:t>
      </w:r>
    </w:p>
    <w:p w:rsidR="000B3DB5" w:rsidRDefault="00D0451F" w:rsidP="004A14C9">
      <w:pPr>
        <w:pStyle w:val="OutlineNumbered1"/>
      </w:pPr>
      <w:r>
        <w:t>H</w:t>
      </w:r>
      <w:r w:rsidR="009C43DC">
        <w:t xml:space="preserve">owever, </w:t>
      </w:r>
      <w:r>
        <w:t xml:space="preserve">concentration </w:t>
      </w:r>
      <w:r w:rsidR="000B3DB5" w:rsidRPr="003051A6">
        <w:t xml:space="preserve">is </w:t>
      </w:r>
      <w:r w:rsidR="000B3DB5">
        <w:t xml:space="preserve">not necessarily </w:t>
      </w:r>
      <w:r w:rsidR="000B3DB5" w:rsidRPr="003051A6">
        <w:t>a good measure</w:t>
      </w:r>
      <w:r w:rsidR="009C43DC">
        <w:t xml:space="preserve"> </w:t>
      </w:r>
      <w:r>
        <w:t>of competition</w:t>
      </w:r>
      <w:r w:rsidR="000B3DB5">
        <w:t>.</w:t>
      </w:r>
      <w:r w:rsidR="000B3DB5">
        <w:rPr>
          <w:rStyle w:val="FootnoteReference"/>
        </w:rPr>
        <w:footnoteReference w:id="41"/>
      </w:r>
      <w:r w:rsidR="000B3DB5">
        <w:t xml:space="preserve">  </w:t>
      </w:r>
      <w:r w:rsidR="009C43DC">
        <w:t>For example, c</w:t>
      </w:r>
      <w:r w:rsidR="000B3DB5">
        <w:t>oncentration may be a result of intense competition, with a small number of highly efficient firms pushing other less efficient firms out of businesses.  Alternatively, concentration may be a result of regulatory barriers to entry, which reduce competition and allow firms to exert market power.</w:t>
      </w:r>
    </w:p>
    <w:p w:rsidR="00E8775A" w:rsidRDefault="00E8775A" w:rsidP="004A14C9">
      <w:pPr>
        <w:pStyle w:val="OutlineNumbered1"/>
      </w:pPr>
      <w:r>
        <w:t>Further, there are significant economies of scale benefits in banking that tend to result in concentration in the banking sector.  For instance, being large allows banks to diversify and pool their risks</w:t>
      </w:r>
      <w:r w:rsidR="00E8561D">
        <w:t>,</w:t>
      </w:r>
      <w:r>
        <w:t xml:space="preserve"> grants significant network benefits</w:t>
      </w:r>
      <w:r w:rsidR="00E8561D">
        <w:t xml:space="preserve"> and allows more resources to be devoted to regulatory compliance</w:t>
      </w:r>
      <w:r>
        <w:t>.</w:t>
      </w:r>
      <w:r w:rsidR="00C525FF">
        <w:t xml:space="preserve">  Larger banks may also be perceived as ‘too big to fail’, allowing them to benefit from a lower cost of funds (see later).</w:t>
      </w:r>
    </w:p>
    <w:p w:rsidR="004A35E7" w:rsidRDefault="004A35E7" w:rsidP="004A35E7">
      <w:pPr>
        <w:pStyle w:val="OutlineNumbered1"/>
      </w:pPr>
      <w:r>
        <w:t>Many indicators suggest that competition in the banking sector is relatively robust.  For instance, bank</w:t>
      </w:r>
      <w:r w:rsidR="0088797F">
        <w:t>’s</w:t>
      </w:r>
      <w:r>
        <w:t xml:space="preserve"> net interest margins have </w:t>
      </w:r>
      <w:r w:rsidR="00B05038">
        <w:t>almost</w:t>
      </w:r>
      <w:r>
        <w:t xml:space="preserve"> halved since the early 1990s and reached historic lows during th</w:t>
      </w:r>
      <w:r w:rsidR="00967350">
        <w:t xml:space="preserve">e global financial crisis (see </w:t>
      </w:r>
      <w:r w:rsidR="00967350" w:rsidRPr="00D07D70">
        <w:fldChar w:fldCharType="begin"/>
      </w:r>
      <w:r w:rsidR="00967350" w:rsidRPr="00D07D70">
        <w:instrText xml:space="preserve"> REF _Ref383719447 \h </w:instrText>
      </w:r>
      <w:r w:rsidR="00D07D70" w:rsidRPr="00D07D70">
        <w:instrText xml:space="preserve"> \* MERGEFORMAT </w:instrText>
      </w:r>
      <w:r w:rsidR="00967350" w:rsidRPr="00D07D70">
        <w:fldChar w:fldCharType="separate"/>
      </w:r>
      <w:r w:rsidR="0050148E" w:rsidRPr="0050148E">
        <w:t xml:space="preserve">Chart </w:t>
      </w:r>
      <w:r w:rsidR="0050148E" w:rsidRPr="0050148E">
        <w:rPr>
          <w:noProof/>
        </w:rPr>
        <w:t>1</w:t>
      </w:r>
      <w:r w:rsidR="00967350" w:rsidRPr="00D07D70">
        <w:fldChar w:fldCharType="end"/>
      </w:r>
      <w:r w:rsidR="00BB36C2">
        <w:t>).</w:t>
      </w:r>
    </w:p>
    <w:p w:rsidR="004A35E7" w:rsidRPr="00967350" w:rsidRDefault="00C5754E" w:rsidP="00967350">
      <w:pPr>
        <w:pStyle w:val="Heading5"/>
        <w:jc w:val="center"/>
        <w:rPr>
          <w:b/>
          <w:i w:val="0"/>
        </w:rPr>
      </w:pPr>
      <w:bookmarkStart w:id="352" w:name="_Ref383719447"/>
      <w:bookmarkStart w:id="353" w:name="_Ref383719413"/>
      <w:r w:rsidRPr="00967350">
        <w:rPr>
          <w:b/>
          <w:i w:val="0"/>
        </w:rPr>
        <w:t xml:space="preserve">Chart </w:t>
      </w:r>
      <w:r w:rsidR="00C7465E">
        <w:rPr>
          <w:b/>
          <w:i w:val="0"/>
        </w:rPr>
        <w:fldChar w:fldCharType="begin"/>
      </w:r>
      <w:r w:rsidR="00C7465E">
        <w:rPr>
          <w:b/>
          <w:i w:val="0"/>
        </w:rPr>
        <w:instrText xml:space="preserve"> SEQ Chart \* ARABIC </w:instrText>
      </w:r>
      <w:r w:rsidR="00C7465E">
        <w:rPr>
          <w:b/>
          <w:i w:val="0"/>
        </w:rPr>
        <w:fldChar w:fldCharType="separate"/>
      </w:r>
      <w:r w:rsidR="0050148E">
        <w:rPr>
          <w:b/>
          <w:i w:val="0"/>
          <w:noProof/>
        </w:rPr>
        <w:t>1</w:t>
      </w:r>
      <w:r w:rsidR="00C7465E">
        <w:rPr>
          <w:b/>
          <w:i w:val="0"/>
        </w:rPr>
        <w:fldChar w:fldCharType="end"/>
      </w:r>
      <w:bookmarkEnd w:id="352"/>
      <w:r w:rsidR="00967350">
        <w:rPr>
          <w:b/>
          <w:i w:val="0"/>
        </w:rPr>
        <w:t>:</w:t>
      </w:r>
      <w:r w:rsidR="004A35E7" w:rsidRPr="00967350">
        <w:rPr>
          <w:b/>
          <w:i w:val="0"/>
        </w:rPr>
        <w:t xml:space="preserve"> Bank net interest margin</w:t>
      </w:r>
      <w:bookmarkEnd w:id="353"/>
      <w:r w:rsidR="00967350" w:rsidRPr="00967350">
        <w:rPr>
          <w:b/>
          <w:i w:val="0"/>
        </w:rPr>
        <w:t>s</w:t>
      </w:r>
    </w:p>
    <w:p w:rsidR="00B13064" w:rsidRDefault="00331237" w:rsidP="00331237">
      <w:pPr>
        <w:jc w:val="center"/>
        <w:rPr>
          <w:sz w:val="20"/>
          <w:szCs w:val="20"/>
        </w:rPr>
      </w:pPr>
      <w:r>
        <w:rPr>
          <w:noProof/>
          <w:sz w:val="20"/>
          <w:szCs w:val="20"/>
          <w:lang w:val="en-US"/>
        </w:rPr>
        <w:drawing>
          <wp:inline distT="0" distB="0" distL="0" distR="0" wp14:anchorId="518C8239" wp14:editId="06D1F42A">
            <wp:extent cx="5584190" cy="2524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190" cy="2524125"/>
                    </a:xfrm>
                    <a:prstGeom prst="rect">
                      <a:avLst/>
                    </a:prstGeom>
                    <a:noFill/>
                  </pic:spPr>
                </pic:pic>
              </a:graphicData>
            </a:graphic>
          </wp:inline>
        </w:drawing>
      </w:r>
    </w:p>
    <w:p w:rsidR="004A35E7" w:rsidRPr="004A35E7" w:rsidRDefault="004A35E7" w:rsidP="00823257">
      <w:pPr>
        <w:ind w:left="284"/>
        <w:rPr>
          <w:sz w:val="20"/>
          <w:szCs w:val="20"/>
        </w:rPr>
      </w:pPr>
      <w:r w:rsidRPr="004A35E7">
        <w:rPr>
          <w:sz w:val="20"/>
          <w:szCs w:val="20"/>
        </w:rPr>
        <w:t>Source: RBA and bank financial reports.</w:t>
      </w:r>
    </w:p>
    <w:p w:rsidR="004A35E7" w:rsidRDefault="004A35E7" w:rsidP="00331237">
      <w:pPr>
        <w:pStyle w:val="OutlineNumbered1"/>
        <w:keepLines/>
      </w:pPr>
      <w:r>
        <w:lastRenderedPageBreak/>
        <w:t>Further, banks have been adopting technological innovations, such as core IT system</w:t>
      </w:r>
      <w:r w:rsidR="0088797F">
        <w:t xml:space="preserve"> upgrades</w:t>
      </w:r>
      <w:r>
        <w:t xml:space="preserve"> and mobile banking, leading to an improved customer experience.  More generally, banks appear to be competing on service, leading to improved customer satisfaction ratings, which are near record highs.</w:t>
      </w:r>
      <w:r>
        <w:rPr>
          <w:rStyle w:val="FootnoteReference"/>
        </w:rPr>
        <w:footnoteReference w:id="42"/>
      </w:r>
    </w:p>
    <w:p w:rsidR="0088797F" w:rsidRDefault="004A35E7" w:rsidP="004A14C9">
      <w:pPr>
        <w:pStyle w:val="OutlineNumbered1"/>
      </w:pPr>
      <w:r>
        <w:t xml:space="preserve">The level of competition varies in market segments and across time. </w:t>
      </w:r>
      <w:r w:rsidR="009862CD">
        <w:t xml:space="preserve"> </w:t>
      </w:r>
      <w:r>
        <w:t xml:space="preserve">A </w:t>
      </w:r>
      <w:r w:rsidR="0088797F">
        <w:t>clear</w:t>
      </w:r>
      <w:r>
        <w:t xml:space="preserve"> example </w:t>
      </w:r>
      <w:r w:rsidR="0088797F">
        <w:t xml:space="preserve">of a market in which the level of competition has changed over time </w:t>
      </w:r>
      <w:r>
        <w:t>is the deposit market</w:t>
      </w:r>
      <w:r w:rsidR="0088797F">
        <w:t xml:space="preserve">.  </w:t>
      </w:r>
    </w:p>
    <w:p w:rsidR="00D0451F" w:rsidRDefault="0088797F" w:rsidP="004A14C9">
      <w:pPr>
        <w:pStyle w:val="OutlineNumbered1"/>
      </w:pPr>
      <w:r>
        <w:t xml:space="preserve">Following the financial crisis, banks have </w:t>
      </w:r>
      <w:r w:rsidR="00EE04AE">
        <w:t xml:space="preserve">responded to </w:t>
      </w:r>
      <w:r>
        <w:t>a</w:t>
      </w:r>
      <w:r w:rsidR="00EE04AE">
        <w:t xml:space="preserve"> change in the attitudes of investors, rating agencies and regulators towards the risk</w:t>
      </w:r>
      <w:r>
        <w:t>s</w:t>
      </w:r>
      <w:r w:rsidR="00EE04AE">
        <w:t xml:space="preserve"> associated with wholesale funding by competing </w:t>
      </w:r>
      <w:r>
        <w:t xml:space="preserve">intensely </w:t>
      </w:r>
      <w:r w:rsidR="00EE04AE">
        <w:t>for deposits</w:t>
      </w:r>
      <w:r>
        <w:t xml:space="preserve">, driving </w:t>
      </w:r>
      <w:r w:rsidR="00EE04AE">
        <w:t>up</w:t>
      </w:r>
      <w:r w:rsidR="00697F9F">
        <w:t xml:space="preserve"> the cost of deposit</w:t>
      </w:r>
      <w:r>
        <w:t>s</w:t>
      </w:r>
      <w:r w:rsidR="001049E8">
        <w:t>.</w:t>
      </w:r>
      <w:r w:rsidR="00697F9F">
        <w:t xml:space="preserve"> </w:t>
      </w:r>
      <w:r w:rsidR="001049E8">
        <w:t xml:space="preserve"> F</w:t>
      </w:r>
      <w:r w:rsidR="00697F9F">
        <w:t xml:space="preserve">or example, the cost of </w:t>
      </w:r>
      <w:r w:rsidR="00F52674">
        <w:t>banks’ bonus saving accounts</w:t>
      </w:r>
      <w:r w:rsidR="00697F9F">
        <w:t xml:space="preserve"> has </w:t>
      </w:r>
      <w:r w:rsidR="006771E9">
        <w:t>increased</w:t>
      </w:r>
      <w:r w:rsidR="00697F9F">
        <w:t xml:space="preserve"> </w:t>
      </w:r>
      <w:r w:rsidR="001049E8">
        <w:t>from</w:t>
      </w:r>
      <w:r w:rsidR="00697F9F">
        <w:t xml:space="preserve"> around </w:t>
      </w:r>
      <w:r w:rsidR="00F52674">
        <w:t>185</w:t>
      </w:r>
      <w:r w:rsidR="00697F9F">
        <w:t xml:space="preserve"> basis points </w:t>
      </w:r>
      <w:r w:rsidR="001049E8" w:rsidRPr="00840144">
        <w:rPr>
          <w:b/>
        </w:rPr>
        <w:t>below</w:t>
      </w:r>
      <w:r w:rsidR="001049E8">
        <w:t xml:space="preserve"> </w:t>
      </w:r>
      <w:r w:rsidR="00697F9F">
        <w:t>the cash rate</w:t>
      </w:r>
      <w:r w:rsidR="001049E8">
        <w:t xml:space="preserve"> in 2007 to around </w:t>
      </w:r>
      <w:r w:rsidR="00F52674">
        <w:t>140</w:t>
      </w:r>
      <w:r w:rsidR="001049E8">
        <w:t xml:space="preserve"> basis points </w:t>
      </w:r>
      <w:r w:rsidR="001049E8" w:rsidRPr="00840144">
        <w:rPr>
          <w:b/>
        </w:rPr>
        <w:t>above</w:t>
      </w:r>
      <w:r w:rsidR="001049E8">
        <w:t xml:space="preserve"> the cash rate in 2014</w:t>
      </w:r>
      <w:r w:rsidR="00697F9F">
        <w:t xml:space="preserve">. </w:t>
      </w:r>
    </w:p>
    <w:p w:rsidR="00BA7F00" w:rsidRPr="00BA7F00" w:rsidRDefault="00BA7F00" w:rsidP="00BA7F00">
      <w:pPr>
        <w:pStyle w:val="OutlineNumbered1"/>
        <w:numPr>
          <w:ilvl w:val="0"/>
          <w:numId w:val="0"/>
        </w:numPr>
        <w:rPr>
          <w:i/>
        </w:rPr>
      </w:pPr>
      <w:r w:rsidRPr="00BA7F00">
        <w:rPr>
          <w:i/>
        </w:rPr>
        <w:t>Small business lending</w:t>
      </w:r>
    </w:p>
    <w:p w:rsidR="00EE04AE" w:rsidRDefault="00E8561D" w:rsidP="004F2B16">
      <w:pPr>
        <w:pStyle w:val="OutlineNumbered1"/>
      </w:pPr>
      <w:r>
        <w:t>W</w:t>
      </w:r>
      <w:r w:rsidR="00EE04AE">
        <w:t>hile many indicators suggest that</w:t>
      </w:r>
      <w:r w:rsidR="00C525FF">
        <w:t>,</w:t>
      </w:r>
      <w:r w:rsidR="00EE04AE">
        <w:t xml:space="preserve"> overall</w:t>
      </w:r>
      <w:r w:rsidR="00C525FF">
        <w:t>,</w:t>
      </w:r>
      <w:r w:rsidR="00EE04AE">
        <w:t xml:space="preserve"> competition in the banking sector is relatively robust</w:t>
      </w:r>
      <w:r w:rsidR="000B3DB5">
        <w:t>, it is not clear that competition is as strong in th</w:t>
      </w:r>
      <w:r w:rsidR="001B0281">
        <w:t xml:space="preserve">e small business lending market.  </w:t>
      </w:r>
    </w:p>
    <w:p w:rsidR="00901F4A" w:rsidRDefault="00901F4A" w:rsidP="00901F4A">
      <w:pPr>
        <w:pStyle w:val="OutlineNumbered1"/>
      </w:pPr>
      <w:r w:rsidRPr="00EE04AE">
        <w:t>Small businesses</w:t>
      </w:r>
      <w:r>
        <w:t xml:space="preserve"> are </w:t>
      </w:r>
      <w:r w:rsidRPr="00EE04AE">
        <w:t>a vital</w:t>
      </w:r>
      <w:r>
        <w:t xml:space="preserve"> part of the Australian economy, </w:t>
      </w:r>
      <w:r w:rsidRPr="00EE04AE">
        <w:t xml:space="preserve">representing approximately 96 per cent of all businesses in Australia, and accounting for </w:t>
      </w:r>
      <w:r>
        <w:t>around</w:t>
      </w:r>
      <w:r w:rsidRPr="00EE04AE">
        <w:t xml:space="preserve"> 43</w:t>
      </w:r>
      <w:r>
        <w:t> </w:t>
      </w:r>
      <w:r w:rsidRPr="00EE04AE">
        <w:t>per cent of private sector employment</w:t>
      </w:r>
      <w:r>
        <w:t>.</w:t>
      </w:r>
      <w:r w:rsidR="00904157">
        <w:rPr>
          <w:rStyle w:val="FootnoteReference"/>
        </w:rPr>
        <w:footnoteReference w:id="43"/>
      </w:r>
      <w:r>
        <w:t xml:space="preserve">  As such, in assessing the performance of the financial system, the Inquiry should consider whether the banking system is meeting the needs of small business. </w:t>
      </w:r>
    </w:p>
    <w:p w:rsidR="00BC1CCF" w:rsidRDefault="00BC1CCF" w:rsidP="004F2B16">
      <w:pPr>
        <w:pStyle w:val="OutlineNumbered1"/>
      </w:pPr>
      <w:r>
        <w:t>Although indicators suggest that small businesses do h</w:t>
      </w:r>
      <w:r w:rsidR="0088797F">
        <w:t>ave access to finance — with 94 </w:t>
      </w:r>
      <w:r>
        <w:t>per cent of small business loan applications approved and a report co-authored by the Council of Small Business of Australia</w:t>
      </w:r>
      <w:r w:rsidR="002E2829">
        <w:t xml:space="preserve"> and the Australian Bankers’ Association</w:t>
      </w:r>
      <w:r>
        <w:t xml:space="preserve"> f</w:t>
      </w:r>
      <w:r w:rsidR="006771E9">
        <w:t>inding</w:t>
      </w:r>
      <w:r>
        <w:t xml:space="preserve"> that only 5 per cent of small businesses expressed concerns about access to finance — the price of small business lending has increased relative to home loans and large business loans.</w:t>
      </w:r>
      <w:r w:rsidR="002E2829">
        <w:rPr>
          <w:rStyle w:val="FootnoteReference"/>
        </w:rPr>
        <w:footnoteReference w:id="44"/>
      </w:r>
      <w:r>
        <w:t xml:space="preserve">  </w:t>
      </w:r>
    </w:p>
    <w:p w:rsidR="00BC1CCF" w:rsidRDefault="00A7653E" w:rsidP="004F2B16">
      <w:pPr>
        <w:pStyle w:val="OutlineNumbered1"/>
      </w:pPr>
      <w:r>
        <w:t>While the</w:t>
      </w:r>
      <w:r w:rsidR="00BC1CCF">
        <w:t xml:space="preserve"> </w:t>
      </w:r>
      <w:r w:rsidR="00C810A9">
        <w:t>higher</w:t>
      </w:r>
      <w:r w:rsidR="00BC1CCF">
        <w:t xml:space="preserve"> cost of small business loans partly reflects their risk</w:t>
      </w:r>
      <w:r w:rsidR="0027181A">
        <w:t xml:space="preserve"> — </w:t>
      </w:r>
      <w:r w:rsidR="00BC1CCF">
        <w:t>the default rate on small business loans is around double that of non</w:t>
      </w:r>
      <w:r w:rsidR="00BC1CCF">
        <w:noBreakHyphen/>
        <w:t>business related residential mortgages</w:t>
      </w:r>
      <w:r w:rsidR="0027181A">
        <w:t xml:space="preserve"> — </w:t>
      </w:r>
      <w:r w:rsidR="00BC1CCF">
        <w:t>it may also be a reflection of a lack of competition in the small business lending market.</w:t>
      </w:r>
    </w:p>
    <w:p w:rsidR="008F0E87" w:rsidRDefault="008F0E87" w:rsidP="004F2B16">
      <w:pPr>
        <w:pStyle w:val="OutlineNumbered1"/>
      </w:pPr>
      <w:bookmarkStart w:id="354" w:name="_Toc381175959"/>
      <w:bookmarkStart w:id="355" w:name="_Toc381620878"/>
      <w:bookmarkStart w:id="356" w:name="_Toc381628822"/>
      <w:bookmarkStart w:id="357" w:name="_Toc381951954"/>
      <w:bookmarkStart w:id="358" w:name="_Toc382492817"/>
      <w:bookmarkStart w:id="359" w:name="_Toc382493608"/>
      <w:bookmarkStart w:id="360" w:name="_Toc382493787"/>
      <w:bookmarkStart w:id="361" w:name="_Toc382495807"/>
      <w:bookmarkStart w:id="362" w:name="_Toc382496693"/>
      <w:r>
        <w:lastRenderedPageBreak/>
        <w:t>Anecdotal evidence also suggests that many small businesses find the loan application process confusing, which may be preventing some small businesses from applying for loans.</w:t>
      </w:r>
    </w:p>
    <w:p w:rsidR="00EE04AE" w:rsidRPr="00EE04AE" w:rsidRDefault="00EE04AE" w:rsidP="00EE04AE">
      <w:pPr>
        <w:pStyle w:val="OutlineNumbered1"/>
        <w:numPr>
          <w:ilvl w:val="0"/>
          <w:numId w:val="0"/>
        </w:numPr>
        <w:rPr>
          <w:i/>
        </w:rPr>
      </w:pPr>
      <w:r w:rsidRPr="00EE04AE">
        <w:rPr>
          <w:i/>
        </w:rPr>
        <w:t>No room for complacency</w:t>
      </w:r>
    </w:p>
    <w:p w:rsidR="00153DE0" w:rsidRDefault="00840144" w:rsidP="004F2B16">
      <w:pPr>
        <w:pStyle w:val="OutlineNumbered1"/>
      </w:pPr>
      <w:r>
        <w:t>However t</w:t>
      </w:r>
      <w:r w:rsidR="00EE04AE">
        <w:t xml:space="preserve">he concentrated structure of the banking sector leaves no room for complacency </w:t>
      </w:r>
      <w:r w:rsidR="001E47F2">
        <w:t xml:space="preserve">as to </w:t>
      </w:r>
      <w:r w:rsidR="00EE04AE">
        <w:t xml:space="preserve">its capacity to meet </w:t>
      </w:r>
      <w:r w:rsidR="001E47F2">
        <w:t>the</w:t>
      </w:r>
      <w:r w:rsidR="00EE04AE">
        <w:t xml:space="preserve"> needs of the Australian economy over coming decades.  The </w:t>
      </w:r>
      <w:r w:rsidR="00445001">
        <w:t xml:space="preserve">Inquiry should </w:t>
      </w:r>
      <w:r w:rsidR="001E47F2">
        <w:t>consider whether there is</w:t>
      </w:r>
      <w:r w:rsidR="00445001">
        <w:t xml:space="preserve"> scope to</w:t>
      </w:r>
      <w:r w:rsidR="00153DE0">
        <w:t>:</w:t>
      </w:r>
    </w:p>
    <w:p w:rsidR="00153DE0" w:rsidRDefault="00445001" w:rsidP="00153DE0">
      <w:pPr>
        <w:pStyle w:val="Bullet"/>
      </w:pPr>
      <w:r>
        <w:t>increase the efficiency of the sector through regulatory reform</w:t>
      </w:r>
      <w:r w:rsidR="00153DE0">
        <w:t>s</w:t>
      </w:r>
      <w:r>
        <w:t xml:space="preserve"> </w:t>
      </w:r>
      <w:r w:rsidR="00153DE0">
        <w:t>that</w:t>
      </w:r>
      <w:r>
        <w:t xml:space="preserve"> promote competition</w:t>
      </w:r>
      <w:r w:rsidR="00153DE0">
        <w:t>; and</w:t>
      </w:r>
    </w:p>
    <w:p w:rsidR="00EE04AE" w:rsidRDefault="00445001" w:rsidP="00153DE0">
      <w:pPr>
        <w:pStyle w:val="Bullet"/>
      </w:pPr>
      <w:r>
        <w:t xml:space="preserve">price government </w:t>
      </w:r>
      <w:r w:rsidR="00153DE0">
        <w:t>guarantees</w:t>
      </w:r>
      <w:r>
        <w:t xml:space="preserve"> in the sector that </w:t>
      </w:r>
      <w:r w:rsidR="00153DE0">
        <w:t>have</w:t>
      </w:r>
      <w:r>
        <w:t xml:space="preserve"> the potential to </w:t>
      </w:r>
      <w:r w:rsidR="00642829">
        <w:t>distort</w:t>
      </w:r>
      <w:r w:rsidR="00153DE0">
        <w:t xml:space="preserve"> the allocation of capital</w:t>
      </w:r>
      <w:r>
        <w:t>.</w:t>
      </w:r>
    </w:p>
    <w:p w:rsidR="004A14C9" w:rsidRPr="004A14C9" w:rsidRDefault="00840144">
      <w:pPr>
        <w:pStyle w:val="Heading3"/>
      </w:pPr>
      <w:bookmarkStart w:id="363" w:name="_Toc383523979"/>
      <w:bookmarkStart w:id="364" w:name="_Toc383531515"/>
      <w:bookmarkStart w:id="365" w:name="_Toc383703296"/>
      <w:bookmarkStart w:id="366" w:name="_Toc383704180"/>
      <w:bookmarkStart w:id="367" w:name="_Toc383783848"/>
      <w:bookmarkStart w:id="368" w:name="_Toc383784652"/>
      <w:bookmarkStart w:id="369" w:name="_Toc384121508"/>
      <w:bookmarkStart w:id="370" w:name="_Toc384123734"/>
      <w:bookmarkStart w:id="371" w:name="_Toc384132420"/>
      <w:bookmarkStart w:id="372" w:name="_Toc384205178"/>
      <w:bookmarkStart w:id="373" w:name="_Toc384278514"/>
      <w:r>
        <w:t>The Financial Claims S</w:t>
      </w:r>
      <w:r w:rsidR="004A14C9" w:rsidRPr="004A14C9">
        <w:t xml:space="preserve">cheme </w:t>
      </w:r>
      <w:bookmarkEnd w:id="354"/>
      <w:bookmarkEnd w:id="355"/>
      <w:bookmarkEnd w:id="356"/>
      <w:r w:rsidR="004A14C9" w:rsidRPr="004A14C9">
        <w:t>is not properly priced</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4A14C9" w:rsidRDefault="00000AEC" w:rsidP="004A14C9">
      <w:pPr>
        <w:pStyle w:val="OutlineNumbered1"/>
      </w:pPr>
      <w:r>
        <w:t xml:space="preserve">The Financial Claims Scheme (FCS) </w:t>
      </w:r>
      <w:r w:rsidR="00E8561D">
        <w:t>provides</w:t>
      </w:r>
      <w:r w:rsidR="000A6140">
        <w:t xml:space="preserve"> deposit insurance </w:t>
      </w:r>
      <w:r w:rsidR="00E8561D">
        <w:t>and</w:t>
      </w:r>
      <w:r w:rsidR="000A6140">
        <w:t xml:space="preserve"> </w:t>
      </w:r>
      <w:r>
        <w:t xml:space="preserve">was introduced in October 2008.  </w:t>
      </w:r>
      <w:r w:rsidR="004A14C9">
        <w:t xml:space="preserve">The FCS </w:t>
      </w:r>
      <w:r>
        <w:t>applies up to a cap of $250,000</w:t>
      </w:r>
      <w:r w:rsidRPr="000A344E">
        <w:t xml:space="preserve"> </w:t>
      </w:r>
      <w:r>
        <w:t xml:space="preserve">per account-holder, per </w:t>
      </w:r>
      <w:r w:rsidR="00733FF4">
        <w:t>bank</w:t>
      </w:r>
      <w:r>
        <w:t>.</w:t>
      </w:r>
      <w:r w:rsidR="004A14C9">
        <w:t xml:space="preserve">  The FCS is designed to allow depositors to access their protected deposits quickly, without the need to wait for the liquidation process to </w:t>
      </w:r>
      <w:r w:rsidR="00A20444">
        <w:t xml:space="preserve">be </w:t>
      </w:r>
      <w:r w:rsidR="004A14C9">
        <w:t>complete.</w:t>
      </w:r>
    </w:p>
    <w:p w:rsidR="004A14C9" w:rsidRDefault="004A14C9" w:rsidP="004A14C9">
      <w:pPr>
        <w:pStyle w:val="OutlineNumbered1"/>
      </w:pPr>
      <w:r>
        <w:t xml:space="preserve">The FCS </w:t>
      </w:r>
      <w:r w:rsidR="00E8561D">
        <w:t>helps</w:t>
      </w:r>
      <w:r>
        <w:t xml:space="preserve"> maintain financial stability by reducing the likelihood of bank runs by ensuring that depositors have timely access to their funds during a crisis.</w:t>
      </w:r>
      <w:r w:rsidR="004F4524">
        <w:t xml:space="preserve">  </w:t>
      </w:r>
      <w:r w:rsidR="00C525FF">
        <w:t>This</w:t>
      </w:r>
      <w:r w:rsidR="004F4524">
        <w:t xml:space="preserve"> also lowers the impact of bank failures by </w:t>
      </w:r>
      <w:r w:rsidR="00C525FF">
        <w:t>enabling</w:t>
      </w:r>
      <w:r w:rsidR="004F4524">
        <w:t xml:space="preserve"> depositors </w:t>
      </w:r>
      <w:r w:rsidR="00C525FF">
        <w:t>of a failed bank to</w:t>
      </w:r>
      <w:r w:rsidR="004F4524">
        <w:t xml:space="preserve"> continue to consume goods and services. </w:t>
      </w:r>
    </w:p>
    <w:p w:rsidR="00733FF4" w:rsidRDefault="00733FF4" w:rsidP="004A14C9">
      <w:pPr>
        <w:pStyle w:val="OutlineNumbered1"/>
      </w:pPr>
      <w:r>
        <w:t>The FCS introduces a distortion as it limits depositor’s incentives to monitor bank performance and risk</w:t>
      </w:r>
      <w:r w:rsidR="00DE78D3">
        <w:t>-</w:t>
      </w:r>
      <w:r>
        <w:t>taking.  However, t</w:t>
      </w:r>
      <w:r w:rsidR="009C4636">
        <w:t xml:space="preserve">he </w:t>
      </w:r>
      <w:r w:rsidR="009706E8">
        <w:t xml:space="preserve">FCS </w:t>
      </w:r>
      <w:r w:rsidR="00E257B1">
        <w:t xml:space="preserve">is </w:t>
      </w:r>
      <w:r w:rsidR="004A14C9">
        <w:t xml:space="preserve">now a permanent feature of Australia’s financial </w:t>
      </w:r>
      <w:r w:rsidR="009706E8">
        <w:t>system</w:t>
      </w:r>
      <w:r>
        <w:t xml:space="preserve"> and attempts to remove it are unlikely to be credible</w:t>
      </w:r>
      <w:r w:rsidR="0027181A">
        <w:t xml:space="preserve"> — </w:t>
      </w:r>
      <w:r>
        <w:t>depositors are likely to continue to act as though their deposits are insured by the Government.  That said, there is scope to minimise this distortion and ensure that those who receive a benefit from the FCS pay for the benefit they derive.</w:t>
      </w:r>
    </w:p>
    <w:p w:rsidR="00241864" w:rsidRDefault="00241864" w:rsidP="003F4995">
      <w:pPr>
        <w:pStyle w:val="Heading4"/>
      </w:pPr>
      <w:r>
        <w:t>The Financial Claims Scheme has the potential to create distortions</w:t>
      </w:r>
    </w:p>
    <w:p w:rsidR="00241864" w:rsidRDefault="000C67C3" w:rsidP="00241864">
      <w:pPr>
        <w:pStyle w:val="OutlineNumbered1"/>
      </w:pPr>
      <w:r>
        <w:t>T</w:t>
      </w:r>
      <w:r w:rsidR="004A14C9">
        <w:t xml:space="preserve">he FCS potentially distorts the Australian financial system by reducing depositors’ incentive to monitor </w:t>
      </w:r>
      <w:r w:rsidR="00374D59">
        <w:t>bank</w:t>
      </w:r>
      <w:r w:rsidR="004A14C9">
        <w:t xml:space="preserve"> performance and </w:t>
      </w:r>
      <w:r w:rsidR="006771E9">
        <w:t>encouraging individuals to invest in deposits over other assets such as retail corporate bonds</w:t>
      </w:r>
      <w:r w:rsidR="00241864">
        <w:t>.</w:t>
      </w:r>
      <w:r w:rsidR="00241864" w:rsidRPr="00241864">
        <w:t xml:space="preserve"> </w:t>
      </w:r>
      <w:r w:rsidR="00241864">
        <w:t xml:space="preserve"> In practice</w:t>
      </w:r>
      <w:r w:rsidR="006771E9">
        <w:t xml:space="preserve"> though, the FCS </w:t>
      </w:r>
      <w:r w:rsidR="00241864">
        <w:t xml:space="preserve">is </w:t>
      </w:r>
      <w:r w:rsidR="00840144">
        <w:t xml:space="preserve">likely to reinforce rather than </w:t>
      </w:r>
      <w:r w:rsidR="006771E9">
        <w:t>alter</w:t>
      </w:r>
      <w:r w:rsidR="00241864">
        <w:t xml:space="preserve"> </w:t>
      </w:r>
      <w:r w:rsidR="006771E9">
        <w:t>depositor’s</w:t>
      </w:r>
      <w:r w:rsidR="00241864">
        <w:t xml:space="preserve"> </w:t>
      </w:r>
      <w:r w:rsidR="006771E9">
        <w:t>behaviour as depositors already acted as though the FCS was in place prior to its introduction.</w:t>
      </w:r>
      <w:r w:rsidR="00241864">
        <w:t xml:space="preserve">  </w:t>
      </w:r>
    </w:p>
    <w:p w:rsidR="004A14C9" w:rsidRDefault="00A80804" w:rsidP="004A14C9">
      <w:pPr>
        <w:pStyle w:val="OutlineNumbered1"/>
      </w:pPr>
      <w:r>
        <w:lastRenderedPageBreak/>
        <w:t>P</w:t>
      </w:r>
      <w:r w:rsidR="004A14C9">
        <w:t>rior to the introduction of the FCS</w:t>
      </w:r>
      <w:r>
        <w:t xml:space="preserve"> in 2006</w:t>
      </w:r>
      <w:r w:rsidR="0027181A">
        <w:t xml:space="preserve"> —</w:t>
      </w:r>
      <w:r w:rsidR="00C525FF">
        <w:t xml:space="preserve"> </w:t>
      </w:r>
      <w:r w:rsidR="004A14C9">
        <w:t>only 10 per cent of people surveyed</w:t>
      </w:r>
      <w:r w:rsidR="004A14C9" w:rsidRPr="005E5046">
        <w:t xml:space="preserve"> were of the opinion that their deposit account </w:t>
      </w:r>
      <w:r w:rsidR="004A14C9">
        <w:t>was</w:t>
      </w:r>
      <w:r w:rsidR="004A14C9" w:rsidRPr="005E5046">
        <w:t xml:space="preserve"> not guaranteed and that, in the event of a failure, the government </w:t>
      </w:r>
      <w:r w:rsidR="004A14C9">
        <w:t>wa</w:t>
      </w:r>
      <w:r w:rsidR="004A14C9" w:rsidRPr="005E5046">
        <w:t>s unlikely to step in.</w:t>
      </w:r>
      <w:r w:rsidR="004A14C9" w:rsidRPr="005E5046">
        <w:rPr>
          <w:vertAlign w:val="superscript"/>
        </w:rPr>
        <w:footnoteReference w:id="45"/>
      </w:r>
      <w:r w:rsidR="004A14C9">
        <w:t xml:space="preserve">  </w:t>
      </w:r>
    </w:p>
    <w:p w:rsidR="00733FF4" w:rsidRDefault="00733FF4" w:rsidP="004A14C9">
      <w:pPr>
        <w:pStyle w:val="OutlineNumbered1"/>
      </w:pPr>
      <w:r>
        <w:t xml:space="preserve">There are a number of other factors that </w:t>
      </w:r>
      <w:r w:rsidR="00C525FF">
        <w:t>reduce</w:t>
      </w:r>
      <w:r>
        <w:t xml:space="preserve"> these moral hazard concerns by placing constraints on bank risk</w:t>
      </w:r>
      <w:r w:rsidR="00DE78D3">
        <w:t>-</w:t>
      </w:r>
      <w:r>
        <w:t>taking, including:</w:t>
      </w:r>
    </w:p>
    <w:p w:rsidR="001A0391" w:rsidRDefault="00151D61" w:rsidP="004A14C9">
      <w:pPr>
        <w:pStyle w:val="Bullet"/>
        <w:numPr>
          <w:ilvl w:val="0"/>
          <w:numId w:val="1"/>
        </w:numPr>
        <w:ind w:left="1134"/>
      </w:pPr>
      <w:r>
        <w:t>risk</w:t>
      </w:r>
      <w:r>
        <w:noBreakHyphen/>
      </w:r>
      <w:r w:rsidR="004A14C9">
        <w:t xml:space="preserve">based capital </w:t>
      </w:r>
      <w:r w:rsidR="004A14C9" w:rsidRPr="004A14C9">
        <w:t>adequacy</w:t>
      </w:r>
      <w:r w:rsidR="004A14C9">
        <w:t xml:space="preserve"> requirements</w:t>
      </w:r>
      <w:r w:rsidR="00733FF4">
        <w:t>, which require banks to hold additional capital when they take on more risk</w:t>
      </w:r>
      <w:r w:rsidR="004A14C9">
        <w:t>;</w:t>
      </w:r>
    </w:p>
    <w:p w:rsidR="004A14C9" w:rsidRDefault="001A0391" w:rsidP="004A14C9">
      <w:pPr>
        <w:pStyle w:val="Bullet"/>
      </w:pPr>
      <w:r>
        <w:t>APRA’s proactive supervisory approach which also include</w:t>
      </w:r>
      <w:r w:rsidR="00B47D63">
        <w:t>s</w:t>
      </w:r>
      <w:r>
        <w:t xml:space="preserve"> </w:t>
      </w:r>
      <w:r w:rsidR="00B47D63">
        <w:t>enhanced</w:t>
      </w:r>
      <w:r>
        <w:t xml:space="preserve"> requirement</w:t>
      </w:r>
      <w:r w:rsidR="00B47D63">
        <w:t>s</w:t>
      </w:r>
      <w:r>
        <w:t xml:space="preserve"> for banks to have risk management systems in place to address material risks;</w:t>
      </w:r>
      <w:r w:rsidR="004A14C9">
        <w:t xml:space="preserve"> and</w:t>
      </w:r>
    </w:p>
    <w:p w:rsidR="004A14C9" w:rsidRDefault="004A14C9" w:rsidP="004A14C9">
      <w:pPr>
        <w:pStyle w:val="Bullet"/>
      </w:pPr>
      <w:r>
        <w:t xml:space="preserve">market </w:t>
      </w:r>
      <w:r w:rsidRPr="004A14C9">
        <w:t>discipline</w:t>
      </w:r>
      <w:r>
        <w:t xml:space="preserve"> on bank behaviour provided by suppliers of bank wholesale funding, who are not covered by the scheme</w:t>
      </w:r>
      <w:r w:rsidR="00733FF4">
        <w:t xml:space="preserve"> and still have an incentive to play a monitoring role</w:t>
      </w:r>
      <w:r>
        <w:t>.</w:t>
      </w:r>
      <w:r>
        <w:rPr>
          <w:rStyle w:val="FootnoteReference"/>
        </w:rPr>
        <w:footnoteReference w:id="46"/>
      </w:r>
    </w:p>
    <w:p w:rsidR="00241864" w:rsidRDefault="00840144" w:rsidP="003F4995">
      <w:pPr>
        <w:pStyle w:val="Heading4"/>
      </w:pPr>
      <w:r>
        <w:t>Funding the F</w:t>
      </w:r>
      <w:r w:rsidR="00241864">
        <w:t xml:space="preserve">inancial </w:t>
      </w:r>
      <w:r>
        <w:t>C</w:t>
      </w:r>
      <w:r w:rsidR="00241864">
        <w:t xml:space="preserve">laims </w:t>
      </w:r>
      <w:r>
        <w:t>S</w:t>
      </w:r>
      <w:r w:rsidR="00241864">
        <w:t>cheme</w:t>
      </w:r>
    </w:p>
    <w:p w:rsidR="00241864" w:rsidRDefault="00241864" w:rsidP="00241864">
      <w:pPr>
        <w:pStyle w:val="OutlineNumbered1"/>
      </w:pPr>
      <w:r>
        <w:t xml:space="preserve">Pricing guarantees such as the FCS can reduce potential distortions.  However, in the case of a levy for the FCS, careful design is required since smaller </w:t>
      </w:r>
      <w:r w:rsidR="0088797F">
        <w:t>banks</w:t>
      </w:r>
      <w:r>
        <w:t xml:space="preserve"> are more reliant on deposits </w:t>
      </w:r>
      <w:r w:rsidR="00C525FF">
        <w:t>than</w:t>
      </w:r>
      <w:r>
        <w:t xml:space="preserve"> the major banks and can be disproportionally impacted.</w:t>
      </w:r>
    </w:p>
    <w:p w:rsidR="004A14C9" w:rsidRDefault="004A14C9" w:rsidP="004A14C9">
      <w:pPr>
        <w:pStyle w:val="OutlineNumbered1"/>
      </w:pPr>
      <w:r>
        <w:t xml:space="preserve">At present, the FCS is funded after the scheme has been triggered.  That is, after a </w:t>
      </w:r>
      <w:r w:rsidR="0088797F">
        <w:t>bank</w:t>
      </w:r>
      <w:r>
        <w:t xml:space="preserve"> fails, the Government would levy all remaining </w:t>
      </w:r>
      <w:r w:rsidR="0088797F">
        <w:t>bank</w:t>
      </w:r>
      <w:r>
        <w:t>s to cover the costs.  As such, those who benefit from the FCS</w:t>
      </w:r>
      <w:r w:rsidR="0027181A">
        <w:t xml:space="preserve"> — </w:t>
      </w:r>
      <w:r w:rsidR="0088797F">
        <w:t>bank</w:t>
      </w:r>
      <w:r>
        <w:t>s and depositors</w:t>
      </w:r>
      <w:r w:rsidR="0027181A">
        <w:t xml:space="preserve"> — </w:t>
      </w:r>
      <w:r>
        <w:t xml:space="preserve">do not pay for the benefit they </w:t>
      </w:r>
      <w:r w:rsidR="00C525FF">
        <w:t>enjoy</w:t>
      </w:r>
      <w:r>
        <w:t>.  The planned introduction of an FCS levy would remedy this problem, reducing the distortions to the financial system.</w:t>
      </w:r>
    </w:p>
    <w:p w:rsidR="004A14C9" w:rsidRDefault="004A14C9" w:rsidP="004A14C9">
      <w:pPr>
        <w:pStyle w:val="OutlineNumbered1"/>
      </w:pPr>
      <w:r>
        <w:t xml:space="preserve">There are </w:t>
      </w:r>
      <w:r w:rsidR="00E8775A">
        <w:t>three</w:t>
      </w:r>
      <w:r>
        <w:t xml:space="preserve"> </w:t>
      </w:r>
      <w:r w:rsidR="00B426D8">
        <w:t>main</w:t>
      </w:r>
      <w:r>
        <w:t xml:space="preserve"> methods available for calculating the size of the levy each </w:t>
      </w:r>
      <w:r w:rsidR="0088797F">
        <w:t>bank</w:t>
      </w:r>
      <w:r>
        <w:t xml:space="preserve"> should pay</w:t>
      </w:r>
      <w:r w:rsidR="0027181A">
        <w:t xml:space="preserve"> — </w:t>
      </w:r>
      <w:r>
        <w:t>a flat rate</w:t>
      </w:r>
      <w:r w:rsidR="00E8775A">
        <w:t>,</w:t>
      </w:r>
      <w:r w:rsidR="00B426D8">
        <w:t xml:space="preserve"> a risk</w:t>
      </w:r>
      <w:r w:rsidR="00374D59">
        <w:noBreakHyphen/>
      </w:r>
      <w:r w:rsidR="00B426D8">
        <w:t xml:space="preserve">based </w:t>
      </w:r>
      <w:r w:rsidR="00E8775A">
        <w:t xml:space="preserve">and a tiered </w:t>
      </w:r>
      <w:r w:rsidR="00B426D8">
        <w:t>approach</w:t>
      </w:r>
      <w:r>
        <w:t>.  The 2013-14 MYEFO includes the financial claims scheme outlined in the 2013 Economic Statement, subject to the outcomes of the Financial System Inquiry.</w:t>
      </w:r>
      <w:r>
        <w:rPr>
          <w:rStyle w:val="FootnoteReference"/>
        </w:rPr>
        <w:footnoteReference w:id="47"/>
      </w:r>
      <w:r>
        <w:t xml:space="preserve">  That scheme </w:t>
      </w:r>
      <w:r w:rsidR="00B426D8">
        <w:t>was costed on the basis of an average levy of 5 basis points.</w:t>
      </w:r>
    </w:p>
    <w:p w:rsidR="004A14C9" w:rsidRDefault="004A14C9" w:rsidP="004A14C9">
      <w:pPr>
        <w:pStyle w:val="OutlineNumbered1"/>
      </w:pPr>
      <w:r>
        <w:t xml:space="preserve">Under a flat rate, all </w:t>
      </w:r>
      <w:r w:rsidR="0088797F">
        <w:t>bank</w:t>
      </w:r>
      <w:r>
        <w:t>s are levied at the same rate.  The amount they pay only reflects difference</w:t>
      </w:r>
      <w:r w:rsidR="00C525FF">
        <w:t>s</w:t>
      </w:r>
      <w:r>
        <w:t xml:space="preserve"> in the size of their assessable base.  This approach would be consistent with the objective of making </w:t>
      </w:r>
      <w:r w:rsidR="00A7283E">
        <w:t>bank</w:t>
      </w:r>
      <w:r>
        <w:t>s pay for the benefit they receive.</w:t>
      </w:r>
    </w:p>
    <w:p w:rsidR="004A14C9" w:rsidRDefault="00374D59" w:rsidP="004A14C9">
      <w:pPr>
        <w:pStyle w:val="OutlineNumbered1"/>
      </w:pPr>
      <w:r>
        <w:lastRenderedPageBreak/>
        <w:t>Alternatively, a risk</w:t>
      </w:r>
      <w:r>
        <w:noBreakHyphen/>
      </w:r>
      <w:r w:rsidR="004A14C9">
        <w:t>based approach could be used.  Under a risk</w:t>
      </w:r>
      <w:r>
        <w:noBreakHyphen/>
      </w:r>
      <w:r w:rsidR="004A14C9">
        <w:t xml:space="preserve">based approach, the rate of the levy would vary between </w:t>
      </w:r>
      <w:r w:rsidR="00A7283E">
        <w:t>bank</w:t>
      </w:r>
      <w:r w:rsidR="004A14C9">
        <w:t>s depending on an assessm</w:t>
      </w:r>
      <w:r w:rsidR="00151D61">
        <w:t>ent of their riskiness.  A risk</w:t>
      </w:r>
      <w:r w:rsidR="00151D61">
        <w:noBreakHyphen/>
      </w:r>
      <w:r w:rsidR="004A14C9">
        <w:t>based approach could potentially address the moral hazard concerns associated with the FCS and discourage excessive risk</w:t>
      </w:r>
      <w:r w:rsidR="00DE78D3">
        <w:t>-</w:t>
      </w:r>
      <w:r w:rsidR="004A14C9">
        <w:t>taking.</w:t>
      </w:r>
    </w:p>
    <w:p w:rsidR="004A14C9" w:rsidRDefault="007E3183" w:rsidP="004A14C9">
      <w:pPr>
        <w:pStyle w:val="OutlineNumbered1"/>
      </w:pPr>
      <w:r>
        <w:t xml:space="preserve">In forming a view as to which approach should be taken in Australia, the </w:t>
      </w:r>
      <w:r w:rsidR="00A80015">
        <w:t xml:space="preserve">Financial System </w:t>
      </w:r>
      <w:r>
        <w:t>Inquiry should note that</w:t>
      </w:r>
      <w:r w:rsidR="004A14C9">
        <w:t xml:space="preserve"> a risk</w:t>
      </w:r>
      <w:r w:rsidR="00374D59">
        <w:noBreakHyphen/>
      </w:r>
      <w:r w:rsidR="004A14C9">
        <w:t>based approach:</w:t>
      </w:r>
    </w:p>
    <w:p w:rsidR="004A14C9" w:rsidRPr="004A14C9" w:rsidRDefault="004A14C9" w:rsidP="004A14C9">
      <w:pPr>
        <w:pStyle w:val="Bullet"/>
      </w:pPr>
      <w:r>
        <w:t xml:space="preserve">would be </w:t>
      </w:r>
      <w:r w:rsidRPr="004A14C9">
        <w:t>more complicated to administer;</w:t>
      </w:r>
    </w:p>
    <w:p w:rsidR="004A14C9" w:rsidRPr="004A14C9" w:rsidRDefault="004A14C9" w:rsidP="004A14C9">
      <w:pPr>
        <w:pStyle w:val="Bullet"/>
      </w:pPr>
      <w:r w:rsidRPr="004A14C9">
        <w:t xml:space="preserve">could send adverse signals to the market about the stability of individual </w:t>
      </w:r>
      <w:r w:rsidR="00A7283E">
        <w:t>bank</w:t>
      </w:r>
      <w:r w:rsidRPr="004A14C9">
        <w:t>s</w:t>
      </w:r>
      <w:r w:rsidR="00151D61">
        <w:t>.  Although a risk</w:t>
      </w:r>
      <w:r w:rsidR="00151D61">
        <w:noBreakHyphen/>
      </w:r>
      <w:r w:rsidR="000C67C3">
        <w:t xml:space="preserve">based </w:t>
      </w:r>
      <w:r w:rsidR="00C525FF">
        <w:t xml:space="preserve">approach </w:t>
      </w:r>
      <w:r w:rsidR="000C67C3">
        <w:t xml:space="preserve">was used to price the wholesale guarantee during the global financial crisis without sending adverse signals about the stability of individual </w:t>
      </w:r>
      <w:r w:rsidR="00A7283E">
        <w:t>bank</w:t>
      </w:r>
      <w:r w:rsidR="000C67C3">
        <w:t>s, this problem could still arise</w:t>
      </w:r>
      <w:r w:rsidR="00374D59">
        <w:t xml:space="preserve"> in the future if a risk</w:t>
      </w:r>
      <w:r w:rsidR="00374D59">
        <w:noBreakHyphen/>
      </w:r>
      <w:r w:rsidR="005A6FCE">
        <w:t>based approach is utilised</w:t>
      </w:r>
      <w:r w:rsidRPr="004A14C9">
        <w:t>; and</w:t>
      </w:r>
    </w:p>
    <w:p w:rsidR="004A14C9" w:rsidRDefault="004A14C9" w:rsidP="004A14C9">
      <w:pPr>
        <w:pStyle w:val="Bullet"/>
      </w:pPr>
      <w:r w:rsidRPr="004A14C9">
        <w:t>lessen co</w:t>
      </w:r>
      <w:r>
        <w:t xml:space="preserve">mpetition, </w:t>
      </w:r>
      <w:r w:rsidR="000C67C3">
        <w:t>as smaller banks with lower credit ratings would be required to pay a higher fee</w:t>
      </w:r>
      <w:r>
        <w:t>.</w:t>
      </w:r>
    </w:p>
    <w:p w:rsidR="00B426D8" w:rsidRDefault="00E8775A" w:rsidP="003F4995">
      <w:pPr>
        <w:pStyle w:val="OutlineNumbered1"/>
      </w:pPr>
      <w:r>
        <w:t>Under a tiered approach, only banks with assets above a certain level would be required to pay the levy.  The tiered approach would be beneficial for competition and would offset the tendency</w:t>
      </w:r>
      <w:r w:rsidR="00B426D8">
        <w:t xml:space="preserve"> of </w:t>
      </w:r>
      <w:r w:rsidR="00374D59">
        <w:t>either the flat and risk</w:t>
      </w:r>
      <w:r w:rsidR="00374D59">
        <w:noBreakHyphen/>
      </w:r>
      <w:r>
        <w:t>based approaches to</w:t>
      </w:r>
      <w:r w:rsidR="00B426D8">
        <w:t xml:space="preserve"> disproportionately affect smaller </w:t>
      </w:r>
      <w:r w:rsidR="00A7283E">
        <w:t>bank</w:t>
      </w:r>
      <w:r w:rsidR="00B426D8">
        <w:t xml:space="preserve">s that are more reliant </w:t>
      </w:r>
      <w:r w:rsidR="00C525FF">
        <w:t xml:space="preserve">than larger banks </w:t>
      </w:r>
      <w:r w:rsidR="00B426D8">
        <w:t>on deposit funding.</w:t>
      </w:r>
    </w:p>
    <w:p w:rsidR="004A14C9" w:rsidRPr="004A14C9" w:rsidRDefault="004A14C9" w:rsidP="004A14C9">
      <w:pPr>
        <w:pStyle w:val="Heading3"/>
      </w:pPr>
      <w:bookmarkStart w:id="374" w:name="_Toc381620877"/>
      <w:bookmarkStart w:id="375" w:name="_Toc381628821"/>
      <w:bookmarkStart w:id="376" w:name="_Toc381951955"/>
      <w:bookmarkStart w:id="377" w:name="_Toc382492818"/>
      <w:bookmarkStart w:id="378" w:name="_Toc382493609"/>
      <w:bookmarkStart w:id="379" w:name="_Toc382493788"/>
      <w:bookmarkStart w:id="380" w:name="_Toc382495808"/>
      <w:bookmarkStart w:id="381" w:name="_Toc382496694"/>
      <w:bookmarkStart w:id="382" w:name="_Toc383523980"/>
      <w:bookmarkStart w:id="383" w:name="_Toc383531516"/>
      <w:bookmarkStart w:id="384" w:name="_Toc383703297"/>
      <w:bookmarkStart w:id="385" w:name="_Toc383704181"/>
      <w:bookmarkStart w:id="386" w:name="_Toc383783849"/>
      <w:bookmarkStart w:id="387" w:name="_Toc383784653"/>
      <w:bookmarkStart w:id="388" w:name="_Toc384121509"/>
      <w:bookmarkStart w:id="389" w:name="_Toc384123735"/>
      <w:bookmarkStart w:id="390" w:name="_Toc384132421"/>
      <w:bookmarkStart w:id="391" w:name="_Toc384205179"/>
      <w:bookmarkStart w:id="392" w:name="_Toc384278515"/>
      <w:bookmarkStart w:id="393" w:name="_Toc381175961"/>
      <w:bookmarkStart w:id="394" w:name="_Toc381620879"/>
      <w:bookmarkStart w:id="395" w:name="_Toc381628823"/>
      <w:r>
        <w:t>‘</w:t>
      </w:r>
      <w:r w:rsidRPr="004A14C9">
        <w:t>Too big to fail</w:t>
      </w:r>
      <w:r>
        <w:t>’</w:t>
      </w:r>
      <w:r w:rsidRPr="004A14C9">
        <w:t xml:space="preserve"> is distorting the financial system</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4A14C9" w:rsidRDefault="004A14C9" w:rsidP="004A14C9">
      <w:pPr>
        <w:pStyle w:val="OutlineNumbered1"/>
      </w:pPr>
      <w:r>
        <w:t xml:space="preserve">Australia’s major banks </w:t>
      </w:r>
      <w:r w:rsidR="0065454B">
        <w:t xml:space="preserve">are commonly </w:t>
      </w:r>
      <w:r w:rsidR="00C731D1">
        <w:t>considered</w:t>
      </w:r>
      <w:r w:rsidR="0065454B">
        <w:t xml:space="preserve"> to benefit from an implicit government guarantee of their financial viability reflecting </w:t>
      </w:r>
      <w:r w:rsidR="003A3B5B">
        <w:t xml:space="preserve">the </w:t>
      </w:r>
      <w:r w:rsidR="00C731D1">
        <w:t>perception</w:t>
      </w:r>
      <w:r w:rsidR="003A3B5B">
        <w:t xml:space="preserve"> of investors, rating agencies and analysts </w:t>
      </w:r>
      <w:r w:rsidR="0065454B">
        <w:t>that they are ‘too big to fail’</w:t>
      </w:r>
      <w:r w:rsidR="003A3B5B">
        <w:t>.</w:t>
      </w:r>
    </w:p>
    <w:p w:rsidR="004A14C9" w:rsidRPr="00FB3AE2" w:rsidRDefault="003A3B5B" w:rsidP="007E4D27">
      <w:pPr>
        <w:pStyle w:val="OutlineNumbered1"/>
      </w:pPr>
      <w:r>
        <w:t xml:space="preserve">The </w:t>
      </w:r>
      <w:r w:rsidR="00C731D1">
        <w:t xml:space="preserve">perception is </w:t>
      </w:r>
      <w:r>
        <w:t>illustrat</w:t>
      </w:r>
      <w:r w:rsidR="00C731D1">
        <w:t>ed by</w:t>
      </w:r>
      <w:r>
        <w:t xml:space="preserve"> the commentary of some of the credit rating agencies on the credit risk of the major banks.  Standard and Poors </w:t>
      </w:r>
      <w:r w:rsidR="0066226B">
        <w:t>recently</w:t>
      </w:r>
      <w:r>
        <w:t xml:space="preserve"> state</w:t>
      </w:r>
      <w:r w:rsidR="0066226B">
        <w:t>d</w:t>
      </w:r>
      <w:r>
        <w:t xml:space="preserve"> that ‘</w:t>
      </w:r>
      <w:r w:rsidR="0066226B" w:rsidRPr="00C731D1">
        <w:rPr>
          <w:i/>
        </w:rPr>
        <w:t xml:space="preserve">our </w:t>
      </w:r>
      <w:r w:rsidRPr="00C731D1">
        <w:rPr>
          <w:i/>
        </w:rPr>
        <w:t>issuer credit rating on ANZ is two notches higher…reflecting ou</w:t>
      </w:r>
      <w:r w:rsidR="0066226B" w:rsidRPr="00C731D1">
        <w:rPr>
          <w:i/>
        </w:rPr>
        <w:t>r</w:t>
      </w:r>
      <w:r w:rsidRPr="00C731D1">
        <w:rPr>
          <w:i/>
        </w:rPr>
        <w:t xml:space="preserve"> view of a high likelihood of extraordinary government support in a crisis</w:t>
      </w:r>
      <w:r w:rsidR="0066226B" w:rsidRPr="00C731D1">
        <w:rPr>
          <w:i/>
        </w:rPr>
        <w:t>’</w:t>
      </w:r>
      <w:r w:rsidR="0066226B">
        <w:t>.</w:t>
      </w:r>
      <w:r w:rsidR="00B426D8">
        <w:rPr>
          <w:rStyle w:val="FootnoteReference"/>
        </w:rPr>
        <w:footnoteReference w:id="48"/>
      </w:r>
      <w:r w:rsidR="007000CB">
        <w:t xml:space="preserve"> </w:t>
      </w:r>
      <w:r w:rsidR="00512E72">
        <w:t xml:space="preserve"> </w:t>
      </w:r>
      <w:r w:rsidR="007000CB">
        <w:t xml:space="preserve">Similar comments are made on other </w:t>
      </w:r>
      <w:r w:rsidR="00C731D1">
        <w:t>major banks.</w:t>
      </w:r>
    </w:p>
    <w:p w:rsidR="004A14C9" w:rsidRDefault="004A14C9" w:rsidP="004A14C9">
      <w:pPr>
        <w:pStyle w:val="OutlineNumbered1"/>
      </w:pPr>
      <w:r>
        <w:t>The perception that the major banks are too big to fail has two major consequences</w:t>
      </w:r>
      <w:r w:rsidR="00B033D7">
        <w:t xml:space="preserve"> for the efficiency and stability of the financial system</w:t>
      </w:r>
      <w:r w:rsidR="00E8561D">
        <w:t>:</w:t>
      </w:r>
    </w:p>
    <w:p w:rsidR="004A14C9" w:rsidRDefault="00E8561D" w:rsidP="004A14C9">
      <w:pPr>
        <w:pStyle w:val="Bullet"/>
      </w:pPr>
      <w:r>
        <w:lastRenderedPageBreak/>
        <w:t>m</w:t>
      </w:r>
      <w:r w:rsidR="004A14C9">
        <w:t xml:space="preserve">oral </w:t>
      </w:r>
      <w:r w:rsidR="004A14C9" w:rsidRPr="004A14C9">
        <w:t>hazard</w:t>
      </w:r>
      <w:r w:rsidR="00B033D7">
        <w:t xml:space="preserve">: </w:t>
      </w:r>
      <w:r w:rsidR="004A14C9">
        <w:t xml:space="preserve"> the </w:t>
      </w:r>
      <w:r w:rsidR="00A02821">
        <w:t>behaviour of</w:t>
      </w:r>
      <w:r w:rsidR="004A14C9">
        <w:t xml:space="preserve"> the major banks </w:t>
      </w:r>
      <w:r w:rsidR="00A02821">
        <w:t xml:space="preserve">and their investors, particularly their attitude to </w:t>
      </w:r>
      <w:r w:rsidR="004A14C9">
        <w:t xml:space="preserve">risk </w:t>
      </w:r>
      <w:r w:rsidR="00A02821">
        <w:t xml:space="preserve">and its </w:t>
      </w:r>
      <w:r w:rsidR="004A14C9">
        <w:t>management</w:t>
      </w:r>
      <w:r w:rsidR="00A02821">
        <w:t>, may be affected as</w:t>
      </w:r>
      <w:r w:rsidR="004A14C9">
        <w:t xml:space="preserve"> </w:t>
      </w:r>
      <w:r w:rsidR="00C525FF">
        <w:t xml:space="preserve">some </w:t>
      </w:r>
      <w:r w:rsidR="004A14C9">
        <w:t xml:space="preserve">downside risk is </w:t>
      </w:r>
      <w:r w:rsidR="00A02821">
        <w:t xml:space="preserve">perceived to be </w:t>
      </w:r>
      <w:r w:rsidR="004A14C9">
        <w:t>shifted to the government.</w:t>
      </w:r>
    </w:p>
    <w:p w:rsidR="004A14C9" w:rsidRDefault="00E8561D" w:rsidP="004A14C9">
      <w:pPr>
        <w:pStyle w:val="Bullet"/>
      </w:pPr>
      <w:r>
        <w:t>a</w:t>
      </w:r>
      <w:r w:rsidR="00AA27E8">
        <w:t xml:space="preserve">llocative inefficiency:  mispricing of risk will reduce the efficiency of the financial system as the price signals for the allocation of capital are distorted.  </w:t>
      </w:r>
      <w:r w:rsidR="00EE331D">
        <w:t xml:space="preserve">All else being equal, </w:t>
      </w:r>
      <w:r w:rsidR="004A14C9">
        <w:t xml:space="preserve">major banks funding costs </w:t>
      </w:r>
      <w:r w:rsidR="00AA27E8">
        <w:t xml:space="preserve">will be </w:t>
      </w:r>
      <w:r w:rsidR="004A14C9">
        <w:t xml:space="preserve">lower relative to </w:t>
      </w:r>
      <w:r w:rsidR="00AA27E8">
        <w:t>competing</w:t>
      </w:r>
      <w:r w:rsidR="004A14C9">
        <w:t xml:space="preserve"> financial institutions</w:t>
      </w:r>
      <w:r w:rsidR="00AA27E8">
        <w:t>, such as smaller banks or corporate bonds.</w:t>
      </w:r>
    </w:p>
    <w:p w:rsidR="00B426D8" w:rsidRDefault="00C525FF" w:rsidP="004A14C9">
      <w:pPr>
        <w:pStyle w:val="OutlineNumbered1"/>
      </w:pPr>
      <w:r>
        <w:t>Appropriately, current</w:t>
      </w:r>
      <w:r w:rsidR="004A14C9">
        <w:t xml:space="preserve"> policy settings respond to the problem of </w:t>
      </w:r>
      <w:r w:rsidR="00512E72">
        <w:t>‘</w:t>
      </w:r>
      <w:r w:rsidR="004A14C9">
        <w:t>too big to fail</w:t>
      </w:r>
      <w:r w:rsidR="00512E72">
        <w:t>’</w:t>
      </w:r>
      <w:r w:rsidR="004A14C9">
        <w:t xml:space="preserve"> through the intensity of supervision by APRA</w:t>
      </w:r>
      <w:r w:rsidR="00B426D8">
        <w:t xml:space="preserve"> and by requiring </w:t>
      </w:r>
      <w:r w:rsidR="00512E72">
        <w:t>d</w:t>
      </w:r>
      <w:r w:rsidR="00B426D8">
        <w:t xml:space="preserve">omestic </w:t>
      </w:r>
      <w:r w:rsidR="00512E72">
        <w:t>s</w:t>
      </w:r>
      <w:r w:rsidR="00B426D8">
        <w:t>ystemically</w:t>
      </w:r>
      <w:r w:rsidR="00A80015">
        <w:t xml:space="preserve"> </w:t>
      </w:r>
      <w:r w:rsidR="00512E72">
        <w:t>i</w:t>
      </w:r>
      <w:r w:rsidR="00B426D8">
        <w:t>mportant banks to hold additional capital</w:t>
      </w:r>
      <w:r w:rsidR="004A14C9">
        <w:t xml:space="preserve">.  </w:t>
      </w:r>
    </w:p>
    <w:p w:rsidR="004A14C9" w:rsidRPr="005C1C38" w:rsidRDefault="004A14C9" w:rsidP="004A14C9">
      <w:pPr>
        <w:pStyle w:val="Heading4"/>
      </w:pPr>
      <w:r w:rsidRPr="005C1C38">
        <w:t>Bail</w:t>
      </w:r>
      <w:r w:rsidR="00760C9E">
        <w:t>-</w:t>
      </w:r>
      <w:r w:rsidRPr="005C1C38">
        <w:t>in</w:t>
      </w:r>
    </w:p>
    <w:p w:rsidR="004A14C9" w:rsidRDefault="004C099D" w:rsidP="004A14C9">
      <w:pPr>
        <w:pStyle w:val="OutlineNumbered1"/>
      </w:pPr>
      <w:r>
        <w:t>Part of t</w:t>
      </w:r>
      <w:r w:rsidR="004A14C9">
        <w:t xml:space="preserve">he </w:t>
      </w:r>
      <w:r w:rsidR="007520FE">
        <w:t>G20</w:t>
      </w:r>
      <w:r>
        <w:t>’</w:t>
      </w:r>
      <w:r w:rsidR="007520FE">
        <w:t xml:space="preserve">s </w:t>
      </w:r>
      <w:r w:rsidR="004A14C9">
        <w:t xml:space="preserve">policy response to </w:t>
      </w:r>
      <w:r w:rsidR="00512E72">
        <w:t>the problem of ‘</w:t>
      </w:r>
      <w:r w:rsidR="004A14C9">
        <w:t>too big to fail</w:t>
      </w:r>
      <w:r w:rsidR="00512E72">
        <w:t>’</w:t>
      </w:r>
      <w:r w:rsidR="004A14C9">
        <w:t xml:space="preserve"> </w:t>
      </w:r>
      <w:r w:rsidR="00A02821">
        <w:t>is</w:t>
      </w:r>
      <w:r w:rsidR="004A14C9">
        <w:t xml:space="preserve"> to reduce the moral hazard and </w:t>
      </w:r>
      <w:r w:rsidR="00374D59">
        <w:t>fiscal costs through a bail</w:t>
      </w:r>
      <w:r w:rsidR="00760C9E">
        <w:t>-</w:t>
      </w:r>
      <w:r w:rsidR="00374D59">
        <w:t>in</w:t>
      </w:r>
      <w:r w:rsidR="004A14C9">
        <w:t xml:space="preserve"> regime</w:t>
      </w:r>
      <w:r w:rsidR="00E8775A">
        <w:t>, which includes a framework for loss absorbency</w:t>
      </w:r>
      <w:r w:rsidR="004A14C9">
        <w:t>.  Bail</w:t>
      </w:r>
      <w:r w:rsidR="00760C9E">
        <w:t>-</w:t>
      </w:r>
      <w:r w:rsidR="004A14C9">
        <w:t xml:space="preserve">in involves </w:t>
      </w:r>
      <w:r>
        <w:t>allow</w:t>
      </w:r>
      <w:r w:rsidR="00C525FF">
        <w:t>ing</w:t>
      </w:r>
      <w:r>
        <w:t xml:space="preserve"> the </w:t>
      </w:r>
      <w:r w:rsidR="00667C89">
        <w:t>G</w:t>
      </w:r>
      <w:r>
        <w:t xml:space="preserve">overnment to </w:t>
      </w:r>
      <w:r w:rsidR="004A14C9">
        <w:t>writ</w:t>
      </w:r>
      <w:r>
        <w:t>e</w:t>
      </w:r>
      <w:r w:rsidR="004A14C9">
        <w:t xml:space="preserve"> down the value of bank debt or converting debt securities into equity when the bank fails.</w:t>
      </w:r>
    </w:p>
    <w:p w:rsidR="004A14C9" w:rsidRDefault="004A14C9" w:rsidP="004A14C9">
      <w:pPr>
        <w:pStyle w:val="OutlineNumbered1"/>
      </w:pPr>
      <w:r>
        <w:t>In theory, a credible bail</w:t>
      </w:r>
      <w:r w:rsidR="00760C9E">
        <w:noBreakHyphen/>
      </w:r>
      <w:r>
        <w:t xml:space="preserve">in regime would directly address the moral hazard and </w:t>
      </w:r>
      <w:r w:rsidR="00A02821">
        <w:t>efficiency</w:t>
      </w:r>
      <w:r>
        <w:t xml:space="preserve"> issues caused by too big to fail.  </w:t>
      </w:r>
      <w:r w:rsidR="007520FE">
        <w:t>Whether th</w:t>
      </w:r>
      <w:r w:rsidR="00E8775A">
        <w:t>e market</w:t>
      </w:r>
      <w:r w:rsidR="007520FE">
        <w:t xml:space="preserve"> would </w:t>
      </w:r>
      <w:r w:rsidR="00E8775A">
        <w:t>ensure appropriate discipline</w:t>
      </w:r>
      <w:r w:rsidR="007520FE">
        <w:t xml:space="preserve"> in practice is a matter yet to be tested</w:t>
      </w:r>
      <w:r>
        <w:t>.</w:t>
      </w:r>
    </w:p>
    <w:p w:rsidR="004A14C9" w:rsidRDefault="004A14C9" w:rsidP="004A14C9">
      <w:pPr>
        <w:pStyle w:val="OutlineNumbered1"/>
      </w:pPr>
      <w:r>
        <w:t xml:space="preserve">The removal of the implicit guarantee would likely result in the major Australian banks credit ratings bring revised downwards to a level that </w:t>
      </w:r>
      <w:r w:rsidR="007520FE">
        <w:t xml:space="preserve">more </w:t>
      </w:r>
      <w:r>
        <w:t>accurately reflects the risk of the institutions and</w:t>
      </w:r>
      <w:r w:rsidR="0027181A">
        <w:t xml:space="preserve"> — </w:t>
      </w:r>
      <w:r>
        <w:t>all else being equal</w:t>
      </w:r>
      <w:r w:rsidR="0027181A">
        <w:t xml:space="preserve"> — </w:t>
      </w:r>
      <w:r>
        <w:t xml:space="preserve">would increase </w:t>
      </w:r>
      <w:r w:rsidR="00E8775A">
        <w:t xml:space="preserve">Australia’s overall </w:t>
      </w:r>
      <w:r>
        <w:t xml:space="preserve">funding costs.  The increased funding costs </w:t>
      </w:r>
      <w:r w:rsidR="00E8775A">
        <w:t>are likely to</w:t>
      </w:r>
      <w:r>
        <w:t xml:space="preserve"> be passed onto borrowers.</w:t>
      </w:r>
    </w:p>
    <w:p w:rsidR="004A14C9" w:rsidRDefault="004A14C9" w:rsidP="004A14C9">
      <w:pPr>
        <w:pStyle w:val="OutlineNumbered1"/>
      </w:pPr>
      <w:r>
        <w:t xml:space="preserve">The credibility of a government’s commitment to </w:t>
      </w:r>
      <w:r w:rsidDel="00760C9E">
        <w:t>bail</w:t>
      </w:r>
      <w:r w:rsidR="00760C9E">
        <w:t>-</w:t>
      </w:r>
      <w:r>
        <w:t>in would be critical to its effectiveness in removing the pricing advantage brought about by the implicit guarantee.</w:t>
      </w:r>
    </w:p>
    <w:p w:rsidR="004A14C9" w:rsidRDefault="004A14C9" w:rsidP="004A14C9">
      <w:pPr>
        <w:pStyle w:val="OutlineNumbered1"/>
      </w:pPr>
      <w:r>
        <w:t xml:space="preserve">However government support for failing banks </w:t>
      </w:r>
      <w:r w:rsidR="00E8775A">
        <w:t>overseas</w:t>
      </w:r>
      <w:r>
        <w:t xml:space="preserve"> demonstrates how difficult it is for governments to not support a </w:t>
      </w:r>
      <w:r w:rsidR="00E8775A">
        <w:t>single</w:t>
      </w:r>
      <w:r w:rsidR="00C525FF">
        <w:t xml:space="preserve"> large, and/or highly interconnected,</w:t>
      </w:r>
      <w:r>
        <w:t xml:space="preserve"> failing bank</w:t>
      </w:r>
      <w:r w:rsidR="00E8775A">
        <w:t>, let alone in a more widespread financial distress situation</w:t>
      </w:r>
      <w:r>
        <w:t>.  During crises there is considerable pressure on government to minimise the losses to shareholders and bondholders to prevent a shock to the broader financial system and economy.</w:t>
      </w:r>
    </w:p>
    <w:p w:rsidR="00F71190" w:rsidRPr="00F71190" w:rsidRDefault="00F71190" w:rsidP="00F71190">
      <w:pPr>
        <w:pStyle w:val="OutlineNumbered1"/>
      </w:pPr>
      <w:r>
        <w:t>Responding to such pressure, despite having</w:t>
      </w:r>
      <w:r w:rsidR="00B93EB6">
        <w:t xml:space="preserve"> previously committed to a bail-</w:t>
      </w:r>
      <w:r>
        <w:t xml:space="preserve">in policy, would raise the overall cost to the broader Australian community from any subsequent bail out.  A bail-in policy would generate efficiency gains by ensuring that lenders rather than taxpayers met the cost arising from the failure of a bank to meet </w:t>
      </w:r>
      <w:r>
        <w:lastRenderedPageBreak/>
        <w:t xml:space="preserve">its obligations, though appropriately the lenders would be compensated </w:t>
      </w:r>
      <w:r w:rsidRPr="00F71190">
        <w:rPr>
          <w:i/>
        </w:rPr>
        <w:t>ex ante</w:t>
      </w:r>
      <w:r>
        <w:t xml:space="preserve"> for their higher level of risk.  However, any subsequent intervention by a government to take any materialised risk onto its own balance sheet to prevent a shock to the broader economy would involve a separate and additional cost for taxpayers. </w:t>
      </w:r>
    </w:p>
    <w:p w:rsidR="004A14C9" w:rsidRDefault="004A14C9" w:rsidP="00F71190">
      <w:pPr>
        <w:pStyle w:val="OutlineNumbered1"/>
      </w:pPr>
      <w:r>
        <w:t xml:space="preserve">Australia </w:t>
      </w:r>
      <w:r w:rsidR="00402FB1">
        <w:t>should</w:t>
      </w:r>
      <w:r w:rsidR="004C099D">
        <w:t xml:space="preserve"> consider its approach on this issue in light of international developments.</w:t>
      </w:r>
    </w:p>
    <w:p w:rsidR="004A14C9" w:rsidRPr="001B6081" w:rsidRDefault="004A14C9" w:rsidP="004A14C9">
      <w:pPr>
        <w:rPr>
          <w:i/>
        </w:rPr>
      </w:pPr>
      <w:r>
        <w:rPr>
          <w:i/>
        </w:rPr>
        <w:t>A</w:t>
      </w:r>
      <w:r w:rsidRPr="001B6081">
        <w:rPr>
          <w:i/>
        </w:rPr>
        <w:t>lternative options</w:t>
      </w:r>
    </w:p>
    <w:p w:rsidR="004A14C9" w:rsidRDefault="001A0391" w:rsidP="004A14C9">
      <w:pPr>
        <w:pStyle w:val="OutlineNumbered1"/>
      </w:pPr>
      <w:r>
        <w:t>Another option to</w:t>
      </w:r>
      <w:r w:rsidR="004A14C9">
        <w:t xml:space="preserve"> address the </w:t>
      </w:r>
      <w:r w:rsidR="00E333B5">
        <w:t xml:space="preserve">issue of </w:t>
      </w:r>
      <w:r w:rsidR="004A14C9">
        <w:t xml:space="preserve">too big to fail </w:t>
      </w:r>
      <w:r w:rsidR="00032B48">
        <w:t>is</w:t>
      </w:r>
      <w:r w:rsidR="004A14C9">
        <w:t xml:space="preserve"> to price the implicit guarantee through the imposition of a tax on the major banks.  This would reduce their funding cost advantage over their competitors.  </w:t>
      </w:r>
    </w:p>
    <w:p w:rsidR="004A14C9" w:rsidRDefault="004A14C9" w:rsidP="004A14C9">
      <w:pPr>
        <w:pStyle w:val="OutlineNumbered1"/>
      </w:pPr>
      <w:r>
        <w:t>A tax that removes the inefficiencies created by the implicit guarantee would require careful pricing to achieve the desired behavioural response from investors.  If the tax were set at an incorrect level, it risks creating new distortions.  For instance, it may over</w:t>
      </w:r>
      <w:r w:rsidR="00760C9E">
        <w:noBreakHyphen/>
      </w:r>
      <w:r>
        <w:t>correct and disadvantage the banking system relative to the outcome where no implicit guarantee exists.</w:t>
      </w:r>
    </w:p>
    <w:p w:rsidR="00E8775A" w:rsidRDefault="00E8775A" w:rsidP="004A14C9">
      <w:pPr>
        <w:pStyle w:val="OutlineNumbered1"/>
      </w:pPr>
      <w:r>
        <w:t xml:space="preserve">A tax would have the benefit of providing the Government with additional funds in the unlikely event that it was required to support a failing bank.  </w:t>
      </w:r>
    </w:p>
    <w:p w:rsidR="004A14C9" w:rsidRDefault="00901F4A" w:rsidP="004A14C9">
      <w:pPr>
        <w:pStyle w:val="OutlineNumbered1"/>
      </w:pPr>
      <w:r>
        <w:t>However</w:t>
      </w:r>
      <w:r w:rsidR="004A14C9">
        <w:t xml:space="preserve">, Australia would be choosing to introduce a regime that differs from the work of the Financial Stability Board at a time when G20 members are harmonising financial regulation to facilitate cross border capital flows while minimising the risk of regulatory arbitrage.  </w:t>
      </w:r>
    </w:p>
    <w:p w:rsidR="004A14C9" w:rsidRDefault="004A14C9" w:rsidP="004A14C9">
      <w:pPr>
        <w:pStyle w:val="OutlineNumbered1"/>
      </w:pPr>
      <w:r>
        <w:t>As the design of bail</w:t>
      </w:r>
      <w:r w:rsidR="00760C9E">
        <w:noBreakHyphen/>
      </w:r>
      <w:r>
        <w:t>in</w:t>
      </w:r>
      <w:r w:rsidR="00E8775A">
        <w:t>, including loss absorbency,</w:t>
      </w:r>
      <w:r>
        <w:t xml:space="preserve"> remains a work in progress, Australia </w:t>
      </w:r>
      <w:r w:rsidR="00A80015">
        <w:t xml:space="preserve">should not </w:t>
      </w:r>
      <w:r>
        <w:t>introduce an idiosyncratic policy response while the global regulatory architecture remains to be settled.</w:t>
      </w:r>
    </w:p>
    <w:p w:rsidR="004A14C9" w:rsidRDefault="004A14C9" w:rsidP="004A14C9">
      <w:pPr>
        <w:pStyle w:val="OutlineNumbered1"/>
      </w:pPr>
      <w:r>
        <w:t>Another alternative would be for the Australian government to seek to ‘level the playing field’ by offering an explicit guarantee to all banks, large and small.  However:</w:t>
      </w:r>
    </w:p>
    <w:p w:rsidR="004A14C9" w:rsidRPr="004A14C9" w:rsidRDefault="004A14C9" w:rsidP="004A14C9">
      <w:pPr>
        <w:pStyle w:val="Bullet"/>
      </w:pPr>
      <w:r>
        <w:t xml:space="preserve">this </w:t>
      </w:r>
      <w:r w:rsidRPr="004A14C9">
        <w:t xml:space="preserve">would simply introduce new distortions </w:t>
      </w:r>
      <w:r w:rsidR="0027181A">
        <w:t>—</w:t>
      </w:r>
      <w:r w:rsidRPr="004A14C9">
        <w:t xml:space="preserve"> such a guarantee would favour banks over non</w:t>
      </w:r>
      <w:r w:rsidRPr="004A14C9">
        <w:noBreakHyphen/>
        <w:t>bank channels of finance (such as corporate bonds);</w:t>
      </w:r>
    </w:p>
    <w:p w:rsidR="004A14C9" w:rsidRPr="004A14C9" w:rsidRDefault="004A14C9" w:rsidP="004A14C9">
      <w:pPr>
        <w:pStyle w:val="Bullet"/>
      </w:pPr>
      <w:r w:rsidRPr="004A14C9">
        <w:t>would need to be priced to reflect risk.  This is difficult to do in practice and may not benefit competition as some banks would inevitably pay a higher fee; and</w:t>
      </w:r>
    </w:p>
    <w:p w:rsidR="004A14C9" w:rsidRDefault="004A14C9" w:rsidP="004A14C9">
      <w:pPr>
        <w:pStyle w:val="Bullet"/>
      </w:pPr>
      <w:r w:rsidRPr="004A14C9">
        <w:t>would exacerbate the banking sector’s incentive to take risk by limiting their losses while</w:t>
      </w:r>
      <w:r>
        <w:t xml:space="preserve"> adding a large contingent liability to the government’s balance sheet.</w:t>
      </w:r>
    </w:p>
    <w:p w:rsidR="004A14C9" w:rsidRDefault="00F6322E" w:rsidP="004A14C9">
      <w:pPr>
        <w:pStyle w:val="Heading3"/>
      </w:pPr>
      <w:bookmarkStart w:id="396" w:name="_Toc381951956"/>
      <w:bookmarkStart w:id="397" w:name="_Toc382492819"/>
      <w:bookmarkStart w:id="398" w:name="_Toc382493610"/>
      <w:bookmarkStart w:id="399" w:name="_Toc382493789"/>
      <w:bookmarkStart w:id="400" w:name="_Toc382495809"/>
      <w:bookmarkStart w:id="401" w:name="_Toc382496695"/>
      <w:bookmarkStart w:id="402" w:name="_Toc383523981"/>
      <w:bookmarkStart w:id="403" w:name="_Toc383531517"/>
      <w:bookmarkStart w:id="404" w:name="_Toc383703298"/>
      <w:bookmarkStart w:id="405" w:name="_Toc383704182"/>
      <w:bookmarkStart w:id="406" w:name="_Toc383783850"/>
      <w:bookmarkStart w:id="407" w:name="_Toc383784654"/>
      <w:bookmarkStart w:id="408" w:name="_Toc384121510"/>
      <w:bookmarkStart w:id="409" w:name="_Toc384123736"/>
      <w:bookmarkStart w:id="410" w:name="_Toc384132422"/>
      <w:bookmarkStart w:id="411" w:name="_Toc384205180"/>
      <w:bookmarkStart w:id="412" w:name="_Toc384278516"/>
      <w:r>
        <w:lastRenderedPageBreak/>
        <w:t>Bank’s capital</w:t>
      </w:r>
      <w:r w:rsidR="004A14C9">
        <w:t xml:space="preserve"> requirements </w:t>
      </w:r>
      <w:bookmarkEnd w:id="393"/>
      <w:bookmarkEnd w:id="394"/>
      <w:bookmarkEnd w:id="395"/>
      <w:bookmarkEnd w:id="396"/>
      <w:bookmarkEnd w:id="397"/>
      <w:bookmarkEnd w:id="398"/>
      <w:bookmarkEnd w:id="399"/>
      <w:bookmarkEnd w:id="400"/>
      <w:bookmarkEnd w:id="401"/>
      <w:r w:rsidR="00B01036">
        <w:t>need to reflect risk</w:t>
      </w:r>
      <w:bookmarkEnd w:id="402"/>
      <w:bookmarkEnd w:id="403"/>
      <w:bookmarkEnd w:id="404"/>
      <w:bookmarkEnd w:id="405"/>
      <w:bookmarkEnd w:id="406"/>
      <w:bookmarkEnd w:id="407"/>
      <w:bookmarkEnd w:id="408"/>
      <w:bookmarkEnd w:id="409"/>
      <w:bookmarkEnd w:id="410"/>
      <w:bookmarkEnd w:id="411"/>
      <w:bookmarkEnd w:id="412"/>
    </w:p>
    <w:p w:rsidR="00B01036" w:rsidRDefault="00B01036" w:rsidP="004A14C9">
      <w:pPr>
        <w:pStyle w:val="OutlineNumbered1"/>
      </w:pPr>
      <w:r>
        <w:t xml:space="preserve">Bank’s hold capital to absorb losses.  To ensure that banks can continue to operate through period of stress, </w:t>
      </w:r>
      <w:r w:rsidR="00A7283E">
        <w:t xml:space="preserve">the level of capital that </w:t>
      </w:r>
      <w:r>
        <w:t xml:space="preserve">banks are required to hold </w:t>
      </w:r>
      <w:r w:rsidR="00A7283E">
        <w:t>varies with the riskiness of their assets.</w:t>
      </w:r>
      <w:r>
        <w:t xml:space="preserve">  </w:t>
      </w:r>
      <w:r w:rsidR="007C61D7">
        <w:t>Having</w:t>
      </w:r>
      <w:r w:rsidR="00733E4E">
        <w:t xml:space="preserve"> capital requirements </w:t>
      </w:r>
      <w:r w:rsidR="007C61D7">
        <w:t xml:space="preserve">that </w:t>
      </w:r>
      <w:r w:rsidR="00733E4E">
        <w:t>reflect risk is one of</w:t>
      </w:r>
      <w:r w:rsidR="004A14C9">
        <w:t xml:space="preserve"> the </w:t>
      </w:r>
      <w:r w:rsidR="00733E4E">
        <w:t>key aspects of Australia’s prudential</w:t>
      </w:r>
      <w:r w:rsidR="004A14C9">
        <w:t xml:space="preserve"> framework</w:t>
      </w:r>
      <w:r w:rsidR="00733E4E">
        <w:t>.</w:t>
      </w:r>
      <w:r>
        <w:t xml:space="preserve"> </w:t>
      </w:r>
    </w:p>
    <w:p w:rsidR="004A14C9" w:rsidRDefault="00B01036" w:rsidP="004A14C9">
      <w:pPr>
        <w:pStyle w:val="OutlineNumbered1"/>
      </w:pPr>
      <w:r>
        <w:t>There</w:t>
      </w:r>
      <w:r w:rsidR="004A14C9">
        <w:t xml:space="preserve"> are two approaches to calculating regulatory capital requirements</w:t>
      </w:r>
      <w:r w:rsidR="0027181A">
        <w:t xml:space="preserve"> — </w:t>
      </w:r>
      <w:r w:rsidR="004A14C9">
        <w:t xml:space="preserve">the standardised and internal ratings based approaches.  In Australia, the major banks </w:t>
      </w:r>
      <w:r w:rsidR="00374D59">
        <w:t>use</w:t>
      </w:r>
      <w:r w:rsidR="004A14C9">
        <w:t xml:space="preserve"> the internal ratings based approach while smaller lenders </w:t>
      </w:r>
      <w:r w:rsidR="00374D59">
        <w:t>currently</w:t>
      </w:r>
      <w:r w:rsidR="00796E15">
        <w:t xml:space="preserve"> </w:t>
      </w:r>
      <w:r w:rsidR="004A14C9">
        <w:t>use the standardised approach.</w:t>
      </w:r>
    </w:p>
    <w:p w:rsidR="004A14C9" w:rsidRDefault="004A14C9" w:rsidP="004A14C9">
      <w:pPr>
        <w:pStyle w:val="OutlineNumbered1"/>
      </w:pPr>
      <w:r>
        <w:t xml:space="preserve">Under both approaches, </w:t>
      </w:r>
      <w:r w:rsidR="00B01036">
        <w:t>bank’s</w:t>
      </w:r>
      <w:r>
        <w:t xml:space="preserve"> </w:t>
      </w:r>
      <w:r w:rsidR="00F7675B">
        <w:t xml:space="preserve">total </w:t>
      </w:r>
      <w:r w:rsidR="005C07A3">
        <w:t xml:space="preserve">minimum </w:t>
      </w:r>
      <w:r>
        <w:t>regulatory capital requirements are set as a fixed proportion of their risk weighted assets, which is the sum of assets owned by the bank multiplied by their respective risk weights.</w:t>
      </w:r>
    </w:p>
    <w:p w:rsidR="004A14C9" w:rsidRDefault="004A14C9" w:rsidP="004A14C9">
      <w:pPr>
        <w:pStyle w:val="OutlineNumbered1"/>
      </w:pPr>
      <w:r>
        <w:t xml:space="preserve">Riskier assets have higher risk weights, so additional capital must be held when a </w:t>
      </w:r>
      <w:r w:rsidR="009706E8">
        <w:t>bank</w:t>
      </w:r>
      <w:r>
        <w:t xml:space="preserve"> takes more risk.  For </w:t>
      </w:r>
      <w:r w:rsidR="00A80015">
        <w:t>example</w:t>
      </w:r>
      <w:r>
        <w:t>, under the standardised approach, a standard mortgage with a loan to value ratio under 60 per cent receives a risk weight of 35 per cent, while unsecured personal loans have a risk weight of 100 per cent.</w:t>
      </w:r>
    </w:p>
    <w:p w:rsidR="004A14C9" w:rsidRDefault="004A14C9" w:rsidP="004A14C9">
      <w:pPr>
        <w:pStyle w:val="OutlineNumbered1"/>
      </w:pPr>
      <w:r>
        <w:t xml:space="preserve">The difference between the standardised and internal ratings based </w:t>
      </w:r>
      <w:r w:rsidR="00C525FF">
        <w:t xml:space="preserve">approaches </w:t>
      </w:r>
      <w:r>
        <w:t>lies in the way these risk weights are determined:</w:t>
      </w:r>
    </w:p>
    <w:p w:rsidR="004A14C9" w:rsidRPr="004A14C9" w:rsidRDefault="004A14C9" w:rsidP="004A14C9">
      <w:pPr>
        <w:pStyle w:val="Bullet"/>
      </w:pPr>
      <w:r>
        <w:t xml:space="preserve">under </w:t>
      </w:r>
      <w:r w:rsidRPr="004A14C9">
        <w:t>the standardised approach the risk weights are set by APRA;</w:t>
      </w:r>
      <w:r w:rsidR="00B336C9">
        <w:t xml:space="preserve"> and</w:t>
      </w:r>
    </w:p>
    <w:p w:rsidR="004A14C9" w:rsidRDefault="004A14C9" w:rsidP="004A14C9">
      <w:pPr>
        <w:pStyle w:val="Bullet"/>
      </w:pPr>
      <w:r w:rsidRPr="004A14C9">
        <w:t>under t</w:t>
      </w:r>
      <w:r>
        <w:t xml:space="preserve">he internal ratings based approach risk weights are calculated by individual </w:t>
      </w:r>
      <w:r w:rsidR="009706E8">
        <w:t>banks</w:t>
      </w:r>
      <w:r>
        <w:t xml:space="preserve"> using their own internal credit assessment models</w:t>
      </w:r>
      <w:r w:rsidR="00BB0EAC">
        <w:t xml:space="preserve"> (which must be approved by APRA)</w:t>
      </w:r>
      <w:r>
        <w:t>.</w:t>
      </w:r>
    </w:p>
    <w:p w:rsidR="00386027" w:rsidRDefault="00386027" w:rsidP="00386027">
      <w:pPr>
        <w:pStyle w:val="OutlineNumbered1"/>
      </w:pPr>
      <w:r>
        <w:t>The internal ratings based approach results in risk weights that are more sensitive to risk.  Under the standardised approach, the risk weight on a mortgage does not vary by purpose, while under the internal ratings based approach, mortgages with different purposes (such as those to finance a business) may receive higher risk weights, reflecting their increased risk.</w:t>
      </w:r>
    </w:p>
    <w:p w:rsidR="004A14C9" w:rsidRDefault="004A14C9" w:rsidP="004A14C9">
      <w:pPr>
        <w:pStyle w:val="OutlineNumbered1"/>
      </w:pPr>
      <w:r>
        <w:t xml:space="preserve">In order to be eligible to use the internal ratings based approach </w:t>
      </w:r>
      <w:r w:rsidR="009706E8">
        <w:t>bank</w:t>
      </w:r>
      <w:r>
        <w:t xml:space="preserve">s must satisfy APRA that they have sufficiently robust internal risk management systems and data.  Achieving this level of sophistication requires significant investment by </w:t>
      </w:r>
      <w:r w:rsidR="009706E8">
        <w:t>a</w:t>
      </w:r>
      <w:r>
        <w:t xml:space="preserve"> </w:t>
      </w:r>
      <w:r w:rsidR="009706E8">
        <w:t>bank</w:t>
      </w:r>
      <w:r>
        <w:t>.</w:t>
      </w:r>
    </w:p>
    <w:p w:rsidR="004A14C9" w:rsidRDefault="00796E15" w:rsidP="004A14C9">
      <w:pPr>
        <w:pStyle w:val="OutlineNumbered1"/>
      </w:pPr>
      <w:r>
        <w:t>As banks u</w:t>
      </w:r>
      <w:r w:rsidR="00374D59">
        <w:t>sing</w:t>
      </w:r>
      <w:r>
        <w:t xml:space="preserve"> the </w:t>
      </w:r>
      <w:r w:rsidR="004A14C9">
        <w:t xml:space="preserve">internal ratings based approach </w:t>
      </w:r>
      <w:r>
        <w:t xml:space="preserve">tend to be larger and more diversified than banks utilising the standardised approach, the </w:t>
      </w:r>
      <w:r w:rsidR="004A14C9">
        <w:t xml:space="preserve">risk weights </w:t>
      </w:r>
      <w:r>
        <w:t>generated by the internal approach tend to be</w:t>
      </w:r>
      <w:r w:rsidR="004A14C9">
        <w:t xml:space="preserve"> lower than those set by APRA under the standardised approach.  This effectively lowers the funding costs of those </w:t>
      </w:r>
      <w:r w:rsidR="009706E8">
        <w:t>bank</w:t>
      </w:r>
      <w:r w:rsidR="004A14C9">
        <w:t xml:space="preserve">s using </w:t>
      </w:r>
      <w:r w:rsidR="004A14C9">
        <w:lastRenderedPageBreak/>
        <w:t xml:space="preserve">the internal ratings based approach, </w:t>
      </w:r>
      <w:r>
        <w:t xml:space="preserve">boosting their scale advantage and </w:t>
      </w:r>
      <w:r w:rsidR="004A14C9">
        <w:t xml:space="preserve">putting them at a competitive advantage over other </w:t>
      </w:r>
      <w:r w:rsidR="009706E8">
        <w:t>bank</w:t>
      </w:r>
      <w:r w:rsidR="004A14C9">
        <w:t>s.</w:t>
      </w:r>
    </w:p>
    <w:p w:rsidR="004A14C9" w:rsidRDefault="00796E15" w:rsidP="004A14C9">
      <w:pPr>
        <w:pStyle w:val="OutlineNumbered1"/>
      </w:pPr>
      <w:r>
        <w:t>W</w:t>
      </w:r>
      <w:r w:rsidR="004A14C9">
        <w:t xml:space="preserve">hile internal rating based </w:t>
      </w:r>
      <w:r w:rsidR="009706E8">
        <w:t>bank</w:t>
      </w:r>
      <w:r w:rsidR="004A14C9">
        <w:t>s may hold lower levels of capital for a given amount of assets, they are also subject to higher costs associated with the requirement to have more sophisticated risk management systems.</w:t>
      </w:r>
    </w:p>
    <w:p w:rsidR="00522C4F" w:rsidRDefault="00522C4F" w:rsidP="004A14C9">
      <w:pPr>
        <w:pStyle w:val="OutlineNumbered1"/>
      </w:pPr>
      <w:r>
        <w:t>The Inquiry should explore the extent to which the internal ratings based approach stifles competition in the banking sector by lowering the major bank’s capital requirements relative to banks using the standardised approach.  However, when forming this view, the Inquiry should note that:</w:t>
      </w:r>
    </w:p>
    <w:p w:rsidR="00796E15" w:rsidRDefault="00796E15" w:rsidP="009F5FD7">
      <w:pPr>
        <w:pStyle w:val="Bullet"/>
        <w:numPr>
          <w:ilvl w:val="0"/>
          <w:numId w:val="1"/>
        </w:numPr>
        <w:ind w:left="1134"/>
      </w:pPr>
      <w:r>
        <w:t>the internal ratings based approach results in capital requirements that better reflect risk, improving the allocation of capital;</w:t>
      </w:r>
    </w:p>
    <w:p w:rsidR="00796E15" w:rsidRDefault="00796E15" w:rsidP="009F5FD7">
      <w:pPr>
        <w:pStyle w:val="Bullet"/>
        <w:numPr>
          <w:ilvl w:val="0"/>
          <w:numId w:val="1"/>
        </w:numPr>
        <w:ind w:left="1134"/>
      </w:pPr>
      <w:r>
        <w:t xml:space="preserve">changing the risk weights in the standardised approach </w:t>
      </w:r>
      <w:r w:rsidR="001A0391">
        <w:t>c</w:t>
      </w:r>
      <w:r>
        <w:t xml:space="preserve">ould result in standardised banks no longer being compatible with global </w:t>
      </w:r>
      <w:r w:rsidR="00DB2928">
        <w:t>regulatory</w:t>
      </w:r>
      <w:r>
        <w:t xml:space="preserve"> standards, which </w:t>
      </w:r>
      <w:r w:rsidR="00374D59">
        <w:t>c</w:t>
      </w:r>
      <w:r>
        <w:t xml:space="preserve">ould impact their capacity to access global capital markets.  </w:t>
      </w:r>
      <w:r w:rsidR="00DB2928">
        <w:t>T</w:t>
      </w:r>
      <w:r>
        <w:t>his is unlikely to be an issue for small</w:t>
      </w:r>
      <w:r w:rsidR="00DB2928">
        <w:t>er</w:t>
      </w:r>
      <w:r>
        <w:t xml:space="preserve"> lender</w:t>
      </w:r>
      <w:r w:rsidR="00DB2928">
        <w:t>s who rely solely on domestic funding</w:t>
      </w:r>
      <w:r>
        <w:t>;</w:t>
      </w:r>
      <w:r w:rsidR="00DB2928">
        <w:t xml:space="preserve"> and</w:t>
      </w:r>
    </w:p>
    <w:p w:rsidR="0088797F" w:rsidRDefault="0088797F" w:rsidP="009F5FD7">
      <w:pPr>
        <w:pStyle w:val="Bullet"/>
        <w:numPr>
          <w:ilvl w:val="0"/>
          <w:numId w:val="1"/>
        </w:numPr>
        <w:ind w:left="1134"/>
      </w:pPr>
      <w:r>
        <w:t>the internal ratings based approach provides banks with a strong incentive to upgrade their risk management system</w:t>
      </w:r>
      <w:r w:rsidR="00823248">
        <w:t>s</w:t>
      </w:r>
      <w:r>
        <w:t>, which benefits financial stability.</w:t>
      </w:r>
    </w:p>
    <w:p w:rsidR="00B45CD6" w:rsidRDefault="00B45CD6">
      <w:pPr>
        <w:spacing w:after="0" w:line="240" w:lineRule="auto"/>
        <w:rPr>
          <w:rFonts w:ascii="Arial Bold" w:hAnsi="Arial Bold"/>
          <w:color w:val="000080"/>
          <w:sz w:val="48"/>
          <w:szCs w:val="48"/>
        </w:rPr>
      </w:pPr>
      <w:r>
        <w:br w:type="page"/>
      </w:r>
    </w:p>
    <w:p w:rsidR="0098133F" w:rsidRPr="00D2090B" w:rsidRDefault="0098133F" w:rsidP="0098133F">
      <w:pPr>
        <w:pStyle w:val="Heading2"/>
      </w:pPr>
      <w:bookmarkStart w:id="413" w:name="_Toc383081941"/>
      <w:bookmarkStart w:id="414" w:name="_Toc383703299"/>
      <w:bookmarkStart w:id="415" w:name="_Toc383704183"/>
      <w:bookmarkStart w:id="416" w:name="_Toc383783851"/>
      <w:bookmarkStart w:id="417" w:name="_Toc383784655"/>
      <w:bookmarkStart w:id="418" w:name="_Toc384121511"/>
      <w:bookmarkStart w:id="419" w:name="_Toc384123737"/>
      <w:bookmarkStart w:id="420" w:name="_Toc384132423"/>
      <w:bookmarkStart w:id="421" w:name="_Toc384205181"/>
      <w:bookmarkStart w:id="422" w:name="_Toc384278517"/>
      <w:bookmarkStart w:id="423" w:name="_Toc381951959"/>
      <w:bookmarkStart w:id="424" w:name="_Toc382492822"/>
      <w:bookmarkStart w:id="425" w:name="_Toc382493613"/>
      <w:bookmarkStart w:id="426" w:name="_Toc382493792"/>
      <w:bookmarkStart w:id="427" w:name="_Toc382495812"/>
      <w:bookmarkStart w:id="428" w:name="_Toc382496698"/>
      <w:bookmarkStart w:id="429" w:name="_Toc383523983"/>
      <w:bookmarkStart w:id="430" w:name="_Toc383531519"/>
      <w:bookmarkStart w:id="431" w:name="_Toc380408316"/>
      <w:r w:rsidRPr="00D2090B">
        <w:lastRenderedPageBreak/>
        <w:t>Superannuation</w:t>
      </w:r>
      <w:bookmarkEnd w:id="413"/>
      <w:bookmarkEnd w:id="414"/>
      <w:bookmarkEnd w:id="415"/>
      <w:bookmarkEnd w:id="416"/>
      <w:bookmarkEnd w:id="417"/>
      <w:bookmarkEnd w:id="418"/>
      <w:bookmarkEnd w:id="419"/>
      <w:bookmarkEnd w:id="420"/>
      <w:bookmarkEnd w:id="421"/>
      <w:bookmarkEnd w:id="422"/>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Default="00081A2A" w:rsidP="00081A2A">
            <w:pPr>
              <w:pStyle w:val="Heading3"/>
            </w:pPr>
            <w:bookmarkStart w:id="432" w:name="_Toc383783852"/>
            <w:bookmarkStart w:id="433" w:name="_Toc383784656"/>
            <w:bookmarkStart w:id="434" w:name="_Toc384121512"/>
            <w:bookmarkStart w:id="435" w:name="_Toc384123738"/>
            <w:bookmarkStart w:id="436" w:name="_Toc384132424"/>
            <w:bookmarkStart w:id="437" w:name="_Toc384205182"/>
            <w:bookmarkStart w:id="438" w:name="_Toc384278518"/>
            <w:bookmarkStart w:id="439" w:name="_Toc383081942"/>
            <w:bookmarkStart w:id="440" w:name="_Toc383703300"/>
            <w:bookmarkStart w:id="441" w:name="_Toc383704184"/>
            <w:r>
              <w:t>Key points</w:t>
            </w:r>
            <w:bookmarkEnd w:id="432"/>
            <w:bookmarkEnd w:id="433"/>
            <w:bookmarkEnd w:id="434"/>
            <w:bookmarkEnd w:id="435"/>
            <w:bookmarkEnd w:id="436"/>
            <w:bookmarkEnd w:id="437"/>
            <w:bookmarkEnd w:id="438"/>
          </w:p>
          <w:p w:rsidR="00081A2A" w:rsidRPr="001E6EFE" w:rsidRDefault="00081A2A" w:rsidP="00081A2A">
            <w:pPr>
              <w:pStyle w:val="OutlineNumbered1"/>
              <w:rPr>
                <w:rFonts w:eastAsiaTheme="minorHAnsi"/>
              </w:rPr>
            </w:pPr>
            <w:r w:rsidRPr="001E6EFE">
              <w:t xml:space="preserve">Superannuation is fundamental to Australia’s </w:t>
            </w:r>
            <w:r w:rsidR="007E54E6">
              <w:t xml:space="preserve">three tier </w:t>
            </w:r>
            <w:r w:rsidRPr="001E6EFE">
              <w:t xml:space="preserve">retirement income </w:t>
            </w:r>
            <w:r w:rsidR="00E916BC">
              <w:t>system</w:t>
            </w:r>
            <w:r w:rsidR="007E54E6">
              <w:t xml:space="preserve"> which comprises a pension safety net, compulsory superannuation and incentives for additional voluntary saving</w:t>
            </w:r>
            <w:r w:rsidRPr="001E6EFE">
              <w:t xml:space="preserve">.  An important issue before the Financial System Inquiry is the capacity of the superannuation </w:t>
            </w:r>
            <w:r w:rsidR="00C53673">
              <w:t>sector</w:t>
            </w:r>
            <w:r w:rsidRPr="001E6EFE">
              <w:t xml:space="preserve">—in conjunction with or in competition to the insurance </w:t>
            </w:r>
            <w:r w:rsidR="00C53673">
              <w:t>sector</w:t>
            </w:r>
            <w:r w:rsidRPr="001E6EFE">
              <w:t>—to meet the needs of Australians in retirement.</w:t>
            </w:r>
          </w:p>
          <w:p w:rsidR="00081A2A" w:rsidRPr="001E6EFE" w:rsidRDefault="00081A2A" w:rsidP="00081A2A">
            <w:pPr>
              <w:pStyle w:val="OutlineNumbered1"/>
            </w:pPr>
            <w:r w:rsidRPr="001E6EFE">
              <w:t xml:space="preserve">Superannuation policy has substantially boosted the size of funds managed by the superannuation sector and changed the flow of funds through Australia’s financial system.  This is the direct result of policies designed to address biases against long term savings: compulsory contributions under the Superannuation Guarantee and tax concessions that mean that superannuation is the most lightly taxed form of savings.  The Taxation White Paper </w:t>
            </w:r>
            <w:r w:rsidR="00F84220">
              <w:t>provides an opportunity to consider</w:t>
            </w:r>
            <w:r w:rsidRPr="001E6EFE">
              <w:t xml:space="preserve"> the extent to which these arrangements (and the </w:t>
            </w:r>
            <w:r w:rsidR="00C25FEC">
              <w:t>A</w:t>
            </w:r>
            <w:r w:rsidRPr="001E6EFE">
              <w:t xml:space="preserve">ge </w:t>
            </w:r>
            <w:r w:rsidR="00C25FEC">
              <w:t>P</w:t>
            </w:r>
            <w:r w:rsidRPr="001E6EFE">
              <w:t>ension) generate adequate retirement incomes as the sector matures.</w:t>
            </w:r>
          </w:p>
          <w:p w:rsidR="00081A2A" w:rsidRPr="001E6EFE" w:rsidRDefault="00081A2A" w:rsidP="00081A2A">
            <w:pPr>
              <w:pStyle w:val="OutlineNumbered1"/>
            </w:pPr>
            <w:r w:rsidRPr="001E6EFE">
              <w:t>The focus for the Financial System Inquiry should be on the efficiency of the superannuation sector in managing the funds generated by those policy settings.  The size and centrality of the superannuation sector within Australia’s financial system—and the ageing of Australia’s population—mean that the allocative, technical and dynamic efficiency of the superannuation sector</w:t>
            </w:r>
            <w:r w:rsidR="00446ED3">
              <w:t xml:space="preserve"> are</w:t>
            </w:r>
            <w:r w:rsidRPr="001E6EFE">
              <w:t xml:space="preserve"> central to the work of the Inquiry. </w:t>
            </w:r>
          </w:p>
          <w:p w:rsidR="00081A2A" w:rsidRPr="001E6EFE" w:rsidRDefault="00081A2A" w:rsidP="00081A2A">
            <w:pPr>
              <w:pStyle w:val="OutlineNumbered1"/>
            </w:pPr>
            <w:r w:rsidRPr="001E6EFE">
              <w:t xml:space="preserve">Assessing the allocative efficiency of the superannuation sector is a difficult task given the variety of preferences of individual members and the complexity of the </w:t>
            </w:r>
            <w:r w:rsidR="007E54E6">
              <w:t>taxation and regulatory arrangements</w:t>
            </w:r>
            <w:r w:rsidRPr="001E6EFE">
              <w:t xml:space="preserve"> affecting the asset allocation decisions of funds.  The allocative efficiency of </w:t>
            </w:r>
            <w:r w:rsidR="00446ED3">
              <w:t>the sector cannot be assessed by</w:t>
            </w:r>
            <w:r w:rsidRPr="001E6EFE">
              <w:t xml:space="preserve"> a single metric such as the proportion of funds invested in equities.  </w:t>
            </w:r>
          </w:p>
          <w:p w:rsidR="00081A2A" w:rsidRPr="001E6EFE" w:rsidRDefault="00081A2A" w:rsidP="00081A2A">
            <w:pPr>
              <w:pStyle w:val="OutlineNumbered1"/>
            </w:pPr>
            <w:r w:rsidRPr="001E6EFE">
              <w:t>One approach to assessing the efficiency of asset allocations within the sector would be to review the structure of the sector and assess whether there are any barriers or impediments to an efficient allocation of capital. </w:t>
            </w:r>
            <w:r w:rsidR="007E2AB6">
              <w:t xml:space="preserve"> </w:t>
            </w:r>
            <w:r w:rsidR="007E54E6">
              <w:t>Superannuation trustees allocate funds within a highly contested investment market.</w:t>
            </w:r>
            <w:r w:rsidRPr="001E6EFE">
              <w:t xml:space="preserve"> </w:t>
            </w:r>
          </w:p>
          <w:p w:rsidR="00081A2A" w:rsidRPr="001E6EFE" w:rsidRDefault="00081A2A" w:rsidP="00081A2A">
            <w:pPr>
              <w:pStyle w:val="OutlineNumbered1"/>
            </w:pPr>
            <w:r w:rsidRPr="001E6EFE">
              <w:t xml:space="preserve">In the absence of any barriers or impediments to their efficient allocation of capital, it is important that trustees should continue to </w:t>
            </w:r>
            <w:r w:rsidR="007E54E6">
              <w:t>act in the best interest of their members</w:t>
            </w:r>
            <w:r w:rsidRPr="001E6EFE">
              <w:t xml:space="preserve"> rather than any perceived ‘national interest’.</w:t>
            </w:r>
          </w:p>
          <w:p w:rsidR="00081A2A" w:rsidRPr="001E6EFE" w:rsidRDefault="007E54E6" w:rsidP="00081A2A">
            <w:pPr>
              <w:pStyle w:val="OutlineNumbered1"/>
            </w:pPr>
            <w:r>
              <w:t>T</w:t>
            </w:r>
            <w:r w:rsidR="00081A2A" w:rsidRPr="001E6EFE">
              <w:t>he relatively high cost of Australia’s superannuation sector suggests there is scope for the sector to continue to improve its technical efficiency</w:t>
            </w:r>
            <w:r>
              <w:t xml:space="preserve"> </w:t>
            </w:r>
            <w:r w:rsidR="00081A2A" w:rsidRPr="001E6EFE">
              <w:t>—</w:t>
            </w:r>
            <w:r>
              <w:t xml:space="preserve"> </w:t>
            </w:r>
            <w:r w:rsidR="00081A2A" w:rsidRPr="001E6EFE">
              <w:t xml:space="preserve">reducing the use of </w:t>
            </w:r>
            <w:r w:rsidR="00081A2A" w:rsidRPr="001E6EFE">
              <w:lastRenderedPageBreak/>
              <w:t>resources internal to the sector</w:t>
            </w:r>
            <w:r>
              <w:t xml:space="preserve"> </w:t>
            </w:r>
            <w:r w:rsidRPr="001E6EFE">
              <w:t>—</w:t>
            </w:r>
            <w:r>
              <w:t xml:space="preserve"> to</w:t>
            </w:r>
            <w:r w:rsidR="00081A2A" w:rsidRPr="001E6EFE">
              <w:t xml:space="preserve"> plac</w:t>
            </w:r>
            <w:r>
              <w:t>e</w:t>
            </w:r>
            <w:r w:rsidR="00081A2A" w:rsidRPr="001E6EFE">
              <w:t xml:space="preserve"> downward pressure on fees.  Recent policy reforms, when fully implemented, combined with the continued expansion of choice </w:t>
            </w:r>
            <w:r w:rsidR="00C25FEC">
              <w:t xml:space="preserve">and higher levels of competition </w:t>
            </w:r>
            <w:r w:rsidR="00081A2A" w:rsidRPr="001E6EFE">
              <w:t xml:space="preserve">within the </w:t>
            </w:r>
            <w:r w:rsidR="00C53673">
              <w:t>sector</w:t>
            </w:r>
            <w:r w:rsidR="00081A2A" w:rsidRPr="001E6EFE">
              <w:t xml:space="preserve"> </w:t>
            </w:r>
            <w:r>
              <w:t>should</w:t>
            </w:r>
            <w:r w:rsidRPr="001E6EFE">
              <w:t xml:space="preserve"> </w:t>
            </w:r>
            <w:r w:rsidR="00081A2A" w:rsidRPr="001E6EFE">
              <w:t xml:space="preserve">drive improved efficiency across the sector.  </w:t>
            </w:r>
          </w:p>
          <w:p w:rsidR="00081A2A" w:rsidRPr="001E6EFE" w:rsidRDefault="00081A2A" w:rsidP="00081A2A">
            <w:pPr>
              <w:pStyle w:val="OutlineNumbered1"/>
            </w:pPr>
            <w:r w:rsidRPr="001E6EFE">
              <w:t xml:space="preserve">The recent policy reforms were designed to provide </w:t>
            </w:r>
            <w:r w:rsidR="007E54E6">
              <w:t>c</w:t>
            </w:r>
            <w:r w:rsidR="00F00266">
              <w:t>ost</w:t>
            </w:r>
            <w:r w:rsidR="00446ED3">
              <w:t xml:space="preserve"> </w:t>
            </w:r>
            <w:r w:rsidR="007E54E6">
              <w:t>effective</w:t>
            </w:r>
            <w:r w:rsidRPr="001E6EFE">
              <w:t xml:space="preserve"> superannuation arrangements for those members with limited engagement with their retirement income arrangements, while allowing more active individuals to manage their own arrangements.  However, many of these reforms have focussed on the accumulation phase, and it would be timely for the Financial System Inquiry to review the </w:t>
            </w:r>
            <w:r w:rsidR="00E97A3D">
              <w:t xml:space="preserve">availability and </w:t>
            </w:r>
            <w:r w:rsidRPr="001E6EFE">
              <w:t>adequacy of options for the retirement phase</w:t>
            </w:r>
            <w:r w:rsidR="007E54E6">
              <w:t xml:space="preserve"> (in conjunction with the Government’s upcoming review of regulatory barriers restricting the development of income stream products)</w:t>
            </w:r>
            <w:r w:rsidRPr="001E6EFE">
              <w:t>.</w:t>
            </w:r>
          </w:p>
          <w:p w:rsidR="00081A2A" w:rsidRPr="001E6EFE" w:rsidRDefault="00081A2A" w:rsidP="00081A2A">
            <w:pPr>
              <w:pStyle w:val="OutlineNumbered1"/>
            </w:pPr>
            <w:r w:rsidRPr="001E6EFE">
              <w:t xml:space="preserve">Australia’s superannuation sector needs to continue to improve its dynamic efficiency—its ability to innovate and provide products and services valued by consumers, particularly in response to the expanding needs of Australians in retirement.  The superannuation sector is focussed on supporting saving through the accumulation phase, but neither it nor the insurance sector has </w:t>
            </w:r>
            <w:r w:rsidR="007E54E6">
              <w:t xml:space="preserve">sufficiently </w:t>
            </w:r>
            <w:r w:rsidRPr="001E6EFE">
              <w:t xml:space="preserve">developed the range of products necessary for individuals to manage their financial affairs through retirement.  </w:t>
            </w:r>
          </w:p>
          <w:p w:rsidR="009C76B9" w:rsidRDefault="00081A2A" w:rsidP="009C76B9">
            <w:pPr>
              <w:pStyle w:val="OutlineNumbered1"/>
            </w:pPr>
            <w:r w:rsidRPr="001E6EFE">
              <w:t xml:space="preserve">The Financial System Inquiry should review the availability of alternative retirement income products, the range of products that balance risk transfer and affordability and identify any industry, </w:t>
            </w:r>
            <w:r w:rsidR="007E54E6">
              <w:t xml:space="preserve">taxation or </w:t>
            </w:r>
            <w:r w:rsidRPr="001E6EFE">
              <w:t>regulatory impediments to developing cost</w:t>
            </w:r>
            <w:r w:rsidR="00ED5628">
              <w:noBreakHyphen/>
            </w:r>
            <w:r w:rsidRPr="001E6EFE">
              <w:t>effective products that enable individuals to manage longevity risk, taking into account the proposed Government review of regulatory barriers currently restricting the availability of income stream products.</w:t>
            </w:r>
            <w:r w:rsidR="009C76B9">
              <w:t xml:space="preserve">  </w:t>
            </w:r>
            <w:r w:rsidR="009C76B9" w:rsidRPr="00603FE4">
              <w:t>The Inquiry should also consider the appropriate role for public policy, if any, in managing the systemic element of longevity risk that cannot be diversified across individuals</w:t>
            </w:r>
            <w:r w:rsidR="009C76B9">
              <w:t xml:space="preserve"> in the same age cohort</w:t>
            </w:r>
            <w:r w:rsidR="009C76B9" w:rsidRPr="00603FE4">
              <w:t>.</w:t>
            </w:r>
          </w:p>
          <w:p w:rsidR="00081A2A" w:rsidRDefault="00081A2A" w:rsidP="00151D61">
            <w:pPr>
              <w:pStyle w:val="OutlineNumbered1"/>
            </w:pPr>
            <w:r w:rsidRPr="001E6EFE">
              <w:t>Self-managed superannuation funds allow individuals greater choice and control in managing their own retirement income arrangements, and the growth in self</w:t>
            </w:r>
            <w:r w:rsidRPr="001E6EFE">
              <w:noBreakHyphen/>
              <w:t>managed superannuation funds provides competition to the APRA</w:t>
            </w:r>
            <w:r w:rsidR="00DE78D3">
              <w:t>-</w:t>
            </w:r>
            <w:r w:rsidRPr="001E6EFE">
              <w:t xml:space="preserve">regulated funds that will further drive technical and dynamic efficiency gains in the sector.  </w:t>
            </w:r>
            <w:r w:rsidR="00AB52A4">
              <w:t>S</w:t>
            </w:r>
            <w:r w:rsidRPr="001E6EFE">
              <w:t>elf</w:t>
            </w:r>
            <w:r w:rsidR="00AB52A4">
              <w:noBreakHyphen/>
            </w:r>
            <w:r w:rsidRPr="001E6EFE">
              <w:t xml:space="preserve">managed superannuation funds involve no financial promise and are not prudentially regulated.  </w:t>
            </w:r>
            <w:r w:rsidR="00151D61">
              <w:t>As such,</w:t>
            </w:r>
            <w:r w:rsidR="00151D61" w:rsidRPr="001E6EFE">
              <w:t xml:space="preserve"> </w:t>
            </w:r>
            <w:r w:rsidRPr="001E6EFE">
              <w:t>they are appropriately subject to a light touch compliance regime administered by the Australian Taxation Office.  This approach should be maintained.</w:t>
            </w:r>
          </w:p>
        </w:tc>
      </w:tr>
    </w:tbl>
    <w:p w:rsidR="00081A2A" w:rsidRDefault="00081A2A" w:rsidP="00081A2A"/>
    <w:bookmarkEnd w:id="439"/>
    <w:bookmarkEnd w:id="440"/>
    <w:bookmarkEnd w:id="441"/>
    <w:p w:rsidR="0098133F" w:rsidRDefault="0098133F" w:rsidP="00081A2A">
      <w:pPr>
        <w:pStyle w:val="OutlineNumbered1"/>
        <w:numPr>
          <w:ilvl w:val="0"/>
          <w:numId w:val="0"/>
        </w:numPr>
        <w:ind w:left="567" w:hanging="567"/>
      </w:pPr>
    </w:p>
    <w:p w:rsidR="0098133F" w:rsidRDefault="0098133F" w:rsidP="0098133F">
      <w:pPr>
        <w:spacing w:after="0" w:line="240" w:lineRule="auto"/>
        <w:rPr>
          <w:b/>
          <w:color w:val="000080"/>
          <w:sz w:val="36"/>
          <w:szCs w:val="36"/>
        </w:rPr>
      </w:pPr>
    </w:p>
    <w:p w:rsidR="0098133F" w:rsidRPr="00A74F03" w:rsidRDefault="0098133F" w:rsidP="00446ED3">
      <w:pPr>
        <w:pStyle w:val="Heading3"/>
        <w:tabs>
          <w:tab w:val="left" w:pos="3261"/>
        </w:tabs>
      </w:pPr>
      <w:bookmarkStart w:id="442" w:name="_Toc383703301"/>
      <w:bookmarkStart w:id="443" w:name="_Toc383704185"/>
      <w:bookmarkStart w:id="444" w:name="_Toc383783853"/>
      <w:bookmarkStart w:id="445" w:name="_Toc383784657"/>
      <w:bookmarkStart w:id="446" w:name="_Toc384121513"/>
      <w:bookmarkStart w:id="447" w:name="_Toc384123739"/>
      <w:bookmarkStart w:id="448" w:name="_Toc384132425"/>
      <w:bookmarkStart w:id="449" w:name="_Toc384205183"/>
      <w:bookmarkStart w:id="450" w:name="_Toc384278519"/>
      <w:r>
        <w:t>Superannuation is fundamental to Australia’s retirement income policy</w:t>
      </w:r>
      <w:bookmarkEnd w:id="442"/>
      <w:bookmarkEnd w:id="443"/>
      <w:bookmarkEnd w:id="444"/>
      <w:bookmarkEnd w:id="445"/>
      <w:bookmarkEnd w:id="446"/>
      <w:bookmarkEnd w:id="447"/>
      <w:bookmarkEnd w:id="448"/>
      <w:bookmarkEnd w:id="449"/>
      <w:bookmarkEnd w:id="450"/>
    </w:p>
    <w:p w:rsidR="0098133F" w:rsidRDefault="0098133F" w:rsidP="0098133F">
      <w:pPr>
        <w:pStyle w:val="OutlineNumbered1"/>
        <w:rPr>
          <w:rFonts w:eastAsiaTheme="minorHAnsi"/>
        </w:rPr>
      </w:pPr>
      <w:r>
        <w:t xml:space="preserve">Superannuation, both the compulsory contribution element and </w:t>
      </w:r>
      <w:r w:rsidR="005402EF">
        <w:t>concessional taxation</w:t>
      </w:r>
      <w:r>
        <w:t xml:space="preserve">, is fundamental to Australia’s retirement income policy. </w:t>
      </w:r>
      <w:r w:rsidR="00090F07">
        <w:t xml:space="preserve"> </w:t>
      </w:r>
      <w:r>
        <w:t xml:space="preserve">An important issue before the Financial System Inquiry is the capacity of the superannuation </w:t>
      </w:r>
      <w:r w:rsidR="00C53673">
        <w:t>sector</w:t>
      </w:r>
      <w:r>
        <w:t xml:space="preserve">—in conjunction with or in competition to the insurance </w:t>
      </w:r>
      <w:r w:rsidR="00C53673">
        <w:t>sector</w:t>
      </w:r>
      <w:r>
        <w:t>—to meet the needs of Australians in retirement.</w:t>
      </w:r>
    </w:p>
    <w:p w:rsidR="0098133F" w:rsidRPr="00C27F9F" w:rsidRDefault="0098133F" w:rsidP="0098133F">
      <w:pPr>
        <w:pStyle w:val="OutlineNumbered1"/>
      </w:pPr>
      <w:r>
        <w:t xml:space="preserve">Superannuation </w:t>
      </w:r>
      <w:r w:rsidR="00446ED3">
        <w:t>contributes to</w:t>
      </w:r>
      <w:r>
        <w:t xml:space="preserve"> two of the three</w:t>
      </w:r>
      <w:r w:rsidR="0057311B">
        <w:t xml:space="preserve"> </w:t>
      </w:r>
      <w:r>
        <w:t xml:space="preserve">elements in Australia’s provision of retirement incomes, with the three elements being: </w:t>
      </w:r>
    </w:p>
    <w:p w:rsidR="0098133F" w:rsidRPr="00C27F9F" w:rsidRDefault="0098133F" w:rsidP="009F5FD7">
      <w:pPr>
        <w:pStyle w:val="Bullet"/>
        <w:numPr>
          <w:ilvl w:val="0"/>
          <w:numId w:val="6"/>
        </w:numPr>
        <w:ind w:right="0"/>
        <w:rPr>
          <w:b/>
          <w:szCs w:val="24"/>
        </w:rPr>
      </w:pPr>
      <w:r w:rsidRPr="00C27F9F">
        <w:rPr>
          <w:szCs w:val="24"/>
        </w:rPr>
        <w:t>the means</w:t>
      </w:r>
      <w:r>
        <w:rPr>
          <w:szCs w:val="24"/>
        </w:rPr>
        <w:t>-</w:t>
      </w:r>
      <w:r w:rsidRPr="00C27F9F">
        <w:rPr>
          <w:szCs w:val="24"/>
        </w:rPr>
        <w:t>tested and publicly funded Age Pension</w:t>
      </w:r>
      <w:r w:rsidR="005402EF">
        <w:rPr>
          <w:szCs w:val="24"/>
        </w:rPr>
        <w:t>;</w:t>
      </w:r>
    </w:p>
    <w:p w:rsidR="0098133F" w:rsidRPr="00C27F9F" w:rsidRDefault="0098133F" w:rsidP="009F5FD7">
      <w:pPr>
        <w:pStyle w:val="Bullet"/>
        <w:numPr>
          <w:ilvl w:val="0"/>
          <w:numId w:val="6"/>
        </w:numPr>
        <w:ind w:right="0"/>
        <w:rPr>
          <w:b/>
          <w:szCs w:val="24"/>
        </w:rPr>
      </w:pPr>
      <w:r w:rsidRPr="00C27F9F">
        <w:rPr>
          <w:szCs w:val="24"/>
        </w:rPr>
        <w:t>compulsory private savings through the Superannuation Guarantee arrangements</w:t>
      </w:r>
      <w:r w:rsidR="005402EF">
        <w:rPr>
          <w:szCs w:val="24"/>
        </w:rPr>
        <w:t>; and</w:t>
      </w:r>
    </w:p>
    <w:p w:rsidR="0098133F" w:rsidRPr="00C27F9F" w:rsidRDefault="0098133F" w:rsidP="009F5FD7">
      <w:pPr>
        <w:pStyle w:val="Bullet"/>
        <w:numPr>
          <w:ilvl w:val="0"/>
          <w:numId w:val="6"/>
        </w:numPr>
        <w:ind w:right="0"/>
        <w:rPr>
          <w:b/>
        </w:rPr>
      </w:pPr>
      <w:r>
        <w:rPr>
          <w:szCs w:val="24"/>
        </w:rPr>
        <w:t xml:space="preserve">incentives for </w:t>
      </w:r>
      <w:r w:rsidRPr="00C27F9F">
        <w:rPr>
          <w:szCs w:val="24"/>
        </w:rPr>
        <w:t xml:space="preserve">voluntary </w:t>
      </w:r>
      <w:r>
        <w:t>savings</w:t>
      </w:r>
      <w:r w:rsidRPr="00C27F9F">
        <w:t>.</w:t>
      </w:r>
    </w:p>
    <w:p w:rsidR="0098133F" w:rsidRPr="008E5652" w:rsidRDefault="0098133F" w:rsidP="0098133F">
      <w:pPr>
        <w:pStyle w:val="OutlineNumbered1"/>
      </w:pPr>
      <w:r>
        <w:t xml:space="preserve">The compulsory contribution and tax concession elements of superannuation are deliberate policy decisions taken to address biases against long-term savings within the Australian economy. </w:t>
      </w:r>
      <w:r w:rsidR="00C60954">
        <w:t xml:space="preserve"> </w:t>
      </w:r>
      <w:r>
        <w:t xml:space="preserve">Correcting these biases needs to be balanced against the creation of other potential distortions for the flow of funds through the financial system. </w:t>
      </w:r>
    </w:p>
    <w:p w:rsidR="0098133F" w:rsidRPr="001328A8" w:rsidRDefault="0098133F" w:rsidP="0098133F">
      <w:pPr>
        <w:pStyle w:val="OutlineNumbered1"/>
        <w:rPr>
          <w:lang w:val="en"/>
        </w:rPr>
      </w:pPr>
      <w:r>
        <w:t>Compulsory contributions to superannuation</w:t>
      </w:r>
      <w:r w:rsidRPr="009E549F">
        <w:t xml:space="preserve"> </w:t>
      </w:r>
      <w:r w:rsidR="00A83C6A">
        <w:t>are</w:t>
      </w:r>
      <w:r w:rsidRPr="009E549F">
        <w:t xml:space="preserve"> </w:t>
      </w:r>
      <w:r>
        <w:t xml:space="preserve">intended </w:t>
      </w:r>
      <w:r w:rsidRPr="009E549F">
        <w:t xml:space="preserve">to address </w:t>
      </w:r>
      <w:r>
        <w:t>under-saving by individuals d</w:t>
      </w:r>
      <w:r w:rsidR="00446ED3">
        <w:t>ue to myopia</w:t>
      </w:r>
      <w:r>
        <w:t>—</w:t>
      </w:r>
      <w:r w:rsidRPr="009E549F">
        <w:t>people not saving adequately for retirement beca</w:t>
      </w:r>
      <w:r>
        <w:t>use it is too far into their future.</w:t>
      </w:r>
      <w:r w:rsidR="00087DA0">
        <w:rPr>
          <w:rStyle w:val="FootnoteReference"/>
        </w:rPr>
        <w:footnoteReference w:id="49"/>
      </w:r>
      <w:r>
        <w:t xml:space="preserve">  The notion of mandated savings for retirement has been common throughout the developed world for many decades. </w:t>
      </w:r>
      <w:r w:rsidR="00C60954">
        <w:t xml:space="preserve"> </w:t>
      </w:r>
      <w:r>
        <w:t xml:space="preserve">However, in more recent times an alternative to compulsion to address long-term under-saving has been adopted in the United Kingdom and New Zealand, namely, automatic enrolment in superannuation but with the ability to opt out.  </w:t>
      </w:r>
    </w:p>
    <w:p w:rsidR="0098133F" w:rsidRDefault="0098133F" w:rsidP="0098133F">
      <w:pPr>
        <w:pStyle w:val="OutlineNumbered1"/>
      </w:pPr>
      <w:r>
        <w:t xml:space="preserve">The concessional taxation of superannuation is also intended to address the bias in the current taxation system against long-term saving.  The </w:t>
      </w:r>
      <w:r w:rsidR="005402EF">
        <w:t>2009</w:t>
      </w:r>
      <w:r>
        <w:t xml:space="preserve"> Australia’s Future Tax System Review </w:t>
      </w:r>
      <w:r w:rsidR="005402EF">
        <w:t>(AFTS Review)</w:t>
      </w:r>
      <w:r>
        <w:t xml:space="preserve"> noted that the effective tax rate on earnings from savings increases the longer an asset is held.  As superannuation saving is generally </w:t>
      </w:r>
      <w:r>
        <w:lastRenderedPageBreak/>
        <w:t>held for a longer time than other forms of savings, more favourable tax treatment is justified</w:t>
      </w:r>
      <w:r w:rsidR="00C60954">
        <w:t>.</w:t>
      </w:r>
      <w:r>
        <w:rPr>
          <w:rStyle w:val="FootnoteReference"/>
        </w:rPr>
        <w:footnoteReference w:id="50"/>
      </w:r>
      <w:r>
        <w:t xml:space="preserve">  </w:t>
      </w:r>
    </w:p>
    <w:p w:rsidR="0098133F" w:rsidRDefault="0098133F" w:rsidP="0098133F">
      <w:pPr>
        <w:pStyle w:val="OutlineNumbered1"/>
      </w:pPr>
      <w:r>
        <w:t>Taxing superannuation at concessional rates also seeks to treat income as if it had been spread over an individual’s entire life rather than just their working life.  As a person's retirement income is generally lower than their income while working</w:t>
      </w:r>
      <w:r w:rsidR="00E916BC">
        <w:t>,</w:t>
      </w:r>
      <w:r>
        <w:t xml:space="preserve"> a lower rate of tax on retirement income is justified.  </w:t>
      </w:r>
    </w:p>
    <w:p w:rsidR="0098133F" w:rsidRDefault="0098133F" w:rsidP="0098133F">
      <w:pPr>
        <w:pStyle w:val="OutlineNumbered1"/>
        <w:widowControl w:val="0"/>
      </w:pPr>
      <w:r>
        <w:t xml:space="preserve">The </w:t>
      </w:r>
      <w:r w:rsidR="005402EF">
        <w:t>concessional</w:t>
      </w:r>
      <w:r>
        <w:t xml:space="preserve"> taxation of superannuation flows </w:t>
      </w:r>
      <w:r w:rsidR="00446ED3">
        <w:t>is unusual in contrast to other savings vehicles because the effective marginal tax rate is lowest for those on the highest marginal income tax rate</w:t>
      </w:r>
      <w:r w:rsidR="00DF0E06">
        <w:t xml:space="preserve"> (see </w:t>
      </w:r>
      <w:r w:rsidR="00967350">
        <w:fldChar w:fldCharType="begin"/>
      </w:r>
      <w:r w:rsidR="00967350">
        <w:instrText xml:space="preserve"> REF _Ref383719672 \h </w:instrText>
      </w:r>
      <w:r w:rsidR="00967350">
        <w:fldChar w:fldCharType="separate"/>
      </w:r>
      <w:r w:rsidR="0050148E" w:rsidRPr="00967350">
        <w:t xml:space="preserve">Chart </w:t>
      </w:r>
      <w:r w:rsidR="0050148E">
        <w:rPr>
          <w:noProof/>
        </w:rPr>
        <w:t>2</w:t>
      </w:r>
      <w:r w:rsidR="00967350">
        <w:fldChar w:fldCharType="end"/>
      </w:r>
      <w:r w:rsidR="00446ED3">
        <w:t xml:space="preserve">).  The concessional taxation </w:t>
      </w:r>
      <w:r w:rsidR="00622769">
        <w:t xml:space="preserve">treatment </w:t>
      </w:r>
      <w:r w:rsidR="00DF0E06">
        <w:t>has</w:t>
      </w:r>
      <w:r>
        <w:t xml:space="preserve"> supported strong growth in the superannuation sector.  In 2010-11, voluntary contributions comprised </w:t>
      </w:r>
      <w:r w:rsidR="008A008F">
        <w:t>around 6</w:t>
      </w:r>
      <w:r>
        <w:t>0 per cent of total superannuation contributions, with the remainder due to Superannuation Guarantee contributions</w:t>
      </w:r>
      <w:r w:rsidR="001E6EFE">
        <w:t>.</w:t>
      </w:r>
      <w:r>
        <w:rPr>
          <w:rStyle w:val="FootnoteReference"/>
        </w:rPr>
        <w:footnoteReference w:id="51"/>
      </w:r>
      <w:r>
        <w:t xml:space="preserve">   </w:t>
      </w:r>
    </w:p>
    <w:p w:rsidR="00DF0E06" w:rsidRPr="00DF0E06" w:rsidRDefault="00967350" w:rsidP="00775FCC">
      <w:pPr>
        <w:pStyle w:val="Caption"/>
        <w:jc w:val="center"/>
        <w:rPr>
          <w:b w:val="0"/>
          <w:sz w:val="20"/>
        </w:rPr>
      </w:pPr>
      <w:bookmarkStart w:id="451" w:name="_Ref383719672"/>
      <w:r w:rsidRPr="00967350">
        <w:t xml:space="preserve">Chart </w:t>
      </w:r>
      <w:r w:rsidR="000A480B">
        <w:rPr>
          <w:noProof/>
        </w:rPr>
        <w:fldChar w:fldCharType="begin"/>
      </w:r>
      <w:r w:rsidR="000A480B">
        <w:rPr>
          <w:noProof/>
        </w:rPr>
        <w:instrText xml:space="preserve"> SEQ Chart \* ARAB</w:instrText>
      </w:r>
      <w:r w:rsidR="000A480B">
        <w:rPr>
          <w:noProof/>
        </w:rPr>
        <w:instrText xml:space="preserve">IC </w:instrText>
      </w:r>
      <w:r w:rsidR="000A480B">
        <w:rPr>
          <w:noProof/>
        </w:rPr>
        <w:fldChar w:fldCharType="separate"/>
      </w:r>
      <w:r w:rsidR="0050148E">
        <w:rPr>
          <w:noProof/>
        </w:rPr>
        <w:t>2</w:t>
      </w:r>
      <w:r w:rsidR="000A480B">
        <w:rPr>
          <w:noProof/>
        </w:rPr>
        <w:fldChar w:fldCharType="end"/>
      </w:r>
      <w:bookmarkEnd w:id="451"/>
      <w:r w:rsidRPr="00967350">
        <w:t>:  Effective marginal tax rates for alternative savings vehicles</w:t>
      </w:r>
    </w:p>
    <w:p w:rsidR="00DF0E06" w:rsidRDefault="00124B28" w:rsidP="00DF0E06">
      <w:pPr>
        <w:pStyle w:val="OutlineNumbered1"/>
        <w:widowControl w:val="0"/>
        <w:numPr>
          <w:ilvl w:val="0"/>
          <w:numId w:val="0"/>
        </w:numPr>
        <w:ind w:left="567" w:hanging="567"/>
      </w:pPr>
      <w:r>
        <w:rPr>
          <w:noProof/>
          <w:lang w:val="en-US" w:eastAsia="en-US"/>
        </w:rPr>
        <w:drawing>
          <wp:inline distT="0" distB="0" distL="0" distR="0" wp14:anchorId="684AB1F5" wp14:editId="1499FF30">
            <wp:extent cx="558165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6404" w:rsidRPr="00FD6404" w:rsidRDefault="00FD6404" w:rsidP="00DF0E06">
      <w:pPr>
        <w:pStyle w:val="OutlineNumbered1"/>
        <w:widowControl w:val="0"/>
        <w:numPr>
          <w:ilvl w:val="0"/>
          <w:numId w:val="0"/>
        </w:numPr>
        <w:ind w:left="567" w:hanging="567"/>
        <w:rPr>
          <w:sz w:val="20"/>
        </w:rPr>
      </w:pPr>
      <w:r w:rsidRPr="00FD6404">
        <w:rPr>
          <w:sz w:val="20"/>
        </w:rPr>
        <w:t>Source: AFTS Review, p67.</w:t>
      </w:r>
    </w:p>
    <w:p w:rsidR="0098133F" w:rsidRDefault="0098133F" w:rsidP="0098133F">
      <w:pPr>
        <w:pStyle w:val="OutlineNumbered1"/>
      </w:pPr>
      <w:r>
        <w:t xml:space="preserve">The effectiveness of compulsory contributions and the concessional taxation of superannuation in achieving adequate retirement incomes were considered in the </w:t>
      </w:r>
      <w:r w:rsidRPr="00237DAA">
        <w:t>AFTS</w:t>
      </w:r>
      <w:r>
        <w:t xml:space="preserve"> Review</w:t>
      </w:r>
      <w:r w:rsidR="00C60954">
        <w:t>.</w:t>
      </w:r>
      <w:r>
        <w:rPr>
          <w:rStyle w:val="FootnoteReference"/>
        </w:rPr>
        <w:footnoteReference w:id="52"/>
      </w:r>
      <w:r>
        <w:t xml:space="preserve">  The Taxation White Paper </w:t>
      </w:r>
      <w:r w:rsidR="00F84220">
        <w:t>provides an opportunity to consider</w:t>
      </w:r>
      <w:r>
        <w:t xml:space="preserve"> the extent to which existing arrangements, and the age pension, generate adequate retirement incomes as the superannuation sector matures.</w:t>
      </w:r>
    </w:p>
    <w:p w:rsidR="0098133F" w:rsidRDefault="0098133F" w:rsidP="0098133F">
      <w:pPr>
        <w:pStyle w:val="OutlineNumbered1"/>
      </w:pPr>
      <w:r>
        <w:lastRenderedPageBreak/>
        <w:t xml:space="preserve">Views on the overall adequacy of retirement income, including that sourced from the superannuation elements, will drive future change in retirement income policy.  Any changes to superannuation settings would have implications for the financial system more generally.  </w:t>
      </w:r>
    </w:p>
    <w:p w:rsidR="0098133F" w:rsidRDefault="0098133F" w:rsidP="0098133F">
      <w:pPr>
        <w:pStyle w:val="OutlineNumbered1"/>
      </w:pPr>
      <w:bookmarkStart w:id="452" w:name="_Toc383081943"/>
      <w:r>
        <w:t xml:space="preserve">The objective of superannuation policy to support retirement income needs to be balanced against the </w:t>
      </w:r>
      <w:r w:rsidR="00A83C6A">
        <w:t>impact on</w:t>
      </w:r>
      <w:r>
        <w:t xml:space="preserve"> present day consumption. </w:t>
      </w:r>
      <w:r w:rsidR="007E2AB6">
        <w:t xml:space="preserve"> </w:t>
      </w:r>
      <w:r>
        <w:t xml:space="preserve">This is especially relevant for low income individuals whose increased retirement savings will more likely come at the cost of present day consumption. </w:t>
      </w:r>
    </w:p>
    <w:p w:rsidR="0098133F" w:rsidRPr="00B210CB" w:rsidRDefault="0098133F" w:rsidP="0098133F">
      <w:pPr>
        <w:pStyle w:val="Heading3"/>
      </w:pPr>
      <w:bookmarkStart w:id="453" w:name="_Toc383703302"/>
      <w:bookmarkStart w:id="454" w:name="_Toc383704186"/>
      <w:bookmarkStart w:id="455" w:name="_Toc383783854"/>
      <w:bookmarkStart w:id="456" w:name="_Toc383784658"/>
      <w:bookmarkStart w:id="457" w:name="_Toc384121514"/>
      <w:bookmarkStart w:id="458" w:name="_Toc384123740"/>
      <w:bookmarkStart w:id="459" w:name="_Toc384132426"/>
      <w:bookmarkStart w:id="460" w:name="_Toc384205184"/>
      <w:bookmarkStart w:id="461" w:name="_Toc384278520"/>
      <w:r>
        <w:t>The s</w:t>
      </w:r>
      <w:r w:rsidRPr="00B210CB">
        <w:t xml:space="preserve">uperannuation </w:t>
      </w:r>
      <w:r>
        <w:t>sector</w:t>
      </w:r>
      <w:r w:rsidRPr="00B210CB">
        <w:t xml:space="preserve"> has </w:t>
      </w:r>
      <w:r>
        <w:t xml:space="preserve">ballooned </w:t>
      </w:r>
      <w:r w:rsidRPr="00B210CB">
        <w:t>since Wallis</w:t>
      </w:r>
      <w:bookmarkEnd w:id="452"/>
      <w:bookmarkEnd w:id="453"/>
      <w:bookmarkEnd w:id="454"/>
      <w:bookmarkEnd w:id="455"/>
      <w:bookmarkEnd w:id="456"/>
      <w:bookmarkEnd w:id="457"/>
      <w:bookmarkEnd w:id="458"/>
      <w:bookmarkEnd w:id="459"/>
      <w:bookmarkEnd w:id="460"/>
      <w:bookmarkEnd w:id="461"/>
    </w:p>
    <w:p w:rsidR="0098133F" w:rsidRDefault="0098133F" w:rsidP="0098133F">
      <w:pPr>
        <w:pStyle w:val="OutlineNumbered1"/>
      </w:pPr>
      <w:r>
        <w:t xml:space="preserve">The superannuation sector </w:t>
      </w:r>
      <w:r w:rsidR="00A83C6A">
        <w:t>is made up of</w:t>
      </w:r>
      <w:r>
        <w:t xml:space="preserve"> corporate, public sector, industry, retail and self-manage</w:t>
      </w:r>
      <w:r w:rsidR="00A83C6A">
        <w:t>d</w:t>
      </w:r>
      <w:r w:rsidR="00C53673">
        <w:t xml:space="preserve"> superannuation funds</w:t>
      </w:r>
      <w:r>
        <w:t>.</w:t>
      </w:r>
    </w:p>
    <w:p w:rsidR="001D1F96" w:rsidRPr="001D1F96" w:rsidRDefault="0098133F" w:rsidP="0098133F">
      <w:pPr>
        <w:pStyle w:val="OutlineNumbered1"/>
      </w:pPr>
      <w:r>
        <w:t xml:space="preserve">The relative importance of the superannuation sector in the financial system has increased significantly since the Wallis </w:t>
      </w:r>
      <w:r w:rsidR="00B00F68">
        <w:t>I</w:t>
      </w:r>
      <w:r>
        <w:t xml:space="preserve">nquiry in 1997. </w:t>
      </w:r>
      <w:r w:rsidR="00775FCC">
        <w:t xml:space="preserve"> </w:t>
      </w:r>
      <w:r>
        <w:t>Superannuation assets a</w:t>
      </w:r>
      <w:r w:rsidR="00A83C6A">
        <w:t>m</w:t>
      </w:r>
      <w:r>
        <w:t xml:space="preserve">ounted </w:t>
      </w:r>
      <w:r w:rsidR="00A83C6A">
        <w:t>to</w:t>
      </w:r>
      <w:r>
        <w:t xml:space="preserve"> around 48 per cent of GDP ($321 billion) in 1997</w:t>
      </w:r>
      <w:r w:rsidR="007E54E6">
        <w:t>.  As at December 2013,</w:t>
      </w:r>
      <w:r>
        <w:t xml:space="preserve"> they</w:t>
      </w:r>
      <w:r w:rsidRPr="005775A0">
        <w:t xml:space="preserve"> </w:t>
      </w:r>
      <w:r>
        <w:t>are equivalent to</w:t>
      </w:r>
      <w:r w:rsidRPr="005775A0">
        <w:t xml:space="preserve"> 1</w:t>
      </w:r>
      <w:r>
        <w:t>16 </w:t>
      </w:r>
      <w:r w:rsidRPr="005775A0">
        <w:t>per cent of GDP</w:t>
      </w:r>
      <w:r>
        <w:t xml:space="preserve"> (</w:t>
      </w:r>
      <w:r w:rsidRPr="005775A0">
        <w:t>$1.</w:t>
      </w:r>
      <w:r>
        <w:t>8</w:t>
      </w:r>
      <w:r w:rsidRPr="005775A0">
        <w:t> trillion</w:t>
      </w:r>
      <w:r>
        <w:t>).</w:t>
      </w:r>
      <w:r w:rsidR="002C3016">
        <w:rPr>
          <w:rStyle w:val="FootnoteReference"/>
        </w:rPr>
        <w:footnoteReference w:id="53"/>
      </w:r>
      <w:r>
        <w:t xml:space="preserve">  </w:t>
      </w:r>
    </w:p>
    <w:p w:rsidR="0098133F" w:rsidRDefault="0098133F" w:rsidP="0098133F">
      <w:pPr>
        <w:pStyle w:val="OutlineNumbered1"/>
      </w:pPr>
      <w:r>
        <w:t>Superannuation now accounts for the largest portion of household financial assets, around 49 per cent in 2011-12.</w:t>
      </w:r>
      <w:r w:rsidR="00775FCC" w:rsidRPr="00775FCC">
        <w:rPr>
          <w:rStyle w:val="FootnoteReference"/>
          <w:rFonts w:eastAsia="Calibri"/>
        </w:rPr>
        <w:t xml:space="preserve"> </w:t>
      </w:r>
      <w:r>
        <w:rPr>
          <w:rStyle w:val="FootnoteReference"/>
          <w:rFonts w:eastAsia="Calibri"/>
        </w:rPr>
        <w:footnoteReference w:id="54"/>
      </w:r>
      <w:r>
        <w:t xml:space="preserve">    </w:t>
      </w:r>
    </w:p>
    <w:p w:rsidR="0098133F" w:rsidRDefault="0098133F" w:rsidP="0098133F">
      <w:pPr>
        <w:pStyle w:val="OutlineNumbered1"/>
      </w:pPr>
      <w:r>
        <w:t xml:space="preserve">There have also been significant shifts within the superannuation sector, with strong growth in the proportion of superannuation assets held by </w:t>
      </w:r>
      <w:r w:rsidR="00C53673">
        <w:t xml:space="preserve">self-managed superannuation funds </w:t>
      </w:r>
      <w:r>
        <w:t xml:space="preserve">in recent years.  The </w:t>
      </w:r>
      <w:r w:rsidR="00C53673">
        <w:t>self-managed superannuation fund</w:t>
      </w:r>
      <w:r>
        <w:t xml:space="preserve"> sector is now the largest by value, having increased </w:t>
      </w:r>
      <w:r w:rsidR="00A83C6A">
        <w:t>its</w:t>
      </w:r>
      <w:r>
        <w:t xml:space="preserve"> holdings of superannuation assets to around 3</w:t>
      </w:r>
      <w:r w:rsidR="007E54E6">
        <w:t>1</w:t>
      </w:r>
      <w:r>
        <w:t xml:space="preserve"> per cent as at June 2013</w:t>
      </w:r>
      <w:r w:rsidR="007E54E6" w:rsidRPr="00C865DA">
        <w:rPr>
          <w:rStyle w:val="FootnoteReference"/>
        </w:rPr>
        <w:footnoteReference w:id="55"/>
      </w:r>
      <w:r>
        <w:t xml:space="preserve"> from around 1</w:t>
      </w:r>
      <w:r w:rsidR="007E54E6">
        <w:t>1</w:t>
      </w:r>
      <w:r>
        <w:t xml:space="preserve"> per cent in 1997.</w:t>
      </w:r>
      <w:r w:rsidR="007E54E6" w:rsidRPr="007E54E6">
        <w:rPr>
          <w:rStyle w:val="FootnoteReference"/>
        </w:rPr>
        <w:t xml:space="preserve"> </w:t>
      </w:r>
      <w:r w:rsidR="007E54E6" w:rsidRPr="00C865DA">
        <w:rPr>
          <w:rStyle w:val="FootnoteReference"/>
        </w:rPr>
        <w:footnoteReference w:id="56"/>
      </w:r>
      <w:r>
        <w:t xml:space="preserve"> </w:t>
      </w:r>
      <w:r w:rsidR="00775FCC">
        <w:t xml:space="preserve"> </w:t>
      </w:r>
      <w:r w:rsidR="007E54E6">
        <w:t>In 2010</w:t>
      </w:r>
      <w:r w:rsidR="007E54E6">
        <w:noBreakHyphen/>
        <w:t>11, around 5 per cent of individuals who made superannuation contributions contributed to a self</w:t>
      </w:r>
      <w:r w:rsidR="007E54E6">
        <w:noBreakHyphen/>
        <w:t>managed</w:t>
      </w:r>
      <w:r w:rsidR="00C53673">
        <w:t xml:space="preserve"> superannuation fund</w:t>
      </w:r>
      <w:r w:rsidR="007E54E6">
        <w:t>.</w:t>
      </w:r>
      <w:r w:rsidR="007E54E6" w:rsidRPr="007E54E6">
        <w:rPr>
          <w:rStyle w:val="FootnoteReference"/>
        </w:rPr>
        <w:t xml:space="preserve"> </w:t>
      </w:r>
      <w:r w:rsidR="007E54E6" w:rsidRPr="00B14CA2">
        <w:rPr>
          <w:rStyle w:val="FootnoteReference"/>
        </w:rPr>
        <w:footnoteReference w:id="57"/>
      </w:r>
    </w:p>
    <w:p w:rsidR="0098133F" w:rsidRDefault="0098133F" w:rsidP="0098133F">
      <w:pPr>
        <w:pStyle w:val="OutlineNumbered1"/>
      </w:pPr>
      <w:r>
        <w:t xml:space="preserve">The superannuation sector will continue to grow as the impact of the Superannuation Guarantee policy accumulates and as the compulsory contribution rate increases to 12 </w:t>
      </w:r>
      <w:r>
        <w:lastRenderedPageBreak/>
        <w:t>per cent.</w:t>
      </w:r>
      <w:r w:rsidRPr="00FB5E11">
        <w:t xml:space="preserve"> </w:t>
      </w:r>
      <w:r w:rsidR="00775FCC">
        <w:t xml:space="preserve"> </w:t>
      </w:r>
      <w:r>
        <w:t>By 2040 superannuation assets are projected to reach 150 per cent of GDP</w:t>
      </w:r>
      <w:r w:rsidRPr="00FE0F98">
        <w:t xml:space="preserve"> </w:t>
      </w:r>
      <w:r>
        <w:t>(</w:t>
      </w:r>
      <w:r w:rsidRPr="00FE0F98">
        <w:t>$8.4</w:t>
      </w:r>
      <w:r>
        <w:t> </w:t>
      </w:r>
      <w:r w:rsidRPr="00FE0F98">
        <w:t>trillion</w:t>
      </w:r>
      <w:r>
        <w:t>)</w:t>
      </w:r>
      <w:r w:rsidR="001E6EFE">
        <w:t>.</w:t>
      </w:r>
      <w:r w:rsidR="002C3016">
        <w:rPr>
          <w:rStyle w:val="FootnoteReference"/>
        </w:rPr>
        <w:footnoteReference w:id="58"/>
      </w:r>
    </w:p>
    <w:p w:rsidR="0098133F" w:rsidRDefault="0098133F" w:rsidP="0098133F">
      <w:pPr>
        <w:pStyle w:val="OutlineNumbered1"/>
      </w:pPr>
      <w:r>
        <w:t xml:space="preserve">The size and centrality of the superannuation sector within Australia’s financial system—and the ageing of Australia’s population—means that the allocative, technical and dynamic efficiency of the sector </w:t>
      </w:r>
      <w:r w:rsidR="00CA7695">
        <w:t>are</w:t>
      </w:r>
      <w:r>
        <w:t xml:space="preserve"> central to the work of the Inquiry. </w:t>
      </w:r>
    </w:p>
    <w:p w:rsidR="0098133F" w:rsidRPr="00D67743" w:rsidRDefault="0098133F" w:rsidP="0098133F">
      <w:pPr>
        <w:pStyle w:val="Heading3"/>
      </w:pPr>
      <w:bookmarkStart w:id="462" w:name="_Toc383703303"/>
      <w:bookmarkStart w:id="463" w:name="_Toc383704187"/>
      <w:bookmarkStart w:id="464" w:name="_Toc383783855"/>
      <w:bookmarkStart w:id="465" w:name="_Toc383784659"/>
      <w:bookmarkStart w:id="466" w:name="_Toc384121515"/>
      <w:bookmarkStart w:id="467" w:name="_Toc384123741"/>
      <w:bookmarkStart w:id="468" w:name="_Toc384132427"/>
      <w:bookmarkStart w:id="469" w:name="_Toc384205185"/>
      <w:bookmarkStart w:id="470" w:name="_Toc384278521"/>
      <w:r>
        <w:t>The superannuation sector is broadly conducive to the efficient allocation of investments</w:t>
      </w:r>
      <w:bookmarkEnd w:id="462"/>
      <w:bookmarkEnd w:id="463"/>
      <w:bookmarkEnd w:id="464"/>
      <w:bookmarkEnd w:id="465"/>
      <w:bookmarkEnd w:id="466"/>
      <w:bookmarkEnd w:id="467"/>
      <w:bookmarkEnd w:id="468"/>
      <w:bookmarkEnd w:id="469"/>
      <w:bookmarkEnd w:id="470"/>
      <w:r>
        <w:t xml:space="preserve"> </w:t>
      </w:r>
    </w:p>
    <w:p w:rsidR="0098133F" w:rsidRDefault="0098133F" w:rsidP="0098133F">
      <w:pPr>
        <w:pStyle w:val="OutlineNumbered1"/>
      </w:pPr>
      <w:r>
        <w:t>Superan</w:t>
      </w:r>
      <w:r w:rsidR="00A83C6A">
        <w:t>nuation funds generally operate</w:t>
      </w:r>
      <w:r>
        <w:t xml:space="preserve"> within a trust structure, making the allocation of superannuation assets </w:t>
      </w:r>
      <w:r w:rsidR="008F421E">
        <w:t xml:space="preserve">ultimately </w:t>
      </w:r>
      <w:r>
        <w:t xml:space="preserve">the responsibility of fund trustees. </w:t>
      </w:r>
    </w:p>
    <w:p w:rsidR="0098133F" w:rsidRDefault="0098133F" w:rsidP="0098133F">
      <w:pPr>
        <w:pStyle w:val="OutlineNumbered1"/>
      </w:pPr>
      <w:r w:rsidRPr="00E74214">
        <w:t xml:space="preserve">Each trustee has a fiduciary obligation to </w:t>
      </w:r>
      <w:r>
        <w:t>act in the</w:t>
      </w:r>
      <w:r w:rsidR="00A83C6A">
        <w:t xml:space="preserve"> </w:t>
      </w:r>
      <w:r w:rsidR="008A008F">
        <w:t xml:space="preserve">best interests of fund </w:t>
      </w:r>
      <w:r w:rsidR="00A83C6A">
        <w:t xml:space="preserve">members </w:t>
      </w:r>
      <w:r w:rsidRPr="00E74214">
        <w:t>which involves taking ultimate responsibility for the entity, and an obligation to manage the assets of the entity with competence, diligence, prudence and honesty.</w:t>
      </w:r>
      <w:r>
        <w:t xml:space="preserve">  </w:t>
      </w:r>
    </w:p>
    <w:p w:rsidR="008F421E" w:rsidRDefault="008F421E" w:rsidP="008F421E">
      <w:pPr>
        <w:pStyle w:val="OutlineNumbered1"/>
      </w:pPr>
      <w:r>
        <w:t>In meeting their obligations</w:t>
      </w:r>
      <w:r w:rsidR="00721C26">
        <w:t>,</w:t>
      </w:r>
      <w:r>
        <w:t xml:space="preserve"> trustees will generally ensure that expert managers with specialist skills are advising and reviewing asset allocation decisions over time.  This</w:t>
      </w:r>
      <w:r w:rsidR="001B6BE8">
        <w:t xml:space="preserve"> practice </w:t>
      </w:r>
      <w:r>
        <w:t>reduces asymmetric information and promotes a hig</w:t>
      </w:r>
      <w:r w:rsidR="00721C26">
        <w:t>h level of financial literacy among</w:t>
      </w:r>
      <w:r>
        <w:t xml:space="preserve"> decision makers.</w:t>
      </w:r>
    </w:p>
    <w:p w:rsidR="008F421E" w:rsidRDefault="008F421E" w:rsidP="008F421E">
      <w:pPr>
        <w:pStyle w:val="OutlineNumbered1"/>
      </w:pPr>
      <w:r>
        <w:t xml:space="preserve">Importantly, the obligations placed on trustees do not preference </w:t>
      </w:r>
      <w:r w:rsidRPr="005E5E2B">
        <w:t>any particular asset class</w:t>
      </w:r>
      <w:r>
        <w:t>. T</w:t>
      </w:r>
      <w:r w:rsidRPr="00E74214">
        <w:t xml:space="preserve">rustees have a duty to formulate and </w:t>
      </w:r>
      <w:r>
        <w:t>enact</w:t>
      </w:r>
      <w:r w:rsidRPr="00E74214">
        <w:t xml:space="preserve"> an investment strategy that gives consideration to, among other things, appropriate diversification, expected cash-flow requirements</w:t>
      </w:r>
      <w:r>
        <w:t xml:space="preserve"> and</w:t>
      </w:r>
      <w:r w:rsidRPr="00E74214">
        <w:t xml:space="preserve"> the liquidity of the investments</w:t>
      </w:r>
      <w:r>
        <w:t xml:space="preserve">, subject to the risk and return preferences of their members.  </w:t>
      </w:r>
    </w:p>
    <w:p w:rsidR="0098133F" w:rsidRDefault="0098133F" w:rsidP="0098133F">
      <w:pPr>
        <w:pStyle w:val="OutlineNumbered1"/>
      </w:pPr>
      <w:r>
        <w:t>The introduction of the ‘Choice-of-Fund’ legislation in 2005, consolidation among superannuation funds, the publication of superannuation fund league tables and the highly contested market for the provision of services to superannuation funds</w:t>
      </w:r>
      <w:r w:rsidR="00E916BC">
        <w:t>,</w:t>
      </w:r>
      <w:r>
        <w:t xml:space="preserve"> all place competitive pressure on trustees to maximise returns for members subject to a given level of risk.</w:t>
      </w:r>
    </w:p>
    <w:p w:rsidR="0098133F" w:rsidRDefault="0098133F" w:rsidP="0098133F">
      <w:pPr>
        <w:pStyle w:val="OutlineNumbered1"/>
      </w:pPr>
      <w:r>
        <w:t>Questions have been raised about the share of superann</w:t>
      </w:r>
      <w:r w:rsidR="00A83C6A">
        <w:t xml:space="preserve">uation funds allocated to equities </w:t>
      </w:r>
      <w:r>
        <w:t>—</w:t>
      </w:r>
      <w:r w:rsidR="00A83C6A">
        <w:t xml:space="preserve"> </w:t>
      </w:r>
      <w:r>
        <w:t>51 per cent by APRA-regulated funds</w:t>
      </w:r>
      <w:r w:rsidR="008F421E" w:rsidRPr="00C865DA">
        <w:rPr>
          <w:rStyle w:val="FootnoteReference"/>
        </w:rPr>
        <w:footnoteReference w:id="59"/>
      </w:r>
      <w:r>
        <w:t xml:space="preserve"> and 3</w:t>
      </w:r>
      <w:r w:rsidR="008F421E">
        <w:t>2</w:t>
      </w:r>
      <w:r>
        <w:t xml:space="preserve"> per cent for </w:t>
      </w:r>
      <w:r w:rsidR="00C53673">
        <w:t xml:space="preserve">self-managed </w:t>
      </w:r>
      <w:r w:rsidR="00C53673">
        <w:lastRenderedPageBreak/>
        <w:t>superannuation funds</w:t>
      </w:r>
      <w:r w:rsidR="008F421E" w:rsidRPr="00C865DA">
        <w:rPr>
          <w:rStyle w:val="FootnoteReference"/>
        </w:rPr>
        <w:footnoteReference w:id="60"/>
      </w:r>
      <w:r w:rsidR="00C53673">
        <w:t xml:space="preserve"> </w:t>
      </w:r>
      <w:r w:rsidR="00967350">
        <w:t xml:space="preserve">as at 30 June 2013 (see </w:t>
      </w:r>
      <w:r w:rsidR="00967350">
        <w:fldChar w:fldCharType="begin"/>
      </w:r>
      <w:r w:rsidR="00967350">
        <w:instrText xml:space="preserve"> REF _Ref383719749 \h </w:instrText>
      </w:r>
      <w:r w:rsidR="00967350">
        <w:fldChar w:fldCharType="separate"/>
      </w:r>
      <w:r w:rsidR="0050148E">
        <w:t xml:space="preserve">Chart </w:t>
      </w:r>
      <w:r w:rsidR="0050148E">
        <w:rPr>
          <w:noProof/>
        </w:rPr>
        <w:t>3</w:t>
      </w:r>
      <w:r w:rsidR="00967350">
        <w:fldChar w:fldCharType="end"/>
      </w:r>
      <w:r w:rsidR="00967350">
        <w:t>)</w:t>
      </w:r>
      <w:r>
        <w:t xml:space="preserve">.  </w:t>
      </w:r>
      <w:r w:rsidR="008F421E">
        <w:t>There are sensible reasons to support the Australian system currently having a higher proportion of equity investments — such as the distribution of members who are in the accumulation phase, and the defined contribution nature of our system.  However, c</w:t>
      </w:r>
      <w:r>
        <w:t>ompared to many overseas pension systems these proportions are high</w:t>
      </w:r>
      <w:r w:rsidR="008F421E">
        <w:t>.</w:t>
      </w:r>
      <w:r w:rsidR="00922ABC">
        <w:t xml:space="preserve"> </w:t>
      </w:r>
      <w:r w:rsidR="008F421E">
        <w:t xml:space="preserve"> </w:t>
      </w:r>
      <w:r w:rsidRPr="00BF1D2A">
        <w:t xml:space="preserve">Given the volatility of </w:t>
      </w:r>
      <w:r>
        <w:t>share</w:t>
      </w:r>
      <w:r w:rsidRPr="007C215C">
        <w:t xml:space="preserve"> returns</w:t>
      </w:r>
      <w:r w:rsidRPr="00BF1D2A">
        <w:t xml:space="preserve">, the weighting of funds’ investment portfolios towards equities </w:t>
      </w:r>
      <w:r>
        <w:t xml:space="preserve">potentially exposes individuals to increased risk, particularly when they are nearing their retirement drawdown phase. </w:t>
      </w:r>
      <w:r w:rsidR="007E2AB6">
        <w:t xml:space="preserve"> </w:t>
      </w:r>
      <w:r>
        <w:t xml:space="preserve">The sector is responding to these concerns </w:t>
      </w:r>
      <w:r w:rsidR="00BC6E7C">
        <w:t>by</w:t>
      </w:r>
      <w:r>
        <w:t xml:space="preserve"> develop</w:t>
      </w:r>
      <w:r w:rsidR="00BC6E7C">
        <w:t>ing</w:t>
      </w:r>
      <w:r>
        <w:t xml:space="preserve"> ‘life-cycle’ products that alter </w:t>
      </w:r>
      <w:r w:rsidR="00A83C6A">
        <w:t>members’</w:t>
      </w:r>
      <w:r>
        <w:t xml:space="preserve"> asset allocation over their life time.</w:t>
      </w:r>
    </w:p>
    <w:p w:rsidR="0098133F" w:rsidRPr="00E00AAD" w:rsidRDefault="00967350" w:rsidP="00775FCC">
      <w:pPr>
        <w:pStyle w:val="Caption"/>
        <w:keepNext/>
        <w:jc w:val="center"/>
        <w:rPr>
          <w:b w:val="0"/>
        </w:rPr>
      </w:pPr>
      <w:bookmarkStart w:id="471" w:name="_Ref383719749"/>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3</w:t>
      </w:r>
      <w:r w:rsidR="000A480B">
        <w:rPr>
          <w:noProof/>
        </w:rPr>
        <w:fldChar w:fldCharType="end"/>
      </w:r>
      <w:bookmarkEnd w:id="471"/>
      <w:r w:rsidRPr="00967350">
        <w:t xml:space="preserve">: Asset Allocation Comparison of </w:t>
      </w:r>
      <w:r w:rsidR="00C53673">
        <w:t>self-managed superannuation funds</w:t>
      </w:r>
      <w:r w:rsidRPr="00967350">
        <w:t xml:space="preserve"> </w:t>
      </w:r>
      <w:r w:rsidR="00C53673">
        <w:br/>
      </w:r>
      <w:r w:rsidRPr="00967350">
        <w:t>and default investment strategy for APRA-regulated funds, 30 June 2013</w:t>
      </w:r>
    </w:p>
    <w:p w:rsidR="0098133F" w:rsidRDefault="00992068" w:rsidP="00EA4914">
      <w:pPr>
        <w:spacing w:after="0" w:line="240" w:lineRule="auto"/>
        <w:jc w:val="center"/>
        <w:rPr>
          <w:rFonts w:cs="Garamond"/>
          <w:color w:val="000000"/>
          <w:sz w:val="20"/>
          <w:szCs w:val="20"/>
        </w:rPr>
      </w:pPr>
      <w:r>
        <w:rPr>
          <w:noProof/>
          <w:lang w:val="en-US"/>
        </w:rPr>
        <w:drawing>
          <wp:inline distT="0" distB="0" distL="0" distR="0" wp14:anchorId="0A4CD8D7" wp14:editId="412777F6">
            <wp:extent cx="5580000" cy="28800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133F" w:rsidRDefault="0098133F">
      <w:pPr>
        <w:pStyle w:val="OutlineNumbered1"/>
        <w:numPr>
          <w:ilvl w:val="0"/>
          <w:numId w:val="0"/>
        </w:numPr>
        <w:rPr>
          <w:rFonts w:cs="Garamond"/>
          <w:color w:val="000000"/>
          <w:sz w:val="20"/>
        </w:rPr>
      </w:pPr>
      <w:r w:rsidRPr="001D5131">
        <w:rPr>
          <w:rFonts w:cs="Garamond"/>
          <w:color w:val="000000"/>
          <w:sz w:val="20"/>
        </w:rPr>
        <w:t xml:space="preserve">Source: APRA </w:t>
      </w:r>
      <w:r w:rsidR="008F421E">
        <w:rPr>
          <w:rFonts w:cs="Garamond"/>
          <w:color w:val="000000"/>
          <w:sz w:val="20"/>
        </w:rPr>
        <w:t>Annual Superannuation Bulletin June 2013 and ATO Self-managed super fund statistical report December 2013</w:t>
      </w:r>
      <w:r w:rsidR="005545CA">
        <w:rPr>
          <w:rFonts w:cs="Garamond"/>
          <w:color w:val="000000"/>
          <w:sz w:val="20"/>
        </w:rPr>
        <w:t>.</w:t>
      </w:r>
    </w:p>
    <w:p w:rsidR="00836A40" w:rsidRDefault="00836A40" w:rsidP="00836A40">
      <w:pPr>
        <w:pStyle w:val="OutlineNumbered1"/>
        <w:numPr>
          <w:ilvl w:val="0"/>
          <w:numId w:val="0"/>
        </w:numPr>
        <w:spacing w:after="0" w:line="240" w:lineRule="auto"/>
        <w:ind w:left="567" w:hanging="567"/>
        <w:rPr>
          <w:rFonts w:cs="Garamond"/>
          <w:color w:val="000000"/>
          <w:sz w:val="20"/>
        </w:rPr>
      </w:pPr>
      <w:r>
        <w:rPr>
          <w:rFonts w:cs="Garamond"/>
          <w:color w:val="000000"/>
          <w:sz w:val="20"/>
        </w:rPr>
        <w:t>Note: The cash category also includes term deposits.</w:t>
      </w:r>
    </w:p>
    <w:p w:rsidR="00836A40" w:rsidRPr="00836A40" w:rsidRDefault="00836A40" w:rsidP="00836A40">
      <w:pPr>
        <w:pStyle w:val="OutlineNumbered1"/>
        <w:numPr>
          <w:ilvl w:val="0"/>
          <w:numId w:val="0"/>
        </w:numPr>
        <w:spacing w:after="0" w:line="240" w:lineRule="auto"/>
        <w:ind w:left="567" w:hanging="567"/>
        <w:rPr>
          <w:rFonts w:cs="Garamond"/>
          <w:color w:val="000000"/>
          <w:sz w:val="20"/>
        </w:rPr>
      </w:pPr>
    </w:p>
    <w:p w:rsidR="0098133F" w:rsidRPr="00CC2C3D" w:rsidRDefault="0098133F" w:rsidP="0098133F">
      <w:pPr>
        <w:pStyle w:val="OutlineNumbered1"/>
        <w:rPr>
          <w:rFonts w:cs="Garamond"/>
          <w:color w:val="000000"/>
        </w:rPr>
      </w:pPr>
      <w:r>
        <w:t xml:space="preserve">Questions have also been raised about the relatively large allocation by </w:t>
      </w:r>
      <w:r w:rsidR="00C53673">
        <w:t>self-managed superannuation funds</w:t>
      </w:r>
      <w:r>
        <w:t xml:space="preserve"> to cash (</w:t>
      </w:r>
      <w:r w:rsidR="008F421E">
        <w:t>30</w:t>
      </w:r>
      <w:r>
        <w:t xml:space="preserve"> per cent) and relatively small allocation to international shares (less than 1 per cent). </w:t>
      </w:r>
      <w:r w:rsidR="00922ABC">
        <w:t xml:space="preserve"> </w:t>
      </w:r>
      <w:r>
        <w:t xml:space="preserve">The high allocation towards cash may reflect the age distribution of </w:t>
      </w:r>
      <w:r w:rsidR="00C53673">
        <w:t>self-managed superannuation fund</w:t>
      </w:r>
      <w:r w:rsidR="00A83C6A">
        <w:t xml:space="preserve"> members</w:t>
      </w:r>
      <w:r>
        <w:t xml:space="preserve">, with more members close </w:t>
      </w:r>
      <w:r w:rsidR="00A83C6A">
        <w:t xml:space="preserve">to </w:t>
      </w:r>
      <w:r>
        <w:t xml:space="preserve">or in retirement. </w:t>
      </w:r>
      <w:r w:rsidR="00922ABC">
        <w:t xml:space="preserve"> </w:t>
      </w:r>
      <w:r>
        <w:t xml:space="preserve">The small allocation to foreign assets may reflect risk-return preferences.  However, these allocations could also reflect market barriers that prevent </w:t>
      </w:r>
      <w:r w:rsidR="00C53673">
        <w:t>self-managed superannuation fund</w:t>
      </w:r>
      <w:r>
        <w:t xml:space="preserve"> trustees from adopting more diversified portfolios or factors favouring a particular asset class</w:t>
      </w:r>
      <w:r w:rsidR="0057311B">
        <w:t xml:space="preserve"> </w:t>
      </w:r>
      <w:r w:rsidR="0057311B" w:rsidRPr="0057311B">
        <w:t xml:space="preserve">(including the tax </w:t>
      </w:r>
      <w:r w:rsidR="0057311B" w:rsidRPr="0057311B">
        <w:lastRenderedPageBreak/>
        <w:t xml:space="preserve">system as touched on in </w:t>
      </w:r>
      <w:r w:rsidR="0057311B" w:rsidRPr="00FC189A">
        <w:t xml:space="preserve">paragraph </w:t>
      </w:r>
      <w:r w:rsidR="00BE77B1" w:rsidRPr="00FC189A">
        <w:t>21</w:t>
      </w:r>
      <w:r w:rsidR="00FC189A" w:rsidRPr="00FC189A">
        <w:t>6</w:t>
      </w:r>
      <w:r w:rsidR="0057311B" w:rsidRPr="00FC189A">
        <w:t>)</w:t>
      </w:r>
      <w:r w:rsidRPr="00FC189A">
        <w:t>.</w:t>
      </w:r>
      <w:r>
        <w:t xml:space="preserve">  Potential barriers include the increased search costs, particularly for overseas investments</w:t>
      </w:r>
      <w:r w:rsidR="008F421E">
        <w:t>,</w:t>
      </w:r>
      <w:r>
        <w:t xml:space="preserve"> and complexity associated with more diversified portfolios.</w:t>
      </w:r>
    </w:p>
    <w:p w:rsidR="0057311B" w:rsidRDefault="0057311B" w:rsidP="0057311B">
      <w:pPr>
        <w:pStyle w:val="OutlineNumbered1"/>
        <w:rPr>
          <w:rFonts w:ascii="Times New Roman" w:hAnsi="Times New Roman"/>
          <w:szCs w:val="24"/>
        </w:rPr>
      </w:pPr>
      <w:r>
        <w:t>There are many factors within the financial system and broader economy, but outside the superannuation sector, that can influence rates of return and risks for assets—for example, the structure of the taxation system.  There is a wide dispersion of individual members, all with different preferences, and what might be considered efficient for a median member may not suit a specific individual.  In addition, there is a complex interaction between taxation and regulatory arrangements that can affect the asset allocation decisions of funds.</w:t>
      </w:r>
      <w:r>
        <w:rPr>
          <w:rFonts w:ascii="Times New Roman" w:hAnsi="Times New Roman"/>
          <w:szCs w:val="24"/>
        </w:rPr>
        <w:t xml:space="preserve"> </w:t>
      </w:r>
    </w:p>
    <w:p w:rsidR="0057311B" w:rsidRDefault="0057311B" w:rsidP="0057311B">
      <w:pPr>
        <w:pStyle w:val="OutlineNumbered1"/>
      </w:pPr>
      <w:r w:rsidRPr="0057311B">
        <w:t>A key, but complex example of the effect of the tax system on asset allocation by superannuation funds is the dividend imputation system.  At one level, the availability of imputation credits appears to make the taxation treatment of investment income from Australian shares broadly neutral relative to income from other domestic assets such as bonds, but preferenced over foreign equities.  However, when viewed in the context of genuinely open capital flows and the return on capital being set on global markets, the availability of imputation credits (also noting their refundibility) makes investment in Australian companies, at least in theory, even more favourable.  But noting the complexity of the tax systems’ treatment of debt, equity and various hybrid instruments, together with the different treatment depending on whether the instrument is domestically or foreign sourced, real world effects of dividend imputation are extremely difficult to ascertain.  Accordingly, this issue is more appropriately left for consideration in the broader context of the Taxation White Paper.</w:t>
      </w:r>
    </w:p>
    <w:p w:rsidR="0098133F" w:rsidRDefault="0098133F" w:rsidP="0098133F">
      <w:pPr>
        <w:pStyle w:val="OutlineNumbered1"/>
      </w:pPr>
      <w:r>
        <w:t>The complex interactions within the financial system suggest the allocative efficiency of the superannuation sector cannot be assessed using a single metric, such as the proportion of funds invested in domestic equities. </w:t>
      </w:r>
    </w:p>
    <w:p w:rsidR="0098133F" w:rsidRDefault="0098133F" w:rsidP="0098133F">
      <w:pPr>
        <w:pStyle w:val="OutlineNumbered1"/>
      </w:pPr>
      <w:r>
        <w:t>One approach to assessing the efficiency of asset allocations within the sector would be to review the structure of the sector and assess whether there are any barriers or impediments to an efficient allocation of capital—a negative test. </w:t>
      </w:r>
    </w:p>
    <w:p w:rsidR="0098133F" w:rsidRDefault="0098133F" w:rsidP="0098133F">
      <w:pPr>
        <w:pStyle w:val="OutlineNumbered1"/>
      </w:pPr>
      <w:r>
        <w:t>This approach suggests that the superannuation sector is broadly conducive to the efficient allocati</w:t>
      </w:r>
      <w:r w:rsidR="00A83C6A">
        <w:t>on</w:t>
      </w:r>
      <w:r>
        <w:t xml:space="preserve"> of investment, primarily because super</w:t>
      </w:r>
      <w:r w:rsidR="00A83C6A">
        <w:t>annuation</w:t>
      </w:r>
      <w:r>
        <w:t xml:space="preserve"> trustees allocate funds within a highly contested investment market. </w:t>
      </w:r>
    </w:p>
    <w:p w:rsidR="0098133F" w:rsidRPr="00DE6EBC" w:rsidRDefault="0098133F" w:rsidP="0098133F">
      <w:pPr>
        <w:pStyle w:val="OutlineNumbered1"/>
        <w:rPr>
          <w:rFonts w:cs="Garamond"/>
          <w:color w:val="000000"/>
        </w:rPr>
      </w:pPr>
      <w:r>
        <w:t xml:space="preserve">In the absence of any compelling evidence to suggest </w:t>
      </w:r>
      <w:r w:rsidR="00711CA5">
        <w:t>substantial</w:t>
      </w:r>
      <w:r>
        <w:t xml:space="preserve"> inefficiency in the allocation of capital with</w:t>
      </w:r>
      <w:r w:rsidR="00711CA5">
        <w:t>in</w:t>
      </w:r>
      <w:r>
        <w:t xml:space="preserve"> the superannuation sector, trustees should continue to </w:t>
      </w:r>
      <w:r w:rsidR="008F421E">
        <w:t>act in the best</w:t>
      </w:r>
      <w:r>
        <w:t xml:space="preserve"> interests of their members rather than any perceived ‘national interest’.</w:t>
      </w:r>
    </w:p>
    <w:p w:rsidR="0098133F" w:rsidRDefault="0098133F" w:rsidP="0098133F">
      <w:pPr>
        <w:pStyle w:val="OutlineNumbered1"/>
        <w:numPr>
          <w:ilvl w:val="0"/>
          <w:numId w:val="0"/>
        </w:numPr>
        <w:spacing w:before="240"/>
      </w:pPr>
      <w:r>
        <w:rPr>
          <w:rFonts w:eastAsia="Calibri"/>
          <w:b/>
          <w:color w:val="000080"/>
          <w:sz w:val="36"/>
          <w:szCs w:val="36"/>
          <w:lang w:eastAsia="en-US"/>
        </w:rPr>
        <w:lastRenderedPageBreak/>
        <w:t xml:space="preserve">Scope for the </w:t>
      </w:r>
      <w:r w:rsidRPr="00093935">
        <w:rPr>
          <w:rFonts w:eastAsia="Calibri"/>
          <w:b/>
          <w:color w:val="000080"/>
          <w:sz w:val="36"/>
          <w:szCs w:val="36"/>
          <w:lang w:eastAsia="en-US"/>
        </w:rPr>
        <w:t>superannuation sector to improve technical efficiency</w:t>
      </w:r>
      <w:r>
        <w:t xml:space="preserve"> </w:t>
      </w:r>
    </w:p>
    <w:p w:rsidR="0098133F" w:rsidRDefault="0098133F" w:rsidP="0098133F">
      <w:pPr>
        <w:pStyle w:val="OutlineNumbered1"/>
      </w:pPr>
      <w:r>
        <w:t xml:space="preserve">The relatively high cost of Australia’s superannuation sector </w:t>
      </w:r>
      <w:r w:rsidR="008F421E">
        <w:t xml:space="preserve">(see </w:t>
      </w:r>
      <w:r w:rsidR="008F421E" w:rsidRPr="00967350">
        <w:fldChar w:fldCharType="begin"/>
      </w:r>
      <w:r w:rsidR="008F421E" w:rsidRPr="00967350">
        <w:instrText xml:space="preserve"> REF _Ref383719826 \h  \* MERGEFORMAT </w:instrText>
      </w:r>
      <w:r w:rsidR="008F421E" w:rsidRPr="00967350">
        <w:fldChar w:fldCharType="separate"/>
      </w:r>
      <w:r w:rsidR="0050148E" w:rsidRPr="0050148E">
        <w:t xml:space="preserve">Chart </w:t>
      </w:r>
      <w:r w:rsidR="0050148E" w:rsidRPr="0050148E">
        <w:rPr>
          <w:noProof/>
        </w:rPr>
        <w:t>4</w:t>
      </w:r>
      <w:r w:rsidR="008F421E" w:rsidRPr="00967350">
        <w:fldChar w:fldCharType="end"/>
      </w:r>
      <w:r w:rsidR="008F421E">
        <w:t xml:space="preserve">) suggests </w:t>
      </w:r>
      <w:r>
        <w:t>there is scope for the sector to continue to improve its technical efficiency</w:t>
      </w:r>
      <w:r w:rsidR="008F421E">
        <w:t xml:space="preserve"> </w:t>
      </w:r>
      <w:r>
        <w:t>—</w:t>
      </w:r>
      <w:r w:rsidR="008F421E">
        <w:t xml:space="preserve"> </w:t>
      </w:r>
      <w:r>
        <w:t xml:space="preserve">reducing the use of resources internal to the sector </w:t>
      </w:r>
      <w:r w:rsidR="008F421E">
        <w:t xml:space="preserve">— to </w:t>
      </w:r>
      <w:r>
        <w:t>plac</w:t>
      </w:r>
      <w:r w:rsidR="008F421E">
        <w:t>e</w:t>
      </w:r>
      <w:r>
        <w:t xml:space="preserve"> downward pressure on fees. </w:t>
      </w:r>
    </w:p>
    <w:p w:rsidR="0098133F" w:rsidRDefault="00967350" w:rsidP="00967350">
      <w:pPr>
        <w:keepNext/>
        <w:jc w:val="center"/>
        <w:rPr>
          <w:b/>
        </w:rPr>
      </w:pPr>
      <w:bookmarkStart w:id="472" w:name="_Ref383719826"/>
      <w:r w:rsidRPr="00967350">
        <w:rPr>
          <w:b/>
        </w:rPr>
        <w:t xml:space="preserve">Chart </w:t>
      </w:r>
      <w:r w:rsidR="00C7465E">
        <w:rPr>
          <w:b/>
        </w:rPr>
        <w:fldChar w:fldCharType="begin"/>
      </w:r>
      <w:r w:rsidR="00C7465E">
        <w:rPr>
          <w:b/>
        </w:rPr>
        <w:instrText xml:space="preserve"> SEQ Chart \* ARABIC </w:instrText>
      </w:r>
      <w:r w:rsidR="00C7465E">
        <w:rPr>
          <w:b/>
        </w:rPr>
        <w:fldChar w:fldCharType="separate"/>
      </w:r>
      <w:r w:rsidR="0050148E">
        <w:rPr>
          <w:b/>
          <w:noProof/>
        </w:rPr>
        <w:t>4</w:t>
      </w:r>
      <w:r w:rsidR="00C7465E">
        <w:rPr>
          <w:b/>
        </w:rPr>
        <w:fldChar w:fldCharType="end"/>
      </w:r>
      <w:bookmarkEnd w:id="472"/>
      <w:r w:rsidRPr="00967350">
        <w:rPr>
          <w:b/>
        </w:rPr>
        <w:t xml:space="preserve">: </w:t>
      </w:r>
      <w:r w:rsidR="008F421E">
        <w:rPr>
          <w:b/>
        </w:rPr>
        <w:t>Pension funds’ operating expenses as a share of total investments (selected OECD economies, 2012)</w:t>
      </w:r>
    </w:p>
    <w:p w:rsidR="008F421E" w:rsidRPr="00967350" w:rsidRDefault="002659E9" w:rsidP="00967350">
      <w:pPr>
        <w:keepNext/>
        <w:jc w:val="center"/>
        <w:rPr>
          <w:b/>
          <w:highlight w:val="yellow"/>
        </w:rPr>
      </w:pPr>
      <w:r>
        <w:rPr>
          <w:noProof/>
          <w:lang w:val="en-US"/>
        </w:rPr>
        <w:drawing>
          <wp:inline distT="0" distB="0" distL="0" distR="0" wp14:anchorId="73A3A2DB" wp14:editId="67AB9967">
            <wp:extent cx="5545262" cy="243931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59E9" w:rsidRDefault="002659E9" w:rsidP="00711CA5">
      <w:pPr>
        <w:spacing w:after="0" w:line="240" w:lineRule="auto"/>
        <w:rPr>
          <w:rFonts w:asciiTheme="minorHAnsi" w:eastAsia="Times New Roman" w:hAnsiTheme="minorHAnsi"/>
          <w:sz w:val="20"/>
          <w:szCs w:val="20"/>
          <w:lang w:eastAsia="en-AU"/>
        </w:rPr>
      </w:pPr>
      <w:r>
        <w:rPr>
          <w:rFonts w:asciiTheme="minorHAnsi" w:eastAsia="Times New Roman" w:hAnsiTheme="minorHAnsi"/>
          <w:sz w:val="20"/>
          <w:szCs w:val="20"/>
          <w:lang w:eastAsia="en-AU"/>
        </w:rPr>
        <w:t>*UK data is for 2011.</w:t>
      </w:r>
    </w:p>
    <w:p w:rsidR="0098133F" w:rsidRPr="00093935" w:rsidRDefault="0098133F" w:rsidP="00711CA5">
      <w:pPr>
        <w:spacing w:after="0" w:line="240" w:lineRule="auto"/>
        <w:rPr>
          <w:lang w:eastAsia="en-AU"/>
        </w:rPr>
      </w:pPr>
      <w:r w:rsidRPr="00093935">
        <w:rPr>
          <w:rFonts w:asciiTheme="minorHAnsi" w:eastAsia="Times New Roman" w:hAnsiTheme="minorHAnsi"/>
          <w:sz w:val="20"/>
          <w:szCs w:val="20"/>
          <w:lang w:eastAsia="en-AU"/>
        </w:rPr>
        <w:t xml:space="preserve">Note: There </w:t>
      </w:r>
      <w:r w:rsidR="008F421E">
        <w:rPr>
          <w:rFonts w:asciiTheme="minorHAnsi" w:eastAsia="Times New Roman" w:hAnsiTheme="minorHAnsi"/>
          <w:sz w:val="20"/>
          <w:szCs w:val="20"/>
          <w:lang w:eastAsia="en-AU"/>
        </w:rPr>
        <w:t>can be</w:t>
      </w:r>
      <w:r w:rsidRPr="00093935">
        <w:rPr>
          <w:rFonts w:asciiTheme="minorHAnsi" w:eastAsia="Times New Roman" w:hAnsiTheme="minorHAnsi"/>
          <w:sz w:val="20"/>
          <w:szCs w:val="20"/>
          <w:lang w:eastAsia="en-AU"/>
        </w:rPr>
        <w:t xml:space="preserve"> </w:t>
      </w:r>
      <w:r w:rsidR="00874E4A">
        <w:rPr>
          <w:rFonts w:asciiTheme="minorHAnsi" w:eastAsia="Times New Roman" w:hAnsiTheme="minorHAnsi"/>
          <w:sz w:val="20"/>
          <w:szCs w:val="20"/>
          <w:lang w:eastAsia="en-AU"/>
        </w:rPr>
        <w:t>differences</w:t>
      </w:r>
      <w:r w:rsidRPr="00093935">
        <w:rPr>
          <w:rFonts w:asciiTheme="minorHAnsi" w:eastAsia="Times New Roman" w:hAnsiTheme="minorHAnsi"/>
          <w:sz w:val="20"/>
          <w:szCs w:val="20"/>
          <w:lang w:eastAsia="en-AU"/>
        </w:rPr>
        <w:t xml:space="preserve"> in </w:t>
      </w:r>
      <w:r w:rsidR="008F421E">
        <w:rPr>
          <w:rFonts w:asciiTheme="minorHAnsi" w:eastAsia="Times New Roman" w:hAnsiTheme="minorHAnsi"/>
          <w:sz w:val="20"/>
          <w:szCs w:val="20"/>
          <w:lang w:eastAsia="en-AU"/>
        </w:rPr>
        <w:t>what is covered in the definition of ‘operating expenses</w:t>
      </w:r>
      <w:r w:rsidR="00874E4A">
        <w:rPr>
          <w:rFonts w:asciiTheme="minorHAnsi" w:eastAsia="Times New Roman" w:hAnsiTheme="minorHAnsi"/>
          <w:sz w:val="20"/>
          <w:szCs w:val="20"/>
          <w:lang w:eastAsia="en-AU"/>
        </w:rPr>
        <w:t>’.</w:t>
      </w:r>
      <w:r w:rsidR="008F421E">
        <w:rPr>
          <w:rFonts w:asciiTheme="minorHAnsi" w:eastAsia="Times New Roman" w:hAnsiTheme="minorHAnsi"/>
          <w:sz w:val="20"/>
          <w:szCs w:val="20"/>
          <w:lang w:eastAsia="en-AU"/>
        </w:rPr>
        <w:t xml:space="preserve">  As such, caution should be used when comparing countries </w:t>
      </w:r>
      <w:r w:rsidR="005E01C9">
        <w:rPr>
          <w:rFonts w:asciiTheme="minorHAnsi" w:eastAsia="Times New Roman" w:hAnsiTheme="minorHAnsi"/>
          <w:sz w:val="20"/>
          <w:szCs w:val="20"/>
          <w:lang w:eastAsia="en-AU"/>
        </w:rPr>
        <w:t>using these OECD data, and also in any comparison with other studies.</w:t>
      </w:r>
      <w:r>
        <w:t xml:space="preserve"> </w:t>
      </w:r>
    </w:p>
    <w:p w:rsidR="008F421E" w:rsidRDefault="008F421E" w:rsidP="008F421E">
      <w:pPr>
        <w:pStyle w:val="ChartGraphic"/>
        <w:jc w:val="left"/>
        <w:rPr>
          <w:rFonts w:asciiTheme="minorHAnsi" w:hAnsiTheme="minorHAnsi"/>
          <w:color w:val="auto"/>
        </w:rPr>
      </w:pPr>
      <w:r w:rsidRPr="00BC79BC">
        <w:rPr>
          <w:rFonts w:asciiTheme="minorHAnsi" w:hAnsiTheme="minorHAnsi"/>
          <w:color w:val="auto"/>
        </w:rPr>
        <w:t>Source: OECD</w:t>
      </w:r>
      <w:r>
        <w:rPr>
          <w:rFonts w:asciiTheme="minorHAnsi" w:hAnsiTheme="minorHAnsi"/>
          <w:color w:val="auto"/>
        </w:rPr>
        <w:t xml:space="preserve"> </w:t>
      </w:r>
      <w:r w:rsidR="005E01C9">
        <w:rPr>
          <w:rFonts w:asciiTheme="minorHAnsi" w:hAnsiTheme="minorHAnsi"/>
          <w:color w:val="auto"/>
        </w:rPr>
        <w:t>Pension Markets in Focus 2013</w:t>
      </w:r>
      <w:r w:rsidR="002659E9">
        <w:rPr>
          <w:rFonts w:asciiTheme="minorHAnsi" w:hAnsiTheme="minorHAnsi"/>
          <w:color w:val="auto"/>
        </w:rPr>
        <w:t xml:space="preserve"> and OECD Global Pension Statistics database</w:t>
      </w:r>
      <w:r w:rsidR="005E01C9">
        <w:rPr>
          <w:rFonts w:asciiTheme="minorHAnsi" w:hAnsiTheme="minorHAnsi"/>
          <w:color w:val="auto"/>
        </w:rPr>
        <w:t>.</w:t>
      </w:r>
    </w:p>
    <w:p w:rsidR="008F421E" w:rsidRPr="00093935" w:rsidRDefault="008F421E" w:rsidP="0098133F">
      <w:pPr>
        <w:rPr>
          <w:lang w:eastAsia="en-AU"/>
        </w:rPr>
      </w:pPr>
    </w:p>
    <w:p w:rsidR="0098133F" w:rsidRPr="006B5AEB" w:rsidRDefault="0098133F" w:rsidP="0098133F">
      <w:pPr>
        <w:pStyle w:val="OutlineNumbered1"/>
      </w:pPr>
      <w:r>
        <w:t xml:space="preserve">There is a wide dispersion of fees across the superannuation sector. </w:t>
      </w:r>
      <w:r w:rsidR="007E2AB6">
        <w:t xml:space="preserve"> </w:t>
      </w:r>
      <w:r>
        <w:t xml:space="preserve">By segment, fees range </w:t>
      </w:r>
      <w:r w:rsidR="0057311B">
        <w:t xml:space="preserve">from </w:t>
      </w:r>
      <w:r w:rsidR="005E01C9">
        <w:t>around</w:t>
      </w:r>
      <w:r>
        <w:t xml:space="preserve"> 0.8 per cent to</w:t>
      </w:r>
      <w:r w:rsidR="005E01C9">
        <w:t xml:space="preserve"> around</w:t>
      </w:r>
      <w:r>
        <w:t xml:space="preserve"> 2.4 per cent of mean fund size</w:t>
      </w:r>
      <w:r w:rsidR="0076450D">
        <w:t>.</w:t>
      </w:r>
      <w:r>
        <w:rPr>
          <w:rStyle w:val="FootnoteReference"/>
        </w:rPr>
        <w:footnoteReference w:id="61"/>
      </w:r>
      <w:r>
        <w:t xml:space="preserve">  Despite fees</w:t>
      </w:r>
      <w:r w:rsidR="0040592E">
        <w:t xml:space="preserve"> </w:t>
      </w:r>
      <w:r>
        <w:t xml:space="preserve">drifting down </w:t>
      </w:r>
      <w:r w:rsidR="00BD5E6F">
        <w:t xml:space="preserve">slightly </w:t>
      </w:r>
      <w:r w:rsidR="00A26AE7">
        <w:t xml:space="preserve">as a share of mean fund size </w:t>
      </w:r>
      <w:r>
        <w:t xml:space="preserve">slightly since 2002, </w:t>
      </w:r>
      <w:r w:rsidRPr="006B5AEB">
        <w:t>industry, public sector and corporate super</w:t>
      </w:r>
      <w:r w:rsidR="005E01C9">
        <w:t>annuation</w:t>
      </w:r>
      <w:r w:rsidRPr="006B5AEB">
        <w:t xml:space="preserve"> funds still have fees between around </w:t>
      </w:r>
      <w:r w:rsidR="005E01C9">
        <w:t>0.8</w:t>
      </w:r>
      <w:r w:rsidRPr="006B5AEB">
        <w:t xml:space="preserve"> and 1.</w:t>
      </w:r>
      <w:r w:rsidR="00666854">
        <w:t>1</w:t>
      </w:r>
      <w:r w:rsidRPr="006B5AEB">
        <w:t xml:space="preserve"> per cent</w:t>
      </w:r>
      <w:r>
        <w:t xml:space="preserve"> of mean fund size.</w:t>
      </w:r>
      <w:r w:rsidR="005E01C9" w:rsidRPr="005E01C9">
        <w:rPr>
          <w:rStyle w:val="FootnoteReference"/>
        </w:rPr>
        <w:t xml:space="preserve"> </w:t>
      </w:r>
      <w:r w:rsidR="005E01C9">
        <w:rPr>
          <w:rStyle w:val="FootnoteReference"/>
        </w:rPr>
        <w:footnoteReference w:id="62"/>
      </w:r>
      <w:r>
        <w:t xml:space="preserve"> </w:t>
      </w:r>
      <w:r w:rsidR="007E2AB6">
        <w:t xml:space="preserve"> </w:t>
      </w:r>
      <w:r w:rsidRPr="006B5AEB">
        <w:t>For example, on a $50,000 balance, the average super</w:t>
      </w:r>
      <w:r w:rsidR="005E01C9">
        <w:t>annuation</w:t>
      </w:r>
      <w:r w:rsidRPr="006B5AEB">
        <w:t xml:space="preserve"> fund in 2013 charged $726 in fees</w:t>
      </w:r>
      <w:r>
        <w:t>.</w:t>
      </w:r>
      <w:r w:rsidR="005E01C9" w:rsidRPr="005E01C9">
        <w:rPr>
          <w:rStyle w:val="FootnoteReference"/>
        </w:rPr>
        <w:t xml:space="preserve"> </w:t>
      </w:r>
      <w:r w:rsidR="005E01C9">
        <w:rPr>
          <w:rStyle w:val="FootnoteReference"/>
        </w:rPr>
        <w:footnoteReference w:id="63"/>
      </w:r>
    </w:p>
    <w:p w:rsidR="0098133F" w:rsidRPr="00636120" w:rsidRDefault="0098133F" w:rsidP="0098133F">
      <w:pPr>
        <w:pStyle w:val="OutlineNumbered1"/>
      </w:pPr>
      <w:r w:rsidRPr="00636120">
        <w:t>Continued consolidation of APRA-regulated funds will enable funds to take advantage of economies of scale and reduce operating costs</w:t>
      </w:r>
      <w:r w:rsidR="0076450D">
        <w:t>.</w:t>
      </w:r>
      <w:r w:rsidRPr="00636120">
        <w:rPr>
          <w:vertAlign w:val="superscript"/>
        </w:rPr>
        <w:footnoteReference w:id="64"/>
      </w:r>
      <w:r>
        <w:t xml:space="preserve">  </w:t>
      </w:r>
      <w:r w:rsidRPr="00636120">
        <w:t xml:space="preserve">Since the Wallis </w:t>
      </w:r>
      <w:r w:rsidR="00B00F68">
        <w:t>I</w:t>
      </w:r>
      <w:r w:rsidRPr="00636120">
        <w:t xml:space="preserve">nquiry there has </w:t>
      </w:r>
      <w:r w:rsidRPr="00636120">
        <w:lastRenderedPageBreak/>
        <w:t>been a significant consolidation of APRA-regulated funds.  As at June 1997</w:t>
      </w:r>
      <w:r w:rsidR="005E01C9">
        <w:t>,</w:t>
      </w:r>
      <w:r w:rsidRPr="00636120">
        <w:t xml:space="preserve"> there were over 4,</w:t>
      </w:r>
      <w:r w:rsidR="005E01C9">
        <w:t>7</w:t>
      </w:r>
      <w:r w:rsidRPr="00636120">
        <w:t>00 APRA</w:t>
      </w:r>
      <w:r w:rsidR="00DE78D3">
        <w:t>-</w:t>
      </w:r>
      <w:r w:rsidRPr="00636120">
        <w:t>regulated funds</w:t>
      </w:r>
      <w:r w:rsidR="005E01C9">
        <w:t xml:space="preserve"> with more than four members</w:t>
      </w:r>
      <w:r w:rsidR="005E01C9">
        <w:rPr>
          <w:rStyle w:val="FootnoteReference"/>
        </w:rPr>
        <w:footnoteReference w:id="65"/>
      </w:r>
      <w:r w:rsidR="005E01C9">
        <w:t>, but</w:t>
      </w:r>
      <w:r w:rsidRPr="00636120">
        <w:t xml:space="preserve"> </w:t>
      </w:r>
      <w:r w:rsidR="005E01C9">
        <w:t>b</w:t>
      </w:r>
      <w:r w:rsidRPr="00636120">
        <w:t xml:space="preserve">y June 2013, this number had </w:t>
      </w:r>
      <w:r>
        <w:t xml:space="preserve">dropped to around </w:t>
      </w:r>
      <w:r w:rsidR="005E01C9">
        <w:t>325 funds.</w:t>
      </w:r>
      <w:r w:rsidR="005E01C9">
        <w:rPr>
          <w:rStyle w:val="FootnoteReference"/>
        </w:rPr>
        <w:footnoteReference w:id="66"/>
      </w:r>
      <w:r>
        <w:t xml:space="preserve"> </w:t>
      </w:r>
      <w:r w:rsidR="005E01C9">
        <w:t xml:space="preserve"> Thus far the smaller number of funds has been</w:t>
      </w:r>
      <w:r>
        <w:t xml:space="preserve"> sufficient to ensure competition</w:t>
      </w:r>
      <w:r w:rsidR="005E01C9">
        <w:t>, with the</w:t>
      </w:r>
      <w:r w:rsidRPr="00636120">
        <w:t xml:space="preserve"> largest fund </w:t>
      </w:r>
      <w:r w:rsidR="005E01C9">
        <w:t>comprising only around 6.2 per cent of total assets of APRA</w:t>
      </w:r>
      <w:r w:rsidR="005E01C9">
        <w:noBreakHyphen/>
        <w:t>regulated funds with more than four members.</w:t>
      </w:r>
      <w:r w:rsidR="005E01C9" w:rsidRPr="005E01C9">
        <w:rPr>
          <w:rStyle w:val="FootnoteReference"/>
        </w:rPr>
        <w:t xml:space="preserve"> </w:t>
      </w:r>
      <w:r w:rsidR="005E01C9">
        <w:rPr>
          <w:rStyle w:val="FootnoteReference"/>
        </w:rPr>
        <w:footnoteReference w:id="67"/>
      </w:r>
      <w:r>
        <w:t xml:space="preserve"> </w:t>
      </w:r>
    </w:p>
    <w:p w:rsidR="0098133F" w:rsidRDefault="0098133F" w:rsidP="0098133F">
      <w:pPr>
        <w:pStyle w:val="OutlineNumbered1"/>
      </w:pPr>
      <w:r>
        <w:t>Principal-agent theory also suggests that the s</w:t>
      </w:r>
      <w:r w:rsidRPr="00B210CB">
        <w:t xml:space="preserve">eparation of </w:t>
      </w:r>
      <w:r>
        <w:t xml:space="preserve">the </w:t>
      </w:r>
      <w:r w:rsidRPr="00B210CB">
        <w:t xml:space="preserve">ownership </w:t>
      </w:r>
      <w:r>
        <w:t xml:space="preserve">of funds </w:t>
      </w:r>
      <w:r w:rsidRPr="00B210CB">
        <w:t xml:space="preserve">from </w:t>
      </w:r>
      <w:r w:rsidR="005E01C9">
        <w:t xml:space="preserve">those who manage the funds </w:t>
      </w:r>
      <w:r w:rsidRPr="00B210CB">
        <w:t xml:space="preserve">opens up </w:t>
      </w:r>
      <w:r>
        <w:t xml:space="preserve">the </w:t>
      </w:r>
      <w:r w:rsidRPr="00B210CB">
        <w:t xml:space="preserve">risk </w:t>
      </w:r>
      <w:r w:rsidR="005E01C9">
        <w:t>that</w:t>
      </w:r>
      <w:r w:rsidRPr="00B210CB">
        <w:t xml:space="preserve"> managers rationally maximis</w:t>
      </w:r>
      <w:r w:rsidR="005E01C9">
        <w:t>e</w:t>
      </w:r>
      <w:r w:rsidRPr="00B210CB">
        <w:t xml:space="preserve"> their ow</w:t>
      </w:r>
      <w:r>
        <w:t xml:space="preserve">n </w:t>
      </w:r>
      <w:r w:rsidR="005E01C9">
        <w:t xml:space="preserve">interests </w:t>
      </w:r>
      <w:r>
        <w:t xml:space="preserve">at the expense of </w:t>
      </w:r>
      <w:r w:rsidR="005E01C9">
        <w:t>fund</w:t>
      </w:r>
      <w:r>
        <w:t xml:space="preserve"> members.</w:t>
      </w:r>
      <w:r w:rsidRPr="00B210CB">
        <w:t xml:space="preserve"> </w:t>
      </w:r>
      <w:r>
        <w:t xml:space="preserve"> These risks rise when there is a potentially complex decision to be made, with possible asymmetric information and disengaged members. </w:t>
      </w:r>
    </w:p>
    <w:p w:rsidR="005E01C9" w:rsidRDefault="005E01C9" w:rsidP="0098133F">
      <w:pPr>
        <w:pStyle w:val="OutlineNumbered1"/>
      </w:pPr>
      <w:r>
        <w:t>Other reasons why Australia’s superannuation sector may have high costs include the reliance on manual and paper</w:t>
      </w:r>
      <w:r>
        <w:noBreakHyphen/>
        <w:t>based back office systems and the maintenance of legacy systems.</w:t>
      </w:r>
    </w:p>
    <w:p w:rsidR="0098133F" w:rsidRDefault="0098133F" w:rsidP="0098133F">
      <w:pPr>
        <w:pStyle w:val="OutlineNumbered1"/>
      </w:pPr>
      <w:r>
        <w:t xml:space="preserve">Recent policy </w:t>
      </w:r>
      <w:r w:rsidRPr="001168CC">
        <w:t>reforms</w:t>
      </w:r>
      <w:r>
        <w:t xml:space="preserve">, when fully implemented, combined with the continued expansion of choice within the sector will drive improved efficiency. </w:t>
      </w:r>
      <w:r w:rsidR="007E2AB6">
        <w:t xml:space="preserve"> </w:t>
      </w:r>
      <w:r>
        <w:t xml:space="preserve">Many of the policy changes strengthen the onus on trustees to manage funds in the best interests of members and provide more digestible information to members.  </w:t>
      </w:r>
    </w:p>
    <w:p w:rsidR="0098133F" w:rsidRPr="003F4995" w:rsidRDefault="0098133F" w:rsidP="009F5FD7">
      <w:pPr>
        <w:pStyle w:val="Bullet"/>
        <w:numPr>
          <w:ilvl w:val="0"/>
          <w:numId w:val="6"/>
        </w:numPr>
        <w:ind w:right="0"/>
        <w:rPr>
          <w:b/>
          <w:szCs w:val="24"/>
        </w:rPr>
      </w:pPr>
      <w:r>
        <w:rPr>
          <w:szCs w:val="24"/>
        </w:rPr>
        <w:t xml:space="preserve">The </w:t>
      </w:r>
      <w:r w:rsidRPr="00BF1D2A">
        <w:rPr>
          <w:szCs w:val="24"/>
        </w:rPr>
        <w:t xml:space="preserve">introduction of a </w:t>
      </w:r>
      <w:r w:rsidR="005E01C9">
        <w:rPr>
          <w:szCs w:val="24"/>
        </w:rPr>
        <w:t xml:space="preserve">cost effective </w:t>
      </w:r>
      <w:r w:rsidRPr="00BF1D2A">
        <w:rPr>
          <w:szCs w:val="24"/>
        </w:rPr>
        <w:t xml:space="preserve">default superannuation product </w:t>
      </w:r>
      <w:r>
        <w:rPr>
          <w:szCs w:val="24"/>
        </w:rPr>
        <w:t>(</w:t>
      </w:r>
      <w:r w:rsidRPr="00BF1D2A">
        <w:rPr>
          <w:szCs w:val="24"/>
        </w:rPr>
        <w:t>MySuper</w:t>
      </w:r>
      <w:r>
        <w:rPr>
          <w:szCs w:val="24"/>
        </w:rPr>
        <w:t xml:space="preserve">), </w:t>
      </w:r>
      <w:r w:rsidR="005E01C9">
        <w:rPr>
          <w:szCs w:val="24"/>
        </w:rPr>
        <w:t>aims, when fully implemented</w:t>
      </w:r>
      <w:r w:rsidRPr="00BF1D2A">
        <w:rPr>
          <w:szCs w:val="24"/>
        </w:rPr>
        <w:t xml:space="preserve"> to simplify default superannuation products</w:t>
      </w:r>
      <w:r w:rsidR="00A83C6A">
        <w:rPr>
          <w:szCs w:val="24"/>
        </w:rPr>
        <w:t>, constrain</w:t>
      </w:r>
      <w:r>
        <w:rPr>
          <w:szCs w:val="24"/>
        </w:rPr>
        <w:t xml:space="preserve"> fees</w:t>
      </w:r>
      <w:r w:rsidRPr="00BF1D2A">
        <w:rPr>
          <w:szCs w:val="24"/>
        </w:rPr>
        <w:t xml:space="preserve"> </w:t>
      </w:r>
      <w:r>
        <w:rPr>
          <w:szCs w:val="24"/>
        </w:rPr>
        <w:t xml:space="preserve">and charges, </w:t>
      </w:r>
      <w:r w:rsidRPr="00BF1D2A">
        <w:rPr>
          <w:szCs w:val="24"/>
        </w:rPr>
        <w:t>and improve the</w:t>
      </w:r>
      <w:r>
        <w:rPr>
          <w:szCs w:val="24"/>
        </w:rPr>
        <w:t>ir</w:t>
      </w:r>
      <w:r w:rsidRPr="00BF1D2A">
        <w:rPr>
          <w:szCs w:val="24"/>
        </w:rPr>
        <w:t xml:space="preserve"> transparency and comparability</w:t>
      </w:r>
      <w:r>
        <w:rPr>
          <w:szCs w:val="24"/>
        </w:rPr>
        <w:t>.</w:t>
      </w:r>
    </w:p>
    <w:p w:rsidR="0098133F" w:rsidRPr="00BF1D2A" w:rsidRDefault="0098133F" w:rsidP="009F5FD7">
      <w:pPr>
        <w:pStyle w:val="Bullet"/>
        <w:numPr>
          <w:ilvl w:val="0"/>
          <w:numId w:val="6"/>
        </w:numPr>
        <w:ind w:right="0"/>
        <w:rPr>
          <w:b/>
          <w:szCs w:val="24"/>
        </w:rPr>
      </w:pPr>
      <w:r>
        <w:rPr>
          <w:szCs w:val="24"/>
        </w:rPr>
        <w:t>The SuperStream</w:t>
      </w:r>
      <w:r w:rsidR="005E01C9">
        <w:rPr>
          <w:szCs w:val="24"/>
        </w:rPr>
        <w:t xml:space="preserve"> reforms, when fully implemented,</w:t>
      </w:r>
      <w:r>
        <w:rPr>
          <w:szCs w:val="24"/>
        </w:rPr>
        <w:t xml:space="preserve"> are designed to make the processing of everyday superannuation transactions faster, easier and simpler by requiring superannuation funds and employers to use common standards for making and receiving rollovers and contributions.</w:t>
      </w:r>
    </w:p>
    <w:p w:rsidR="0098133F" w:rsidRPr="00BF1D2A" w:rsidRDefault="00A83C6A" w:rsidP="009F5FD7">
      <w:pPr>
        <w:pStyle w:val="Bullet"/>
        <w:numPr>
          <w:ilvl w:val="0"/>
          <w:numId w:val="6"/>
        </w:numPr>
        <w:ind w:right="0"/>
        <w:rPr>
          <w:b/>
          <w:szCs w:val="24"/>
        </w:rPr>
      </w:pPr>
      <w:r>
        <w:rPr>
          <w:szCs w:val="24"/>
        </w:rPr>
        <w:t xml:space="preserve">Giving APRA </w:t>
      </w:r>
      <w:r w:rsidR="0098133F" w:rsidRPr="00BF1D2A">
        <w:rPr>
          <w:szCs w:val="24"/>
        </w:rPr>
        <w:t xml:space="preserve">greater </w:t>
      </w:r>
      <w:r w:rsidR="005E01C9">
        <w:rPr>
          <w:szCs w:val="24"/>
        </w:rPr>
        <w:t>flexibility</w:t>
      </w:r>
      <w:r w:rsidR="005E01C9" w:rsidRPr="00BF1D2A">
        <w:rPr>
          <w:szCs w:val="24"/>
        </w:rPr>
        <w:t xml:space="preserve"> </w:t>
      </w:r>
      <w:r w:rsidR="0098133F" w:rsidRPr="00BF1D2A">
        <w:rPr>
          <w:szCs w:val="24"/>
        </w:rPr>
        <w:t>to oversee the s</w:t>
      </w:r>
      <w:r w:rsidR="0098133F">
        <w:rPr>
          <w:szCs w:val="24"/>
        </w:rPr>
        <w:t>ector</w:t>
      </w:r>
      <w:r w:rsidR="0098133F" w:rsidRPr="00BF1D2A">
        <w:rPr>
          <w:szCs w:val="24"/>
        </w:rPr>
        <w:t>, including the ability to issue prudential standards</w:t>
      </w:r>
      <w:r w:rsidR="0098133F">
        <w:rPr>
          <w:szCs w:val="24"/>
        </w:rPr>
        <w:t>.</w:t>
      </w:r>
    </w:p>
    <w:p w:rsidR="0098133F" w:rsidRPr="009C3609" w:rsidRDefault="0098133F" w:rsidP="009F5FD7">
      <w:pPr>
        <w:pStyle w:val="Bullet"/>
        <w:numPr>
          <w:ilvl w:val="0"/>
          <w:numId w:val="6"/>
        </w:numPr>
        <w:ind w:right="0"/>
        <w:rPr>
          <w:b/>
          <w:szCs w:val="24"/>
        </w:rPr>
      </w:pPr>
      <w:r>
        <w:rPr>
          <w:szCs w:val="24"/>
        </w:rPr>
        <w:t>H</w:t>
      </w:r>
      <w:r w:rsidRPr="00BF1D2A">
        <w:rPr>
          <w:szCs w:val="24"/>
        </w:rPr>
        <w:t>eightening the obligations of superannuation fund trustees and individual directors to manage their fund’s superannuation assets prudently and in the best interests of all the members of the fund</w:t>
      </w:r>
      <w:r>
        <w:rPr>
          <w:szCs w:val="24"/>
        </w:rPr>
        <w:t>.</w:t>
      </w:r>
    </w:p>
    <w:p w:rsidR="0098133F" w:rsidRPr="009C3609" w:rsidRDefault="0098133F" w:rsidP="009F5FD7">
      <w:pPr>
        <w:pStyle w:val="Bullet"/>
        <w:numPr>
          <w:ilvl w:val="0"/>
          <w:numId w:val="6"/>
        </w:numPr>
        <w:ind w:right="0"/>
        <w:rPr>
          <w:b/>
          <w:szCs w:val="24"/>
        </w:rPr>
      </w:pPr>
      <w:r>
        <w:lastRenderedPageBreak/>
        <w:t xml:space="preserve">More detailed and better quality </w:t>
      </w:r>
      <w:r w:rsidR="005E01C9">
        <w:t xml:space="preserve">superannuation </w:t>
      </w:r>
      <w:r>
        <w:t>statistics</w:t>
      </w:r>
      <w:r w:rsidR="005E01C9">
        <w:t xml:space="preserve"> to allow</w:t>
      </w:r>
      <w:r w:rsidR="00A83C6A">
        <w:t xml:space="preserve"> performance, fee</w:t>
      </w:r>
      <w:r>
        <w:t xml:space="preserve"> and asset allocation comparisons.</w:t>
      </w:r>
    </w:p>
    <w:p w:rsidR="0098133F" w:rsidRDefault="00743AFC" w:rsidP="009F5FD7">
      <w:pPr>
        <w:pStyle w:val="ListParagraph"/>
        <w:numPr>
          <w:ilvl w:val="0"/>
          <w:numId w:val="6"/>
        </w:numPr>
        <w:spacing w:after="0" w:line="240" w:lineRule="auto"/>
      </w:pPr>
      <w:r>
        <w:t>The introduction of</w:t>
      </w:r>
      <w:r w:rsidR="0098133F">
        <w:t xml:space="preserve"> </w:t>
      </w:r>
      <w:r w:rsidR="00A83C6A">
        <w:t>product</w:t>
      </w:r>
      <w:r w:rsidR="0098133F">
        <w:t xml:space="preserve"> dashboard</w:t>
      </w:r>
      <w:r w:rsidR="00A83C6A">
        <w:t>s</w:t>
      </w:r>
      <w:r w:rsidR="0098133F">
        <w:t xml:space="preserve"> </w:t>
      </w:r>
      <w:r w:rsidR="005E01C9">
        <w:t>to</w:t>
      </w:r>
      <w:r w:rsidR="0098133F">
        <w:t xml:space="preserve"> assist consumers to more easily compare superannuation products.</w:t>
      </w:r>
    </w:p>
    <w:p w:rsidR="0098133F" w:rsidRPr="009C3609" w:rsidRDefault="0098133F" w:rsidP="0098133F">
      <w:pPr>
        <w:spacing w:after="0" w:line="240" w:lineRule="auto"/>
      </w:pPr>
    </w:p>
    <w:p w:rsidR="0098133F" w:rsidRDefault="0098133F" w:rsidP="0098133F">
      <w:pPr>
        <w:pStyle w:val="OutlineNumbered1"/>
      </w:pPr>
      <w:r>
        <w:t xml:space="preserve">Many of the recent reforms have focussed on the accumulation phase of the superannuation sector, and it would be timely for the Financial System Inquiry to review the </w:t>
      </w:r>
      <w:r w:rsidR="004F7A39">
        <w:t xml:space="preserve">availability and </w:t>
      </w:r>
      <w:r>
        <w:t>adequacy of default options for the retirement phase.</w:t>
      </w:r>
    </w:p>
    <w:p w:rsidR="0098133F" w:rsidRDefault="0098133F" w:rsidP="0098133F">
      <w:pPr>
        <w:pStyle w:val="Heading3"/>
      </w:pPr>
      <w:bookmarkStart w:id="473" w:name="_Toc383703304"/>
      <w:bookmarkStart w:id="474" w:name="_Toc383704188"/>
      <w:bookmarkStart w:id="475" w:name="_Toc383783856"/>
      <w:bookmarkStart w:id="476" w:name="_Toc383784660"/>
      <w:bookmarkStart w:id="477" w:name="_Toc384121516"/>
      <w:bookmarkStart w:id="478" w:name="_Toc384123742"/>
      <w:bookmarkStart w:id="479" w:name="_Toc384132428"/>
      <w:bookmarkStart w:id="480" w:name="_Toc384205186"/>
      <w:bookmarkStart w:id="481" w:name="_Toc384278522"/>
      <w:bookmarkStart w:id="482" w:name="_Toc383081945"/>
      <w:r w:rsidRPr="00000D1A">
        <w:t xml:space="preserve">Scope for the superannuation sector to improve </w:t>
      </w:r>
      <w:r>
        <w:t>dynamic</w:t>
      </w:r>
      <w:r w:rsidRPr="00000D1A">
        <w:t xml:space="preserve"> efficiency</w:t>
      </w:r>
      <w:bookmarkEnd w:id="473"/>
      <w:bookmarkEnd w:id="474"/>
      <w:bookmarkEnd w:id="475"/>
      <w:bookmarkEnd w:id="476"/>
      <w:bookmarkEnd w:id="477"/>
      <w:bookmarkEnd w:id="478"/>
      <w:bookmarkEnd w:id="479"/>
      <w:bookmarkEnd w:id="480"/>
      <w:bookmarkEnd w:id="481"/>
      <w:r>
        <w:t xml:space="preserve"> </w:t>
      </w:r>
    </w:p>
    <w:bookmarkEnd w:id="482"/>
    <w:p w:rsidR="0098133F" w:rsidRDefault="0098133F" w:rsidP="0098133F">
      <w:pPr>
        <w:pStyle w:val="OutlineNumbered1"/>
      </w:pPr>
      <w:r>
        <w:t xml:space="preserve">It is clear that Australia’s superannuation sector needs to continue to improve its dynamic efficiency—its ability to innovate and provide products and services valued by consumers—particularly in response to the expanding needs of Australians in retirement.  </w:t>
      </w:r>
    </w:p>
    <w:p w:rsidR="0098133F" w:rsidRDefault="0098133F" w:rsidP="0098133F">
      <w:pPr>
        <w:pStyle w:val="OutlineNumbered1"/>
      </w:pPr>
      <w:r>
        <w:t xml:space="preserve">The superannuation sector is largely focussed on supporting saving through the accumulation phase, but neither it nor the insurance sector has </w:t>
      </w:r>
      <w:r w:rsidR="005E01C9">
        <w:t xml:space="preserve">sufficiently </w:t>
      </w:r>
      <w:r>
        <w:t xml:space="preserve">developed a broad range of products for individuals to manage their financial affairs through retirement.  </w:t>
      </w:r>
    </w:p>
    <w:p w:rsidR="0098133F" w:rsidRDefault="0098133F" w:rsidP="0098133F">
      <w:pPr>
        <w:pStyle w:val="OutlineNumbered1"/>
      </w:pPr>
      <w:r>
        <w:t xml:space="preserve">Recent product development by APRA-regulated funds in response to the growth of </w:t>
      </w:r>
      <w:r w:rsidR="00C53673">
        <w:t>self-managed superannuation funds</w:t>
      </w:r>
      <w:r>
        <w:t xml:space="preserve"> does indicate a degree of dynamic efficiency within the superannuation </w:t>
      </w:r>
      <w:r w:rsidR="00C53673">
        <w:t>sector</w:t>
      </w:r>
      <w:r>
        <w:t xml:space="preserve">, but more could be done. </w:t>
      </w:r>
    </w:p>
    <w:p w:rsidR="0098133F" w:rsidRPr="006E17FB" w:rsidRDefault="0098133F" w:rsidP="0098133F">
      <w:pPr>
        <w:pStyle w:val="OutlineNumbered1"/>
      </w:pPr>
      <w:r>
        <w:t xml:space="preserve">The dominant retirement income product offered through Australia’s superannuation sector is currently an account based pension—essentially a managed investment with a minimum annual drawdown required by regulation. </w:t>
      </w:r>
      <w:r w:rsidR="00922ABC">
        <w:t xml:space="preserve"> </w:t>
      </w:r>
      <w:r>
        <w:t>In 2013, annuities captured only $2.2</w:t>
      </w:r>
      <w:r w:rsidR="00A83C6A">
        <w:t xml:space="preserve"> billion</w:t>
      </w:r>
      <w:r>
        <w:t xml:space="preserve"> of the $70</w:t>
      </w:r>
      <w:r w:rsidR="00E916BC">
        <w:t xml:space="preserve"> </w:t>
      </w:r>
      <w:r w:rsidR="00A83C6A">
        <w:t>billion</w:t>
      </w:r>
      <w:r>
        <w:t xml:space="preserve"> in funds accessible to Australians retiring</w:t>
      </w:r>
      <w:r w:rsidR="001E6EFE">
        <w:t>.</w:t>
      </w:r>
      <w:r>
        <w:rPr>
          <w:rStyle w:val="FootnoteReference"/>
        </w:rPr>
        <w:footnoteReference w:id="68"/>
      </w:r>
      <w:r>
        <w:t xml:space="preserve"> </w:t>
      </w:r>
    </w:p>
    <w:p w:rsidR="0098133F" w:rsidRDefault="0098133F" w:rsidP="0098133F">
      <w:pPr>
        <w:pStyle w:val="OutlineNumbered1"/>
      </w:pPr>
      <w:r>
        <w:t xml:space="preserve">Account based pensions, as currently structured, do not protect against longevity risks. </w:t>
      </w:r>
      <w:r w:rsidR="007E2AB6">
        <w:t xml:space="preserve"> </w:t>
      </w:r>
      <w:r>
        <w:t xml:space="preserve">There are two types of longevity risk—idiosyncratic and systemic risk. </w:t>
      </w:r>
    </w:p>
    <w:p w:rsidR="0098133F" w:rsidRDefault="0098133F" w:rsidP="009F5FD7">
      <w:pPr>
        <w:pStyle w:val="Bullet"/>
        <w:numPr>
          <w:ilvl w:val="0"/>
          <w:numId w:val="1"/>
        </w:numPr>
        <w:ind w:left="1134"/>
      </w:pPr>
      <w:r>
        <w:t xml:space="preserve">The idiosyncratic element refers to the uncertainty, at retirement, around an individual’s future lifespan. </w:t>
      </w:r>
      <w:r w:rsidR="00922ABC">
        <w:t xml:space="preserve"> </w:t>
      </w:r>
      <w:r>
        <w:t xml:space="preserve">If a retiree does not know how long they will live, it is impossible for them to manage the drawdown of their pension to ensure a reasonably smooth retirement income. </w:t>
      </w:r>
      <w:r w:rsidR="00922ABC">
        <w:t xml:space="preserve"> </w:t>
      </w:r>
      <w:r>
        <w:t xml:space="preserve">Too quick a drawdown will result in an individual relying on public pension programs </w:t>
      </w:r>
      <w:r>
        <w:lastRenderedPageBreak/>
        <w:t xml:space="preserve">or other resources. </w:t>
      </w:r>
      <w:r w:rsidR="00922ABC">
        <w:t xml:space="preserve"> </w:t>
      </w:r>
      <w:r>
        <w:t>Too slow a drawdown could result in a lower standard of living in retirement than necessary.</w:t>
      </w:r>
    </w:p>
    <w:p w:rsidR="0098133F" w:rsidRDefault="0098133F" w:rsidP="009F5FD7">
      <w:pPr>
        <w:pStyle w:val="Bullet"/>
        <w:numPr>
          <w:ilvl w:val="0"/>
          <w:numId w:val="1"/>
        </w:numPr>
        <w:ind w:left="1134"/>
      </w:pPr>
      <w:r>
        <w:t>The systemic, or non-diversifiable, element refers to the uncertainty around the average lifespan of the current cohort of retirees.</w:t>
      </w:r>
    </w:p>
    <w:p w:rsidR="0098133F" w:rsidRDefault="0098133F" w:rsidP="009F5FD7">
      <w:pPr>
        <w:pStyle w:val="OutlineNumbered1"/>
      </w:pPr>
      <w:r>
        <w:t xml:space="preserve">Products that guarantee income over time regardless for how long an individual lives (often called lifetime annuities) are a means of </w:t>
      </w:r>
      <w:r w:rsidR="00855F2C">
        <w:t>eliminating both</w:t>
      </w:r>
      <w:r>
        <w:t xml:space="preserve"> the idiosyncratic </w:t>
      </w:r>
      <w:r w:rsidR="00855F2C">
        <w:t xml:space="preserve">and systemic </w:t>
      </w:r>
      <w:r>
        <w:t>element</w:t>
      </w:r>
      <w:r w:rsidR="00855F2C">
        <w:t>s</w:t>
      </w:r>
      <w:r>
        <w:t xml:space="preserve"> of longevity risk, but the range of products offered in Australia is narrow, and their take-up modest.</w:t>
      </w:r>
      <w:r w:rsidRPr="000963C7">
        <w:t xml:space="preserve"> </w:t>
      </w:r>
      <w:r w:rsidR="007E2AB6">
        <w:t xml:space="preserve"> </w:t>
      </w:r>
      <w:r w:rsidRPr="006E17FB">
        <w:t>The size of the individual immediate annuity market in Australia is very small, at 0.32</w:t>
      </w:r>
      <w:r>
        <w:t xml:space="preserve"> per cent</w:t>
      </w:r>
      <w:r w:rsidRPr="006E17FB">
        <w:t xml:space="preserve"> of GDP, compared to other OECD nations</w:t>
      </w:r>
      <w:r>
        <w:t xml:space="preserve">, </w:t>
      </w:r>
      <w:r w:rsidRPr="006E17FB">
        <w:t>although comparison between countries may not be perfectly accurate because of definitional differences.  In the United States the annuity market is valued at 15.4</w:t>
      </w:r>
      <w:r w:rsidR="00A83C6A">
        <w:t xml:space="preserve"> per cent</w:t>
      </w:r>
      <w:r w:rsidRPr="006E17FB">
        <w:t xml:space="preserve"> of GDP, and in Japan it is valued at 28.8</w:t>
      </w:r>
      <w:r w:rsidR="00A83C6A">
        <w:t xml:space="preserve"> per cent</w:t>
      </w:r>
      <w:r w:rsidRPr="006E17FB">
        <w:t xml:space="preserve"> of GDP</w:t>
      </w:r>
      <w:r w:rsidR="001E6EFE">
        <w:t>.</w:t>
      </w:r>
      <w:r>
        <w:rPr>
          <w:rStyle w:val="FootnoteReference"/>
        </w:rPr>
        <w:footnoteReference w:id="69"/>
      </w:r>
      <w:r w:rsidR="00A83C6A">
        <w:t xml:space="preserve">  </w:t>
      </w:r>
      <w:r>
        <w:t xml:space="preserve">This is an issue that both the </w:t>
      </w:r>
      <w:r w:rsidR="00A83C6A">
        <w:t>AFTS</w:t>
      </w:r>
      <w:r>
        <w:t xml:space="preserve"> Review and the Cooper Review canvassed.</w:t>
      </w:r>
    </w:p>
    <w:p w:rsidR="0098133F" w:rsidRDefault="0098133F" w:rsidP="009F5FD7">
      <w:pPr>
        <w:pStyle w:val="OutlineNumbered1"/>
      </w:pPr>
      <w:r>
        <w:t xml:space="preserve">Currently products that guarantee income for life or periods exceeding 10 years can only be offered by life insurers and friendly societies. </w:t>
      </w:r>
      <w:r w:rsidR="007E2AB6">
        <w:t xml:space="preserve"> </w:t>
      </w:r>
      <w:r>
        <w:t xml:space="preserve">But, other products that do not guarantee a specific income but still pool risk across individuals could be developed outside the life insurance sector.   </w:t>
      </w:r>
    </w:p>
    <w:p w:rsidR="0098133F" w:rsidRDefault="0098133F" w:rsidP="009F5FD7">
      <w:pPr>
        <w:pStyle w:val="OutlineNumbered1"/>
      </w:pPr>
      <w:r>
        <w:t xml:space="preserve">The price of guaranteed income products may appear unattractive to consumers as product issuers need to hold a sufficient level of capital to support the guarantee and achieve an acceptable rate of return on that capital. </w:t>
      </w:r>
      <w:r w:rsidR="00922ABC">
        <w:t xml:space="preserve"> </w:t>
      </w:r>
      <w:r w:rsidR="006D0203">
        <w:t>‘</w:t>
      </w:r>
      <w:r>
        <w:t>Australia</w:t>
      </w:r>
      <w:r w:rsidR="006D0203">
        <w:t xml:space="preserve"> is</w:t>
      </w:r>
      <w:r>
        <w:t xml:space="preserve"> the only country </w:t>
      </w:r>
      <w:r w:rsidR="006D0203">
        <w:t>which</w:t>
      </w:r>
      <w:r>
        <w:t xml:space="preserve"> relies predominantly on a </w:t>
      </w:r>
      <w:r w:rsidR="006D0203">
        <w:t xml:space="preserve">mandatory </w:t>
      </w:r>
      <w:r>
        <w:t>private</w:t>
      </w:r>
      <w:r w:rsidR="006D0203">
        <w:t>ly administered</w:t>
      </w:r>
      <w:r>
        <w:t xml:space="preserve"> defined</w:t>
      </w:r>
      <w:r w:rsidR="006D0203">
        <w:noBreakHyphen/>
      </w:r>
      <w:r>
        <w:t xml:space="preserve">contribution </w:t>
      </w:r>
      <w:r w:rsidR="006D0203">
        <w:t>structure for retirement income not to</w:t>
      </w:r>
      <w:r w:rsidRPr="00C20B54">
        <w:t xml:space="preserve"> </w:t>
      </w:r>
      <w:r>
        <w:t>have incentives or mandates in place for longevity insurance</w:t>
      </w:r>
      <w:r w:rsidR="001E6EFE">
        <w:t>.</w:t>
      </w:r>
      <w:r w:rsidR="006D0203">
        <w:t>’</w:t>
      </w:r>
      <w:r w:rsidRPr="001E6EFE">
        <w:rPr>
          <w:rStyle w:val="FootnoteReference"/>
        </w:rPr>
        <w:footnoteReference w:id="70"/>
      </w:r>
      <w:r w:rsidRPr="0098133F">
        <w:t xml:space="preserve"> </w:t>
      </w:r>
    </w:p>
    <w:p w:rsidR="00BC6E7C" w:rsidRDefault="0098133F" w:rsidP="0098133F">
      <w:pPr>
        <w:pStyle w:val="OutlineNumbered1"/>
      </w:pPr>
      <w:r>
        <w:t xml:space="preserve">The Financial System Inquiry should explore the scope for the sector to generate alternative retirement income products that offer individuals more choice in the trade-off between risk transfer and affordability.  </w:t>
      </w:r>
    </w:p>
    <w:p w:rsidR="0098133F" w:rsidRDefault="0098133F" w:rsidP="0098133F">
      <w:pPr>
        <w:pStyle w:val="OutlineNumbered1"/>
      </w:pPr>
      <w:r>
        <w:t xml:space="preserve">In doing this, the Inquiry should </w:t>
      </w:r>
      <w:r w:rsidR="00BC6E7C">
        <w:t xml:space="preserve">identify any industry, </w:t>
      </w:r>
      <w:r w:rsidR="006D0203">
        <w:t xml:space="preserve">taxation or </w:t>
      </w:r>
      <w:r w:rsidR="00BC6E7C">
        <w:t>regulatory</w:t>
      </w:r>
      <w:r w:rsidR="006D0203">
        <w:t xml:space="preserve"> </w:t>
      </w:r>
      <w:r w:rsidR="00BC6E7C">
        <w:t>impediments to developing cost</w:t>
      </w:r>
      <w:r w:rsidR="00ED5628">
        <w:noBreakHyphen/>
      </w:r>
      <w:r w:rsidR="00BC6E7C">
        <w:t xml:space="preserve">effective products, taking into account the proposed Government review of regulatory barriers currently restricting the availability of income stream products.  For example, the Inquiry could </w:t>
      </w:r>
      <w:r>
        <w:t>consider where the regulatory line should be drawn between products that can only be offered within the life insurance framework and those that can be offered by others.</w:t>
      </w:r>
      <w:r w:rsidR="00BC6E7C">
        <w:t xml:space="preserve">  The Inquiry could </w:t>
      </w:r>
      <w:r w:rsidR="00BC6E7C">
        <w:lastRenderedPageBreak/>
        <w:t xml:space="preserve">also examine any regulations within the pension system that impact on the provision of income stream products, given the important interactions between the three elements of the retirement income system. </w:t>
      </w:r>
    </w:p>
    <w:p w:rsidR="0098133F" w:rsidRDefault="0098133F" w:rsidP="0098133F">
      <w:pPr>
        <w:pStyle w:val="OutlineNumbered1"/>
      </w:pPr>
      <w:r w:rsidRPr="00603FE4">
        <w:t>The Inquiry should also consider the appropriate role for public policy, if any, in managing the systemic element of longevity risk that cannot be diversified across individuals</w:t>
      </w:r>
      <w:r w:rsidR="00213FB2">
        <w:t xml:space="preserve"> in the same age cohort</w:t>
      </w:r>
      <w:r w:rsidRPr="00603FE4">
        <w:t>.</w:t>
      </w:r>
    </w:p>
    <w:p w:rsidR="0098133F" w:rsidRDefault="0098133F" w:rsidP="0098133F">
      <w:pPr>
        <w:pStyle w:val="Heading3"/>
      </w:pPr>
      <w:bookmarkStart w:id="483" w:name="_Toc383703305"/>
      <w:bookmarkStart w:id="484" w:name="_Toc383704189"/>
      <w:bookmarkStart w:id="485" w:name="_Toc383783857"/>
      <w:bookmarkStart w:id="486" w:name="_Toc383784661"/>
      <w:bookmarkStart w:id="487" w:name="_Toc384121517"/>
      <w:bookmarkStart w:id="488" w:name="_Toc384123743"/>
      <w:bookmarkStart w:id="489" w:name="_Toc384132429"/>
      <w:bookmarkStart w:id="490" w:name="_Toc384205187"/>
      <w:bookmarkStart w:id="491" w:name="_Toc384278523"/>
      <w:r>
        <w:t>Self-managed superannuation funds support consumer choice</w:t>
      </w:r>
      <w:r w:rsidR="002A0BEA">
        <w:t xml:space="preserve"> and should not be prudentially regulated</w:t>
      </w:r>
      <w:bookmarkEnd w:id="483"/>
      <w:bookmarkEnd w:id="484"/>
      <w:bookmarkEnd w:id="485"/>
      <w:bookmarkEnd w:id="486"/>
      <w:bookmarkEnd w:id="487"/>
      <w:bookmarkEnd w:id="488"/>
      <w:bookmarkEnd w:id="489"/>
      <w:bookmarkEnd w:id="490"/>
      <w:bookmarkEnd w:id="491"/>
    </w:p>
    <w:p w:rsidR="002A0BEA" w:rsidRDefault="002A0BEA" w:rsidP="002A0BEA">
      <w:pPr>
        <w:pStyle w:val="OutlineNumbered1"/>
      </w:pPr>
      <w:r>
        <w:t xml:space="preserve">One of the </w:t>
      </w:r>
      <w:r w:rsidR="00BC6E7C">
        <w:t>noticeable</w:t>
      </w:r>
      <w:r>
        <w:t xml:space="preserve"> changes to the financial system </w:t>
      </w:r>
      <w:r w:rsidR="00BC6E7C">
        <w:t>in recent years</w:t>
      </w:r>
      <w:r>
        <w:t xml:space="preserve"> has been the growth of the self</w:t>
      </w:r>
      <w:r w:rsidR="00BC6E7C">
        <w:t>-</w:t>
      </w:r>
      <w:r>
        <w:t>managed superannuation fund sector to hold over $500 billion, or around one</w:t>
      </w:r>
      <w:r w:rsidR="00E916BC">
        <w:noBreakHyphen/>
      </w:r>
      <w:r>
        <w:t xml:space="preserve">third, of </w:t>
      </w:r>
      <w:r w:rsidR="00BC6E7C">
        <w:t xml:space="preserve">total </w:t>
      </w:r>
      <w:r>
        <w:t>super</w:t>
      </w:r>
      <w:r w:rsidR="00BC6E7C">
        <w:t>annuation</w:t>
      </w:r>
      <w:r>
        <w:t xml:space="preserve"> assets. </w:t>
      </w:r>
    </w:p>
    <w:p w:rsidR="002A0BEA" w:rsidRDefault="002A0BEA" w:rsidP="002A0BEA">
      <w:pPr>
        <w:pStyle w:val="OutlineNumbered1"/>
      </w:pPr>
      <w:r>
        <w:t>By definition, these funds are self-managed by trustees</w:t>
      </w:r>
      <w:r w:rsidR="00743AFC">
        <w:t xml:space="preserve"> who are also the members</w:t>
      </w:r>
      <w:r>
        <w:t>.</w:t>
      </w:r>
      <w:r w:rsidR="00743AFC">
        <w:rPr>
          <w:rStyle w:val="FootnoteReference"/>
        </w:rPr>
        <w:footnoteReference w:id="71"/>
      </w:r>
      <w:r>
        <w:t xml:space="preserve">  They have fewer than five members, who are usually trustees or directors of a corporate trustee.  This limit is intended to ensure that the fund </w:t>
      </w:r>
      <w:r w:rsidR="00213FB2">
        <w:t xml:space="preserve">is sufficiently small to enable </w:t>
      </w:r>
      <w:r>
        <w:t>its members to be involved in its decision making and thus in a position to protect their own interests.</w:t>
      </w:r>
    </w:p>
    <w:p w:rsidR="002A0BEA" w:rsidRDefault="002A0BEA" w:rsidP="002A0BEA">
      <w:pPr>
        <w:pStyle w:val="OutlineNumbered1"/>
      </w:pPr>
      <w:r>
        <w:t>Wallis recommended that these funds should not be subject to prudential regulation,</w:t>
      </w:r>
      <w:r w:rsidR="00BC6E7C">
        <w:t xml:space="preserve"> </w:t>
      </w:r>
      <w:r>
        <w:t xml:space="preserve">as there </w:t>
      </w:r>
      <w:r w:rsidRPr="00F61DBF">
        <w:t xml:space="preserve">is no financial promise, intense or otherwise, </w:t>
      </w:r>
      <w:r>
        <w:t xml:space="preserve">made by trustees to </w:t>
      </w:r>
      <w:r w:rsidR="00BC6E7C">
        <w:t xml:space="preserve">separate </w:t>
      </w:r>
      <w:r>
        <w:t xml:space="preserve">fund members.  As </w:t>
      </w:r>
      <w:r w:rsidR="00BC6E7C">
        <w:t>fund activities</w:t>
      </w:r>
      <w:r>
        <w:t xml:space="preserve"> are conducted entirely at the risk of the beneficiaries, there should be no regulatory assurance attaching to them.  </w:t>
      </w:r>
      <w:r w:rsidR="00240FE7">
        <w:t>Unlike APRA</w:t>
      </w:r>
      <w:r w:rsidR="00DE78D3">
        <w:t>-</w:t>
      </w:r>
      <w:r w:rsidR="00240FE7">
        <w:t>regulated funds</w:t>
      </w:r>
      <w:r>
        <w:t>, self</w:t>
      </w:r>
      <w:r w:rsidR="00BC6E7C">
        <w:t>-</w:t>
      </w:r>
      <w:r>
        <w:t xml:space="preserve">managed superannuation funds do not have access to </w:t>
      </w:r>
      <w:r w:rsidR="00BC6E7C">
        <w:t>compensation mechanisms</w:t>
      </w:r>
      <w:r>
        <w:t xml:space="preserve"> available to APRA-regulated funds </w:t>
      </w:r>
      <w:r w:rsidR="00BC6E7C">
        <w:t>if</w:t>
      </w:r>
      <w:r>
        <w:t xml:space="preserve"> fraudulent conduct or theft</w:t>
      </w:r>
      <w:r w:rsidR="00BC6E7C">
        <w:t xml:space="preserve"> results</w:t>
      </w:r>
      <w:r>
        <w:t xml:space="preserve"> in financial loss.</w:t>
      </w:r>
    </w:p>
    <w:p w:rsidR="002A0BEA" w:rsidRDefault="002A0BEA" w:rsidP="002A0BEA">
      <w:pPr>
        <w:pStyle w:val="OutlineNumbered1"/>
      </w:pPr>
      <w:r>
        <w:t>The only administrative obligations of self</w:t>
      </w:r>
      <w:r w:rsidR="00BC6E7C">
        <w:t>-</w:t>
      </w:r>
      <w:r>
        <w:t>managed superannuation funds are to lodge a single annual return with the Australian Taxation Office, pay an annual supervisory levy and arrange an annual audit by an approved auditor.  The audit requirement is the key compliance mechanism for self</w:t>
      </w:r>
      <w:r w:rsidR="00BC6E7C">
        <w:t>-</w:t>
      </w:r>
      <w:r>
        <w:t xml:space="preserve">managed funds.  </w:t>
      </w:r>
    </w:p>
    <w:p w:rsidR="002A0BEA" w:rsidRDefault="002A0BEA" w:rsidP="002A0BEA">
      <w:pPr>
        <w:pStyle w:val="OutlineNumbered1"/>
      </w:pPr>
      <w:r>
        <w:t xml:space="preserve">This differs from APRA’s approach, which </w:t>
      </w:r>
      <w:r w:rsidRPr="00D573E9">
        <w:t xml:space="preserve">promotes financial stability by requiring the institutions </w:t>
      </w:r>
      <w:r>
        <w:t xml:space="preserve">it regulates </w:t>
      </w:r>
      <w:r w:rsidRPr="00D573E9">
        <w:t>to manage risk prudently to minimise the likelihood of financial losses to fund members</w:t>
      </w:r>
      <w:r>
        <w:t xml:space="preserve">.  Among other things, </w:t>
      </w:r>
      <w:r w:rsidR="00BC6E7C">
        <w:t>APRA</w:t>
      </w:r>
      <w:r>
        <w:t xml:space="preserve"> </w:t>
      </w:r>
      <w:r w:rsidR="006D0203">
        <w:t xml:space="preserve">will </w:t>
      </w:r>
      <w:r>
        <w:t>require trustee</w:t>
      </w:r>
      <w:r w:rsidR="00BC6E7C">
        <w:t>s</w:t>
      </w:r>
      <w:r>
        <w:t xml:space="preserve"> to maintain a risk</w:t>
      </w:r>
      <w:r w:rsidR="00980C88">
        <w:noBreakHyphen/>
      </w:r>
      <w:r>
        <w:t xml:space="preserve">management framework and to notify </w:t>
      </w:r>
      <w:r w:rsidR="00BC6E7C">
        <w:t>them</w:t>
      </w:r>
      <w:r>
        <w:t xml:space="preserve"> when the trustee </w:t>
      </w:r>
      <w:r>
        <w:lastRenderedPageBreak/>
        <w:t>becomes aware of a significant breach of the framework or discovers that the framework does not adequately address a material risk.</w:t>
      </w:r>
      <w:r w:rsidR="006D0203" w:rsidRPr="006D0203">
        <w:rPr>
          <w:rStyle w:val="FootnoteReference"/>
        </w:rPr>
        <w:t xml:space="preserve"> </w:t>
      </w:r>
      <w:r w:rsidR="006D0203">
        <w:rPr>
          <w:rStyle w:val="FootnoteReference"/>
        </w:rPr>
        <w:footnoteReference w:id="72"/>
      </w:r>
      <w:r w:rsidR="006D0203">
        <w:t xml:space="preserve"> </w:t>
      </w:r>
      <w:r w:rsidR="00BC6E7C">
        <w:t xml:space="preserve">  </w:t>
      </w:r>
    </w:p>
    <w:p w:rsidR="002A0BEA" w:rsidRDefault="002A0BEA" w:rsidP="002A0BEA">
      <w:pPr>
        <w:pStyle w:val="OutlineNumbered1"/>
      </w:pPr>
      <w:r>
        <w:t xml:space="preserve">A </w:t>
      </w:r>
      <w:r w:rsidR="00BC6E7C">
        <w:t>strong</w:t>
      </w:r>
      <w:r>
        <w:t xml:space="preserve"> appeal of self</w:t>
      </w:r>
      <w:r w:rsidR="00BC6E7C">
        <w:t>-</w:t>
      </w:r>
      <w:r>
        <w:t xml:space="preserve">managed funds is that they allow individuals the opportunity and freedom to engage more closely with their retirement savings.  Continuation of the light-touch compliance framework allows individuals to take greater responsibility over their decisions without being </w:t>
      </w:r>
      <w:r w:rsidR="006D0203">
        <w:t xml:space="preserve">subject to </w:t>
      </w:r>
      <w:r>
        <w:t>the requirements of the prudential regulatory framework.</w:t>
      </w:r>
      <w:r w:rsidRPr="00F46D64">
        <w:t xml:space="preserve"> </w:t>
      </w:r>
      <w:r w:rsidR="00BC6E7C">
        <w:t xml:space="preserve"> This position should be maintained.</w:t>
      </w:r>
      <w:r w:rsidRPr="00F46D64">
        <w:t xml:space="preserve"> </w:t>
      </w:r>
    </w:p>
    <w:p w:rsidR="002A0BEA" w:rsidRDefault="002A0BEA" w:rsidP="002A0BEA">
      <w:pPr>
        <w:pStyle w:val="OutlineNumbered1"/>
      </w:pPr>
      <w:r>
        <w:t>Compliance oversight of self</w:t>
      </w:r>
      <w:r w:rsidR="00BC6E7C">
        <w:t>-</w:t>
      </w:r>
      <w:r>
        <w:t>managed funds should continue to reside with the ATO to ensure self</w:t>
      </w:r>
      <w:r w:rsidR="00BC6E7C">
        <w:t>-</w:t>
      </w:r>
      <w:r>
        <w:t>managed funds comply with all the relevant provisions of the tax law.</w:t>
      </w:r>
    </w:p>
    <w:p w:rsidR="0098133F" w:rsidRDefault="0098133F" w:rsidP="002A0BEA">
      <w:pPr>
        <w:pStyle w:val="OutlineNumbered1"/>
        <w:rPr>
          <w:rFonts w:ascii="Arial Bold" w:hAnsi="Arial Bold"/>
          <w:color w:val="000080"/>
          <w:sz w:val="48"/>
          <w:szCs w:val="48"/>
        </w:rPr>
      </w:pPr>
      <w:r>
        <w:br w:type="page"/>
      </w:r>
    </w:p>
    <w:p w:rsidR="009F5FD7" w:rsidRDefault="009F5FD7" w:rsidP="009F5FD7">
      <w:pPr>
        <w:pStyle w:val="Heading2"/>
      </w:pPr>
      <w:bookmarkStart w:id="492" w:name="_Toc383703306"/>
      <w:bookmarkStart w:id="493" w:name="_Toc383704190"/>
      <w:bookmarkStart w:id="494" w:name="_Toc383783858"/>
      <w:bookmarkStart w:id="495" w:name="_Toc383784662"/>
      <w:bookmarkStart w:id="496" w:name="_Toc384121518"/>
      <w:bookmarkStart w:id="497" w:name="_Toc384123744"/>
      <w:bookmarkStart w:id="498" w:name="_Toc384132430"/>
      <w:bookmarkStart w:id="499" w:name="_Toc384205188"/>
      <w:bookmarkStart w:id="500" w:name="_Toc384278524"/>
      <w:bookmarkStart w:id="501" w:name="_Toc382492828"/>
      <w:bookmarkStart w:id="502" w:name="_Toc382493619"/>
      <w:bookmarkStart w:id="503" w:name="_Toc382493798"/>
      <w:bookmarkStart w:id="504" w:name="_Toc382495817"/>
      <w:bookmarkStart w:id="505" w:name="_Toc382496704"/>
      <w:bookmarkStart w:id="506" w:name="_Toc383523987"/>
      <w:bookmarkStart w:id="507" w:name="_Toc383531523"/>
      <w:bookmarkEnd w:id="423"/>
      <w:bookmarkEnd w:id="424"/>
      <w:bookmarkEnd w:id="425"/>
      <w:bookmarkEnd w:id="426"/>
      <w:bookmarkEnd w:id="427"/>
      <w:bookmarkEnd w:id="428"/>
      <w:bookmarkEnd w:id="429"/>
      <w:bookmarkEnd w:id="430"/>
      <w:r>
        <w:lastRenderedPageBreak/>
        <w:t>Insurance</w:t>
      </w:r>
      <w:bookmarkEnd w:id="492"/>
      <w:bookmarkEnd w:id="493"/>
      <w:bookmarkEnd w:id="494"/>
      <w:bookmarkEnd w:id="495"/>
      <w:bookmarkEnd w:id="496"/>
      <w:bookmarkEnd w:id="497"/>
      <w:bookmarkEnd w:id="498"/>
      <w:bookmarkEnd w:id="499"/>
      <w:bookmarkEnd w:id="500"/>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1E0E42" w:rsidRDefault="00081A2A" w:rsidP="00081A2A">
            <w:pPr>
              <w:pStyle w:val="Heading3"/>
            </w:pPr>
            <w:bookmarkStart w:id="508" w:name="_Toc383783859"/>
            <w:bookmarkStart w:id="509" w:name="_Toc383784663"/>
            <w:bookmarkStart w:id="510" w:name="_Toc384121519"/>
            <w:bookmarkStart w:id="511" w:name="_Toc384123745"/>
            <w:bookmarkStart w:id="512" w:name="_Toc384132431"/>
            <w:bookmarkStart w:id="513" w:name="_Toc384205189"/>
            <w:bookmarkStart w:id="514" w:name="_Toc384278525"/>
            <w:bookmarkStart w:id="515" w:name="_Toc383081947"/>
            <w:bookmarkStart w:id="516" w:name="_Toc383703307"/>
            <w:bookmarkStart w:id="517" w:name="_Toc383704191"/>
            <w:r w:rsidRPr="00A22BEC">
              <w:t>Key Points</w:t>
            </w:r>
            <w:bookmarkEnd w:id="508"/>
            <w:bookmarkEnd w:id="509"/>
            <w:bookmarkEnd w:id="510"/>
            <w:bookmarkEnd w:id="511"/>
            <w:bookmarkEnd w:id="512"/>
            <w:bookmarkEnd w:id="513"/>
            <w:bookmarkEnd w:id="514"/>
          </w:p>
          <w:p w:rsidR="00081A2A" w:rsidRPr="001E6EFE" w:rsidRDefault="00081A2A" w:rsidP="00081A2A">
            <w:pPr>
              <w:pStyle w:val="OutlineNumbered1"/>
            </w:pPr>
            <w:r w:rsidRPr="001E6EFE">
              <w:t xml:space="preserve">The Australian insurance sector </w:t>
            </w:r>
            <w:r w:rsidR="00496908">
              <w:t>includes</w:t>
            </w:r>
            <w:r w:rsidRPr="001E6EFE">
              <w:t xml:space="preserve"> two broad categories—life insurance and general insurance. </w:t>
            </w:r>
            <w:r w:rsidR="00901C72">
              <w:t xml:space="preserve"> </w:t>
            </w:r>
            <w:r w:rsidRPr="001E6EFE">
              <w:t xml:space="preserve">The evolution of Australia’s life insurance sector, which provides a means to manage death, disability and longevity risk, has been heavily influenced by the design of Australia’s income support system and, in particular, the retirement income system. </w:t>
            </w:r>
          </w:p>
          <w:p w:rsidR="00081A2A" w:rsidRPr="001E6EFE" w:rsidRDefault="00081A2A" w:rsidP="00081A2A">
            <w:pPr>
              <w:pStyle w:val="OutlineNumbered1"/>
            </w:pPr>
            <w:r w:rsidRPr="001E6EFE">
              <w:t>Challenging business conditions for certain life insurance sectors—group life, total and permanent disability and income protection</w:t>
            </w:r>
            <w:r>
              <w:t xml:space="preserve"> </w:t>
            </w:r>
            <w:r w:rsidRPr="001E6EFE">
              <w:t>—</w:t>
            </w:r>
            <w:r>
              <w:t xml:space="preserve"> </w:t>
            </w:r>
            <w:r w:rsidRPr="001E6EFE">
              <w:t>are being addressed</w:t>
            </w:r>
            <w:r w:rsidR="00876F91">
              <w:t xml:space="preserve"> by industry and APRA,</w:t>
            </w:r>
            <w:r w:rsidRPr="001E6EFE">
              <w:t xml:space="preserve"> suggest</w:t>
            </w:r>
            <w:r w:rsidR="00876F91">
              <w:t>ing</w:t>
            </w:r>
            <w:r w:rsidRPr="001E6EFE" w:rsidDel="00876F91">
              <w:t xml:space="preserve"> the regulatory framework </w:t>
            </w:r>
            <w:r w:rsidRPr="001E6EFE">
              <w:t>is working well.</w:t>
            </w:r>
          </w:p>
          <w:p w:rsidR="00081A2A" w:rsidRPr="001E6EFE" w:rsidRDefault="00081A2A" w:rsidP="00081A2A">
            <w:pPr>
              <w:pStyle w:val="OutlineNumbered1"/>
            </w:pPr>
            <w:r w:rsidRPr="001E6EFE">
              <w:t xml:space="preserve">Nonetheless the range of retirement income products offered by the life insurance sector in Australia is narrow, and their take-up modest. </w:t>
            </w:r>
            <w:r w:rsidR="00901C72">
              <w:t xml:space="preserve"> </w:t>
            </w:r>
            <w:r w:rsidRPr="001E6EFE">
              <w:t xml:space="preserve">The Financial System Inquiry should explore the scope for the life insurance sector to generate alternative retirement income products that offer individuals more choice in the trade-off between risk transfer and affordability. </w:t>
            </w:r>
          </w:p>
          <w:p w:rsidR="00081A2A" w:rsidRPr="001E6EFE" w:rsidRDefault="00081A2A" w:rsidP="00081A2A">
            <w:pPr>
              <w:pStyle w:val="OutlineNumbered1"/>
            </w:pPr>
            <w:r w:rsidRPr="001E6EFE">
              <w:t xml:space="preserve">There is a welcome trend for the pricing of general insurance policies to increasingly reflect idiosyncratic risks. </w:t>
            </w:r>
            <w:r w:rsidR="00901C72">
              <w:t xml:space="preserve"> </w:t>
            </w:r>
            <w:r w:rsidRPr="001E6EFE">
              <w:t>This trend is being driven by insurance firms investing in better information around the impact of natural disasters and advances in technology and data management that allow firms lower cost methods of matching risk to customers.</w:t>
            </w:r>
          </w:p>
          <w:p w:rsidR="00081A2A" w:rsidRPr="001E6EFE" w:rsidRDefault="00081A2A" w:rsidP="00081A2A">
            <w:pPr>
              <w:pStyle w:val="OutlineNumbered1"/>
            </w:pPr>
            <w:r w:rsidRPr="001E6EFE">
              <w:t>More precise individual pricing of general insurance risk promotes the efficient allocation of capital and risk in the economy, but it also raises issues of affordability for some groups, geographical areas and types of insurance.</w:t>
            </w:r>
          </w:p>
          <w:p w:rsidR="00081A2A" w:rsidRDefault="00081A2A" w:rsidP="00081A2A">
            <w:pPr>
              <w:pStyle w:val="OutlineNumbered1"/>
            </w:pPr>
            <w:r w:rsidRPr="001E6EFE">
              <w:t>However these affordability issues should not be addressed by subsidising insurance premiums</w:t>
            </w:r>
            <w:r w:rsidR="00760C9E">
              <w:t>,</w:t>
            </w:r>
            <w:r w:rsidRPr="001E6EFE">
              <w:t xml:space="preserve"> other than in exceptional circumstances</w:t>
            </w:r>
            <w:r w:rsidR="00760C9E">
              <w:t>,</w:t>
            </w:r>
            <w:r w:rsidRPr="001E6EFE">
              <w:t xml:space="preserve"> as this would mute the price signals associated with such risk leading to an inefficient allocation of resources.  Action by individuals and government to mitigate risk is the more efficient means of addressing affordability.</w:t>
            </w:r>
          </w:p>
          <w:p w:rsidR="00081A2A" w:rsidRDefault="00081A2A" w:rsidP="00ED6A30">
            <w:pPr>
              <w:pStyle w:val="OutlineNumbered1"/>
            </w:pPr>
            <w:r w:rsidRPr="001E6EFE">
              <w:t xml:space="preserve">Competition also offers scope for addressing affordability.  </w:t>
            </w:r>
            <w:r w:rsidR="00ED6A30">
              <w:t>While t</w:t>
            </w:r>
            <w:r w:rsidRPr="001E6EFE">
              <w:t>here is no need for fundamental reforms to the regulatory architecture for the insurance sector, the Financial System Inquiry could explore improvements at the margin to foster greater competition through assessing barriers to overseas entrants and more effective price transparency for customers.</w:t>
            </w:r>
          </w:p>
        </w:tc>
      </w:tr>
    </w:tbl>
    <w:p w:rsidR="009F5FD7" w:rsidRPr="00081A2A" w:rsidRDefault="009F5FD7" w:rsidP="00081A2A">
      <w:pPr>
        <w:pStyle w:val="Heading3"/>
      </w:pPr>
      <w:bookmarkStart w:id="518" w:name="_Toc383703308"/>
      <w:bookmarkStart w:id="519" w:name="_Toc383704192"/>
      <w:bookmarkStart w:id="520" w:name="_Toc383783860"/>
      <w:bookmarkStart w:id="521" w:name="_Toc383784664"/>
      <w:bookmarkStart w:id="522" w:name="_Toc384121520"/>
      <w:bookmarkStart w:id="523" w:name="_Toc384123746"/>
      <w:bookmarkStart w:id="524" w:name="_Toc384132432"/>
      <w:bookmarkStart w:id="525" w:name="_Toc384205190"/>
      <w:bookmarkStart w:id="526" w:name="_Toc384278526"/>
      <w:bookmarkEnd w:id="515"/>
      <w:bookmarkEnd w:id="516"/>
      <w:bookmarkEnd w:id="517"/>
      <w:r w:rsidRPr="00081A2A">
        <w:lastRenderedPageBreak/>
        <w:t>Australia’s life insurance sector is heavily influenced by the design of income support systems</w:t>
      </w:r>
      <w:bookmarkEnd w:id="518"/>
      <w:bookmarkEnd w:id="519"/>
      <w:bookmarkEnd w:id="520"/>
      <w:bookmarkEnd w:id="521"/>
      <w:bookmarkEnd w:id="522"/>
      <w:bookmarkEnd w:id="523"/>
      <w:bookmarkEnd w:id="524"/>
      <w:bookmarkEnd w:id="525"/>
      <w:bookmarkEnd w:id="526"/>
    </w:p>
    <w:p w:rsidR="009F5FD7" w:rsidRDefault="009F5FD7" w:rsidP="009F5FD7">
      <w:pPr>
        <w:pStyle w:val="OutlineNumbered1"/>
      </w:pPr>
      <w:r w:rsidRPr="00690C9F">
        <w:t xml:space="preserve">The evolution of Australia’s life insurance sector, which provides a means to manage death, disability and longevity risk, has been heavily influenced by the design of </w:t>
      </w:r>
      <w:r w:rsidR="00E57A04">
        <w:t>Australia’s</w:t>
      </w:r>
      <w:r w:rsidRPr="00690C9F">
        <w:t xml:space="preserve"> income support system and</w:t>
      </w:r>
      <w:r w:rsidR="00E57A04">
        <w:t>,</w:t>
      </w:r>
      <w:r w:rsidRPr="00690C9F">
        <w:t xml:space="preserve"> in particular</w:t>
      </w:r>
      <w:r w:rsidR="00E57A04">
        <w:t>,</w:t>
      </w:r>
      <w:r w:rsidRPr="00690C9F">
        <w:t xml:space="preserve"> </w:t>
      </w:r>
      <w:r w:rsidR="00E57A04">
        <w:t>the</w:t>
      </w:r>
      <w:r w:rsidRPr="00690C9F">
        <w:t xml:space="preserve"> retirement income system.</w:t>
      </w:r>
    </w:p>
    <w:p w:rsidR="009F5FD7" w:rsidRPr="00C20B54" w:rsidRDefault="009F5FD7" w:rsidP="009F5FD7">
      <w:pPr>
        <w:pStyle w:val="OutlineNumbered1"/>
      </w:pPr>
      <w:r>
        <w:t xml:space="preserve">Most </w:t>
      </w:r>
      <w:r w:rsidR="00E57A04">
        <w:t>Australian</w:t>
      </w:r>
      <w:r>
        <w:t xml:space="preserve">s save for their retirement through the superannuation sector. </w:t>
      </w:r>
      <w:r w:rsidR="00901C72">
        <w:t xml:space="preserve"> </w:t>
      </w:r>
      <w:r>
        <w:t xml:space="preserve">Australia also has a variety of publically supported insurance and income schemes that reduce the need for individuals to take out private income protection and disability insurance—for example, workers compensation schemes, </w:t>
      </w:r>
      <w:r w:rsidR="000D226F">
        <w:t>compulsory third party</w:t>
      </w:r>
      <w:r>
        <w:t xml:space="preserve"> motor insurance and disability income support mechanisms. </w:t>
      </w:r>
      <w:r w:rsidR="00901C72">
        <w:t xml:space="preserve"> </w:t>
      </w:r>
      <w:r>
        <w:t>In addition, large numbers of Australians who do have some form of life insurance product source this insurance thr</w:t>
      </w:r>
      <w:r w:rsidR="00901C72">
        <w:t>ough their superannuation fund.</w:t>
      </w:r>
    </w:p>
    <w:p w:rsidR="009F5FD7" w:rsidRDefault="009F5FD7" w:rsidP="009F5FD7">
      <w:pPr>
        <w:pStyle w:val="OutlineNumbered1"/>
      </w:pPr>
      <w:r>
        <w:t>Products that guarantee income over time are a means of mitigating against the idiosyncratic element of longevity risk, but the range of products offered in Australia is narrow, and their take-up modest.</w:t>
      </w:r>
      <w:r w:rsidRPr="000963C7">
        <w:t xml:space="preserve"> </w:t>
      </w:r>
      <w:r w:rsidR="00901C72">
        <w:t xml:space="preserve"> </w:t>
      </w:r>
      <w:r>
        <w:t>This is an issue that both the Henry Review and the Cooper Review canvassed.</w:t>
      </w:r>
    </w:p>
    <w:p w:rsidR="009F5FD7" w:rsidRDefault="009F5FD7" w:rsidP="009F5FD7">
      <w:pPr>
        <w:pStyle w:val="OutlineNumbered1"/>
      </w:pPr>
      <w:r>
        <w:t xml:space="preserve">Currently products that guarantee income for life or periods exceeding 10 years can only be offered by life insurers and friendly societies. </w:t>
      </w:r>
      <w:r w:rsidR="00901C72">
        <w:t xml:space="preserve"> </w:t>
      </w:r>
      <w:r>
        <w:t>The Financial System Inquiry should explore the scope for the life insurance sector to generate alternative retirement income products that offer individuals more choice in the trade-off between r</w:t>
      </w:r>
      <w:r w:rsidR="00901C72">
        <w:t>isk transfer and affordability.</w:t>
      </w:r>
    </w:p>
    <w:p w:rsidR="009F5FD7" w:rsidRDefault="009F5FD7" w:rsidP="009F5FD7">
      <w:pPr>
        <w:pStyle w:val="OutlineNumbered1"/>
      </w:pPr>
      <w:r>
        <w:t>In doing this, the Inquiry should consider where the regulatory line should be drawn between products that can only be offered within the life insurance framework and those that can be offered by others, such as compani</w:t>
      </w:r>
      <w:r w:rsidR="000D226F">
        <w:t>es in the superannuation, wealth management or general insurance sectors.</w:t>
      </w:r>
    </w:p>
    <w:p w:rsidR="009F5FD7" w:rsidRDefault="009F5FD7" w:rsidP="00081A2A">
      <w:pPr>
        <w:pStyle w:val="Heading3"/>
      </w:pPr>
      <w:bookmarkStart w:id="527" w:name="_Toc383703309"/>
      <w:bookmarkStart w:id="528" w:name="_Toc383704193"/>
      <w:bookmarkStart w:id="529" w:name="_Toc383783861"/>
      <w:bookmarkStart w:id="530" w:name="_Toc383784665"/>
      <w:bookmarkStart w:id="531" w:name="_Toc384121521"/>
      <w:bookmarkStart w:id="532" w:name="_Toc384123747"/>
      <w:bookmarkStart w:id="533" w:name="_Toc384132433"/>
      <w:bookmarkStart w:id="534" w:name="_Toc384205191"/>
      <w:bookmarkStart w:id="535" w:name="_Toc384278527"/>
      <w:r>
        <w:t xml:space="preserve">Challenging business conditions for some </w:t>
      </w:r>
      <w:r w:rsidRPr="00603FE4">
        <w:t>life insurance</w:t>
      </w:r>
      <w:r>
        <w:t xml:space="preserve"> sectors are being addressed</w:t>
      </w:r>
      <w:bookmarkEnd w:id="527"/>
      <w:bookmarkEnd w:id="528"/>
      <w:bookmarkEnd w:id="529"/>
      <w:bookmarkEnd w:id="530"/>
      <w:bookmarkEnd w:id="531"/>
      <w:bookmarkEnd w:id="532"/>
      <w:bookmarkEnd w:id="533"/>
      <w:bookmarkEnd w:id="534"/>
      <w:bookmarkEnd w:id="535"/>
    </w:p>
    <w:p w:rsidR="009F5FD7" w:rsidRDefault="009F5FD7" w:rsidP="009F5FD7">
      <w:pPr>
        <w:pStyle w:val="OutlineNumbered1"/>
      </w:pPr>
      <w:r>
        <w:t xml:space="preserve">The recent poor performance of some life </w:t>
      </w:r>
      <w:r w:rsidR="00496908">
        <w:t>insurers</w:t>
      </w:r>
      <w:r>
        <w:t xml:space="preserve"> has attracted increased scrutiny from investors and the regulator</w:t>
      </w:r>
      <w:r w:rsidR="001E6EFE">
        <w:t>.</w:t>
      </w:r>
      <w:r>
        <w:t xml:space="preserve">  </w:t>
      </w:r>
    </w:p>
    <w:p w:rsidR="009F5FD7" w:rsidRDefault="009F5FD7" w:rsidP="009F5FD7">
      <w:pPr>
        <w:pStyle w:val="OutlineNumbered1"/>
      </w:pPr>
      <w:r>
        <w:t>Competitive pressures in the group life insurance market have driven lower pricing and the expansion in automatic acceptance limits—for example, accepting policyholders for higher amounts</w:t>
      </w:r>
      <w:r w:rsidR="00876F91">
        <w:t xml:space="preserve"> insured</w:t>
      </w:r>
      <w:r>
        <w:t xml:space="preserve"> without requiring medical assessments.  </w:t>
      </w:r>
    </w:p>
    <w:p w:rsidR="009F5FD7" w:rsidRDefault="009F5FD7" w:rsidP="009F5FD7">
      <w:pPr>
        <w:pStyle w:val="OutlineNumbered1"/>
      </w:pPr>
      <w:r>
        <w:lastRenderedPageBreak/>
        <w:t>A parallel development has been deteriorating claims experience for certain life insurance business lines, including in group life cover</w:t>
      </w:r>
      <w:r w:rsidR="001E6EFE">
        <w:t>.</w:t>
      </w:r>
      <w:r>
        <w:rPr>
          <w:rStyle w:val="FootnoteReference"/>
        </w:rPr>
        <w:footnoteReference w:id="73"/>
      </w:r>
      <w:r>
        <w:t xml:space="preserve"> </w:t>
      </w:r>
    </w:p>
    <w:p w:rsidR="009F5FD7" w:rsidRDefault="009F5FD7" w:rsidP="009F5FD7">
      <w:pPr>
        <w:pStyle w:val="Bullet"/>
        <w:numPr>
          <w:ilvl w:val="0"/>
          <w:numId w:val="1"/>
        </w:numPr>
        <w:ind w:left="1134"/>
      </w:pPr>
      <w:r>
        <w:t xml:space="preserve">The </w:t>
      </w:r>
      <w:r w:rsidR="00C53673">
        <w:t>sector</w:t>
      </w:r>
      <w:r>
        <w:t xml:space="preserve"> reports that claimants, including those who may have been rejected by state government workers’ compensation regimes with increasingly tighter claims criteria, are seeking claims through group life policies.</w:t>
      </w:r>
    </w:p>
    <w:p w:rsidR="009F5FD7" w:rsidRDefault="009F5FD7" w:rsidP="009F5FD7">
      <w:pPr>
        <w:pStyle w:val="Bullet"/>
        <w:numPr>
          <w:ilvl w:val="0"/>
          <w:numId w:val="1"/>
        </w:numPr>
        <w:ind w:left="1134"/>
      </w:pPr>
      <w:r>
        <w:t xml:space="preserve">Mental health related disability claims are rising sharply, perhaps reflecting a greater community acceptance and diagnosis of such conditions.  </w:t>
      </w:r>
    </w:p>
    <w:p w:rsidR="009F5FD7" w:rsidRDefault="009F5FD7" w:rsidP="009F5FD7">
      <w:pPr>
        <w:pStyle w:val="Bullet"/>
        <w:numPr>
          <w:ilvl w:val="0"/>
          <w:numId w:val="1"/>
        </w:numPr>
        <w:ind w:left="1134"/>
      </w:pPr>
      <w:r>
        <w:t>In addition, policy lapse rates (where policyholders fail to renew) are rising, potentially reflecting consumer attitudes to risk as they age and the commission</w:t>
      </w:r>
      <w:r w:rsidR="00651205">
        <w:t>-</w:t>
      </w:r>
      <w:r>
        <w:t xml:space="preserve">based sales structure of the </w:t>
      </w:r>
      <w:r w:rsidR="00C53673">
        <w:t>sector</w:t>
      </w:r>
      <w:r>
        <w:t>.</w:t>
      </w:r>
    </w:p>
    <w:p w:rsidR="009F5FD7" w:rsidRDefault="009F5FD7" w:rsidP="009F5FD7">
      <w:pPr>
        <w:pStyle w:val="OutlineNumbered1"/>
      </w:pPr>
      <w:r>
        <w:t>These developments have led to losses for some life insurers and reinsurers, causing some reinsurers to withdraw from the affected markets, raising concerns about the sustainability of current business practice, especially pricing and risk provisioning.</w:t>
      </w:r>
    </w:p>
    <w:p w:rsidR="009F5FD7" w:rsidRPr="00DB3C5B" w:rsidRDefault="009F5FD7" w:rsidP="009F5FD7">
      <w:pPr>
        <w:pStyle w:val="OutlineNumbered1"/>
      </w:pPr>
      <w:r w:rsidRPr="00DB3C5B">
        <w:t>Indications are that market pressures</w:t>
      </w:r>
      <w:r w:rsidR="00876F91">
        <w:t xml:space="preserve"> and active supervision by APRA,</w:t>
      </w:r>
      <w:r w:rsidRPr="00DB3C5B">
        <w:t xml:space="preserve"> within the existing regulatory structure</w:t>
      </w:r>
      <w:r w:rsidR="00876F91">
        <w:t>,</w:t>
      </w:r>
      <w:r w:rsidRPr="00DB3C5B">
        <w:t xml:space="preserve"> will shift industry practices, especially in terms of pricing and automatic acceptances.</w:t>
      </w:r>
      <w:r w:rsidR="00DB3C5B">
        <w:t xml:space="preserve">  The extent to which there are underlying causes that cannot be addressed </w:t>
      </w:r>
      <w:r w:rsidR="00876F91">
        <w:t xml:space="preserve">within existing frameworks </w:t>
      </w:r>
      <w:r w:rsidR="00DB3C5B">
        <w:t>should be considered by the Financial System Inquiry.</w:t>
      </w:r>
    </w:p>
    <w:p w:rsidR="009F5FD7" w:rsidRDefault="009F5FD7" w:rsidP="009F5FD7">
      <w:pPr>
        <w:pStyle w:val="Heading3"/>
      </w:pPr>
      <w:bookmarkStart w:id="536" w:name="_Toc383703310"/>
      <w:bookmarkStart w:id="537" w:name="_Toc383704194"/>
      <w:bookmarkStart w:id="538" w:name="_Toc383783862"/>
      <w:bookmarkStart w:id="539" w:name="_Toc383784666"/>
      <w:bookmarkStart w:id="540" w:name="_Toc384121522"/>
      <w:bookmarkStart w:id="541" w:name="_Toc384123748"/>
      <w:bookmarkStart w:id="542" w:name="_Toc384132434"/>
      <w:bookmarkStart w:id="543" w:name="_Toc384205192"/>
      <w:bookmarkStart w:id="544" w:name="_Toc384278528"/>
      <w:r>
        <w:t>Pricing of general insurance products increasingly reflects idiosyncratic risks</w:t>
      </w:r>
      <w:bookmarkEnd w:id="536"/>
      <w:bookmarkEnd w:id="537"/>
      <w:bookmarkEnd w:id="538"/>
      <w:bookmarkEnd w:id="539"/>
      <w:bookmarkEnd w:id="540"/>
      <w:bookmarkEnd w:id="541"/>
      <w:bookmarkEnd w:id="542"/>
      <w:bookmarkEnd w:id="543"/>
      <w:bookmarkEnd w:id="544"/>
      <w:r>
        <w:t xml:space="preserve"> </w:t>
      </w:r>
    </w:p>
    <w:p w:rsidR="009F5FD7" w:rsidRDefault="009F5FD7" w:rsidP="009F5FD7">
      <w:pPr>
        <w:pStyle w:val="OutlineNumbered1"/>
      </w:pPr>
      <w:r>
        <w:t xml:space="preserve">The purpose of general insurance is to allow Australian businesses and households to manage a wide variety of risks including motor vehicle, public indemnity, professional indemnity, commercial and residential property and travel. </w:t>
      </w:r>
    </w:p>
    <w:p w:rsidR="009F5FD7" w:rsidRDefault="009F5FD7" w:rsidP="009F5FD7">
      <w:pPr>
        <w:pStyle w:val="OutlineNumbered1"/>
      </w:pPr>
      <w:r>
        <w:t xml:space="preserve">The series of natural disasters across Australia in recent years has resulted in insured losses running into the billions of dollars.  Total insured losses from natural disasters from 2007 to 2013 averaged $1.9 billion a year, compared to $290 million a year from 2000 to 2006.  The insured losses of the Queensland floods of 2010-11 and Cyclone Yasi in 2011 are </w:t>
      </w:r>
      <w:r w:rsidR="00496908">
        <w:t>together</w:t>
      </w:r>
      <w:r>
        <w:t xml:space="preserve"> estimated to have totalled around $3.8 billion</w:t>
      </w:r>
      <w:r w:rsidR="001E6EFE">
        <w:t>.</w:t>
      </w:r>
      <w:r>
        <w:rPr>
          <w:vertAlign w:val="superscript"/>
        </w:rPr>
        <w:footnoteReference w:id="74"/>
      </w:r>
      <w:r>
        <w:t xml:space="preserve"> </w:t>
      </w:r>
    </w:p>
    <w:p w:rsidR="009F5FD7" w:rsidRDefault="009F5FD7" w:rsidP="009F5FD7">
      <w:pPr>
        <w:pStyle w:val="OutlineNumbered1"/>
      </w:pPr>
      <w:r>
        <w:t xml:space="preserve">Insurers have responded by investing in their </w:t>
      </w:r>
      <w:r w:rsidRPr="006B3585">
        <w:t xml:space="preserve">understanding </w:t>
      </w:r>
      <w:r>
        <w:t xml:space="preserve">of </w:t>
      </w:r>
      <w:r w:rsidRPr="006B3585">
        <w:t>the risk of</w:t>
      </w:r>
      <w:r>
        <w:t xml:space="preserve">, </w:t>
      </w:r>
      <w:r w:rsidRPr="006B3585">
        <w:t>and therefore potential losses from</w:t>
      </w:r>
      <w:r>
        <w:t>,</w:t>
      </w:r>
      <w:r w:rsidRPr="006B3585">
        <w:t xml:space="preserve"> natural </w:t>
      </w:r>
      <w:r>
        <w:t>disasters</w:t>
      </w:r>
      <w:r w:rsidRPr="006B3585">
        <w:t xml:space="preserve">. </w:t>
      </w:r>
      <w:r w:rsidR="007E2AB6">
        <w:t xml:space="preserve"> </w:t>
      </w:r>
      <w:r w:rsidRPr="006B3585">
        <w:t xml:space="preserve">Advances in technology and </w:t>
      </w:r>
      <w:r w:rsidRPr="006B3585">
        <w:lastRenderedPageBreak/>
        <w:t>increased investment have provided insurers with</w:t>
      </w:r>
      <w:r>
        <w:t xml:space="preserve"> greater access to better quality data, not just in relation to flood risk.  </w:t>
      </w:r>
    </w:p>
    <w:p w:rsidR="009F5FD7" w:rsidRPr="00575591" w:rsidRDefault="009F5FD7" w:rsidP="009F5FD7">
      <w:pPr>
        <w:pStyle w:val="OutlineNumbered1"/>
      </w:pPr>
      <w:r w:rsidRPr="00575591">
        <w:t xml:space="preserve">Advances in technology and data management have </w:t>
      </w:r>
      <w:r w:rsidR="00DB3C5B">
        <w:t xml:space="preserve">also </w:t>
      </w:r>
      <w:r w:rsidRPr="00575591">
        <w:t>allowed more precise measurement of idiosyncratic risks in other markets.  Telematics</w:t>
      </w:r>
      <w:r w:rsidR="00496908">
        <w:t>,</w:t>
      </w:r>
      <w:r w:rsidRPr="00575591">
        <w:t xml:space="preserve"> for example, allow assessment of an individual’s driving skills and characteristics, enabling insurers to more </w:t>
      </w:r>
      <w:r w:rsidR="000D226F" w:rsidRPr="00575591">
        <w:t>precis</w:t>
      </w:r>
      <w:r w:rsidR="000D226F">
        <w:t>ely</w:t>
      </w:r>
      <w:r w:rsidRPr="00575591">
        <w:t xml:space="preserve"> assess their level of risk of accident, and price their product accordingly.  This also has the advantage of promoting good driving behaviour by the individual.  </w:t>
      </w:r>
    </w:p>
    <w:p w:rsidR="00375510" w:rsidRDefault="00375510" w:rsidP="00375510">
      <w:pPr>
        <w:pStyle w:val="OutlineNumbered1"/>
      </w:pPr>
      <w:bookmarkStart w:id="545" w:name="_Toc383703311"/>
      <w:bookmarkStart w:id="546" w:name="_Toc383704195"/>
      <w:bookmarkStart w:id="547" w:name="_Toc383783863"/>
      <w:bookmarkStart w:id="548" w:name="_Toc383784667"/>
      <w:bookmarkStart w:id="549" w:name="_Toc384121523"/>
      <w:bookmarkStart w:id="550" w:name="_Toc384123749"/>
      <w:bookmarkStart w:id="551" w:name="_Toc384132435"/>
      <w:bookmarkStart w:id="552" w:name="_Toc384205193"/>
      <w:r>
        <w:t>As a general principle, charging insurance premiums commensurate with the insurable risk is fair, equitable and allows for the efficient allocation of risk and capital. Exceptions to this principle sometimes arise.  If the cost of individual risk becomes prohibitive</w:t>
      </w:r>
      <w:r w:rsidRPr="00375510">
        <w:t xml:space="preserve"> and mitigation is not always possible</w:t>
      </w:r>
      <w:r>
        <w:t>, negative economic or social outcomes can result, which may justify a different approach (</w:t>
      </w:r>
      <w:r w:rsidRPr="00375510">
        <w:t xml:space="preserve">for example, the community rating of </w:t>
      </w:r>
      <w:r w:rsidR="007E4DA5">
        <w:t>private health insurance</w:t>
      </w:r>
      <w:r>
        <w:t xml:space="preserve"> effectively spreads the cost of higher individual health risk</w:t>
      </w:r>
      <w:r w:rsidRPr="00375510">
        <w:t>s</w:t>
      </w:r>
      <w:r>
        <w:t xml:space="preserve"> </w:t>
      </w:r>
      <w:r w:rsidRPr="00375510">
        <w:t>amongst policy holders</w:t>
      </w:r>
      <w:r w:rsidR="007E4DA5">
        <w:t>,</w:t>
      </w:r>
      <w:r w:rsidRPr="00375510">
        <w:t xml:space="preserve"> and risk equalisation distributes this risk equally amongst insurers</w:t>
      </w:r>
      <w:r>
        <w:t xml:space="preserve">).  In the absence of such special considerations, charging on any basis other than idiosyncratic risk means that the cost will be inequitably and inefficiently shifted from those at greater risk, to those at lower risk.  </w:t>
      </w:r>
    </w:p>
    <w:p w:rsidR="009F5FD7" w:rsidRPr="008B03CF" w:rsidRDefault="009F5FD7" w:rsidP="009F5FD7">
      <w:pPr>
        <w:pStyle w:val="Heading3"/>
      </w:pPr>
      <w:bookmarkStart w:id="553" w:name="_Toc384278529"/>
      <w:r>
        <w:t>More precise pricing of risk is impacting on affordability</w:t>
      </w:r>
      <w:bookmarkEnd w:id="545"/>
      <w:bookmarkEnd w:id="546"/>
      <w:bookmarkEnd w:id="547"/>
      <w:bookmarkEnd w:id="548"/>
      <w:bookmarkEnd w:id="549"/>
      <w:bookmarkEnd w:id="550"/>
      <w:bookmarkEnd w:id="551"/>
      <w:bookmarkEnd w:id="552"/>
      <w:bookmarkEnd w:id="553"/>
      <w:r w:rsidRPr="008B03CF">
        <w:t xml:space="preserve"> </w:t>
      </w:r>
    </w:p>
    <w:p w:rsidR="009F5FD7" w:rsidRPr="00761B20" w:rsidRDefault="009F5FD7" w:rsidP="009F5FD7">
      <w:pPr>
        <w:pStyle w:val="OutlineNumbered1"/>
      </w:pPr>
      <w:r>
        <w:t xml:space="preserve">A better understanding of the idiosyncratic risks faced by particular </w:t>
      </w:r>
      <w:r w:rsidR="000D226F">
        <w:t>areas and particular properties</w:t>
      </w:r>
      <w:r>
        <w:t xml:space="preserve"> has resulted in a widespread risk re-rating of properties for natural disasters, not just </w:t>
      </w:r>
      <w:r w:rsidRPr="004C101D">
        <w:t>flood risk</w:t>
      </w:r>
      <w:r>
        <w:t xml:space="preserve"> but also bushfire, cyclone and storm risk</w:t>
      </w:r>
      <w:r w:rsidRPr="00761B20">
        <w:rPr>
          <w:szCs w:val="24"/>
        </w:rPr>
        <w:t>.</w:t>
      </w:r>
    </w:p>
    <w:p w:rsidR="009F5FD7" w:rsidRPr="003C28A5" w:rsidRDefault="00967350" w:rsidP="00967350">
      <w:pPr>
        <w:pStyle w:val="Caption"/>
        <w:jc w:val="center"/>
        <w:rPr>
          <w:b w:val="0"/>
        </w:rPr>
      </w:pPr>
      <w:bookmarkStart w:id="554" w:name="_Ref383719901"/>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5</w:t>
      </w:r>
      <w:r w:rsidR="000A480B">
        <w:rPr>
          <w:noProof/>
        </w:rPr>
        <w:fldChar w:fldCharType="end"/>
      </w:r>
      <w:bookmarkEnd w:id="554"/>
      <w:r w:rsidRPr="00967350">
        <w:t>: Insurance price</w:t>
      </w:r>
      <w:r w:rsidR="00496908">
        <w:t>s</w:t>
      </w:r>
      <w:r w:rsidRPr="00967350">
        <w:t xml:space="preserve"> and the consumer price index</w:t>
      </w:r>
    </w:p>
    <w:p w:rsidR="009F5FD7" w:rsidRPr="005E0F9D" w:rsidRDefault="009F5FD7" w:rsidP="009F5FD7">
      <w:pPr>
        <w:pStyle w:val="Bullet"/>
        <w:numPr>
          <w:ilvl w:val="0"/>
          <w:numId w:val="0"/>
        </w:numPr>
        <w:ind w:left="520"/>
        <w:jc w:val="center"/>
        <w:rPr>
          <w:highlight w:val="yellow"/>
        </w:rPr>
      </w:pPr>
      <w:r>
        <w:rPr>
          <w:noProof/>
          <w:lang w:val="en-US"/>
        </w:rPr>
        <w:drawing>
          <wp:inline distT="0" distB="0" distL="0" distR="0" wp14:anchorId="194BE171" wp14:editId="0F14715D">
            <wp:extent cx="5580000" cy="2520000"/>
            <wp:effectExtent l="0" t="0" r="190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5FD7" w:rsidRPr="00725B6D" w:rsidRDefault="009F5FD7" w:rsidP="009F5FD7">
      <w:pPr>
        <w:rPr>
          <w:color w:val="000000"/>
          <w:sz w:val="20"/>
        </w:rPr>
      </w:pPr>
      <w:r w:rsidRPr="00725B6D">
        <w:rPr>
          <w:color w:val="000000"/>
          <w:sz w:val="20"/>
        </w:rPr>
        <w:t>Source: Insurance Council of Australia</w:t>
      </w:r>
      <w:r w:rsidR="00095EB5">
        <w:rPr>
          <w:color w:val="000000"/>
          <w:sz w:val="20"/>
        </w:rPr>
        <w:t xml:space="preserve"> and</w:t>
      </w:r>
      <w:r w:rsidR="00AC353F">
        <w:rPr>
          <w:color w:val="000000"/>
          <w:sz w:val="20"/>
        </w:rPr>
        <w:t xml:space="preserve"> </w:t>
      </w:r>
      <w:r w:rsidRPr="00725B6D">
        <w:rPr>
          <w:color w:val="000000"/>
          <w:sz w:val="20"/>
        </w:rPr>
        <w:t>Treasury</w:t>
      </w:r>
      <w:r w:rsidR="0071490B">
        <w:rPr>
          <w:color w:val="000000"/>
          <w:sz w:val="20"/>
        </w:rPr>
        <w:t>.</w:t>
      </w:r>
    </w:p>
    <w:p w:rsidR="002805AD" w:rsidRPr="00AF7D1F" w:rsidRDefault="002805AD" w:rsidP="002805AD">
      <w:pPr>
        <w:pStyle w:val="OutlineNumbered1"/>
      </w:pPr>
      <w:r w:rsidRPr="00421BEE">
        <w:lastRenderedPageBreak/>
        <w:t>Premiums have been increased, in large part reflecting th</w:t>
      </w:r>
      <w:r>
        <w:t>is</w:t>
      </w:r>
      <w:r w:rsidRPr="00421BEE">
        <w:t xml:space="preserve"> new understanding of idiosyncratic risk. </w:t>
      </w:r>
      <w:r>
        <w:t xml:space="preserve"> </w:t>
      </w:r>
      <w:r w:rsidRPr="00421BEE">
        <w:t>Insurance premium growth in two of the largest classes of general insurance, home buildings and home contents insurance, has outstripped the growth in broader consumer prices (CPI) by a factor of 2</w:t>
      </w:r>
      <w:r>
        <w:t xml:space="preserve"> and</w:t>
      </w:r>
      <w:r w:rsidRPr="00421BEE">
        <w:t xml:space="preserve"> 1.2 respectively over the t</w:t>
      </w:r>
      <w:r>
        <w:t xml:space="preserve">en years to June 2013 (see </w:t>
      </w:r>
      <w:r>
        <w:fldChar w:fldCharType="begin"/>
      </w:r>
      <w:r>
        <w:instrText xml:space="preserve"> REF _Ref383719901 \h </w:instrText>
      </w:r>
      <w:r>
        <w:fldChar w:fldCharType="separate"/>
      </w:r>
      <w:r>
        <w:t xml:space="preserve">Chart </w:t>
      </w:r>
      <w:r>
        <w:rPr>
          <w:noProof/>
        </w:rPr>
        <w:t>5</w:t>
      </w:r>
      <w:r>
        <w:fldChar w:fldCharType="end"/>
      </w:r>
      <w:r>
        <w:t xml:space="preserve">).  </w:t>
      </w:r>
    </w:p>
    <w:p w:rsidR="009F5FD7" w:rsidRDefault="009F5FD7" w:rsidP="009F5FD7">
      <w:pPr>
        <w:pStyle w:val="OutlineNumbered1"/>
      </w:pPr>
      <w:r>
        <w:t>In some particular geographical regions, such as North Queensland, the increases have been sharp.</w:t>
      </w:r>
      <w:r w:rsidR="000D226F">
        <w:t xml:space="preserve">  The Australian Government Actuary, in an October 2012 study</w:t>
      </w:r>
      <w:r w:rsidR="000D226F">
        <w:rPr>
          <w:rStyle w:val="FootnoteReference"/>
        </w:rPr>
        <w:footnoteReference w:id="75"/>
      </w:r>
      <w:r w:rsidR="000D226F">
        <w:t xml:space="preserve">, set out data showing an average increase in North Queensland strata title property insurance prices of 200 per cent over the period 2007 – 2012 </w:t>
      </w:r>
      <w:r w:rsidR="00AA6D7D">
        <w:t>(</w:t>
      </w:r>
      <w:r w:rsidR="00AA6D7D">
        <w:fldChar w:fldCharType="begin"/>
      </w:r>
      <w:r w:rsidR="00AA6D7D">
        <w:instrText xml:space="preserve"> REF _Ref383776747 \h </w:instrText>
      </w:r>
      <w:r w:rsidR="00AA6D7D">
        <w:fldChar w:fldCharType="separate"/>
      </w:r>
      <w:r w:rsidR="0050148E">
        <w:t xml:space="preserve">Chart </w:t>
      </w:r>
      <w:r w:rsidR="0050148E">
        <w:rPr>
          <w:noProof/>
        </w:rPr>
        <w:t>6</w:t>
      </w:r>
      <w:r w:rsidR="00AA6D7D">
        <w:fldChar w:fldCharType="end"/>
      </w:r>
      <w:r w:rsidR="000D226F">
        <w:t>).</w:t>
      </w:r>
      <w:r>
        <w:t xml:space="preserve">   </w:t>
      </w:r>
    </w:p>
    <w:p w:rsidR="00564DBF" w:rsidRDefault="00564DBF" w:rsidP="005402EF">
      <w:pPr>
        <w:pStyle w:val="Caption"/>
        <w:keepNext/>
        <w:jc w:val="center"/>
      </w:pPr>
      <w:bookmarkStart w:id="555" w:name="_Ref383776747"/>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6</w:t>
      </w:r>
      <w:r w:rsidR="000A480B">
        <w:rPr>
          <w:noProof/>
        </w:rPr>
        <w:fldChar w:fldCharType="end"/>
      </w:r>
      <w:bookmarkEnd w:id="555"/>
      <w:r w:rsidR="005402EF">
        <w:t>:</w:t>
      </w:r>
      <w:r>
        <w:t xml:space="preserve"> North Queensland gross strata title premium rates</w:t>
      </w:r>
      <w:r>
        <w:rPr>
          <w:noProof/>
          <w:lang w:val="en-US"/>
        </w:rPr>
        <w:drawing>
          <wp:inline distT="0" distB="0" distL="0" distR="0" wp14:anchorId="6C646943" wp14:editId="632730BE">
            <wp:extent cx="5580000" cy="2520000"/>
            <wp:effectExtent l="0" t="0" r="190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4CF1" w:rsidRPr="00D54CF1" w:rsidRDefault="00D54CF1" w:rsidP="00D54CF1">
      <w:pPr>
        <w:rPr>
          <w:sz w:val="20"/>
          <w:szCs w:val="20"/>
        </w:rPr>
      </w:pPr>
      <w:r w:rsidRPr="00D54CF1">
        <w:rPr>
          <w:sz w:val="20"/>
          <w:szCs w:val="20"/>
        </w:rPr>
        <w:t>Source: Australian Government Actuary.</w:t>
      </w:r>
    </w:p>
    <w:p w:rsidR="009F5FD7" w:rsidRDefault="009F5FD7" w:rsidP="009F5FD7">
      <w:pPr>
        <w:pStyle w:val="OutlineNumbered1"/>
      </w:pPr>
      <w:r>
        <w:t>Other factors have also contributed to the growth in insurance prices, including:</w:t>
      </w:r>
    </w:p>
    <w:p w:rsidR="009F5FD7" w:rsidRDefault="009F5FD7" w:rsidP="009F5FD7">
      <w:pPr>
        <w:pStyle w:val="Bullet"/>
        <w:numPr>
          <w:ilvl w:val="0"/>
          <w:numId w:val="1"/>
        </w:numPr>
        <w:ind w:left="1134"/>
      </w:pPr>
      <w:r>
        <w:t xml:space="preserve">the inclusion of  flood cover to home and contents insurance policies; and </w:t>
      </w:r>
    </w:p>
    <w:p w:rsidR="009F5FD7" w:rsidRDefault="009F5FD7" w:rsidP="009F5FD7">
      <w:pPr>
        <w:pStyle w:val="Bullet"/>
        <w:numPr>
          <w:ilvl w:val="0"/>
          <w:numId w:val="1"/>
        </w:numPr>
        <w:ind w:left="1134"/>
      </w:pPr>
      <w:r>
        <w:t xml:space="preserve">rising levels of sums insured.  </w:t>
      </w:r>
    </w:p>
    <w:p w:rsidR="009F5FD7" w:rsidRDefault="009F5FD7" w:rsidP="009F5FD7">
      <w:pPr>
        <w:pStyle w:val="OutlineNumbered1"/>
      </w:pPr>
      <w:r>
        <w:t xml:space="preserve">The policy question </w:t>
      </w:r>
      <w:r w:rsidR="00DB3C5B">
        <w:t>raised</w:t>
      </w:r>
      <w:r>
        <w:t xml:space="preserve"> by these developments is whether </w:t>
      </w:r>
      <w:r w:rsidRPr="00BD0AF8">
        <w:t xml:space="preserve">the cost of </w:t>
      </w:r>
      <w:r>
        <w:t>better understanding</w:t>
      </w:r>
      <w:r w:rsidRPr="00BD0AF8">
        <w:t xml:space="preserve"> risk should be borne directly by </w:t>
      </w:r>
      <w:r>
        <w:t xml:space="preserve">individual </w:t>
      </w:r>
      <w:r w:rsidRPr="00BD0AF8">
        <w:t>property owners, or whether there is a</w:t>
      </w:r>
      <w:r>
        <w:t xml:space="preserve"> case for </w:t>
      </w:r>
      <w:r w:rsidRPr="00BD0AF8">
        <w:t xml:space="preserve">government intervention </w:t>
      </w:r>
      <w:r>
        <w:t>to share the burden</w:t>
      </w:r>
      <w:r w:rsidRPr="00BD0AF8">
        <w:t xml:space="preserve">. </w:t>
      </w:r>
      <w:r w:rsidR="007E2AB6">
        <w:t xml:space="preserve"> </w:t>
      </w:r>
      <w:r w:rsidRPr="00BD0AF8">
        <w:t xml:space="preserve">Views </w:t>
      </w:r>
      <w:r>
        <w:t xml:space="preserve">on this issue </w:t>
      </w:r>
      <w:r w:rsidRPr="00BD0AF8">
        <w:t xml:space="preserve">have been mixed.  </w:t>
      </w:r>
    </w:p>
    <w:p w:rsidR="009F5FD7" w:rsidRDefault="009F5FD7" w:rsidP="009F5FD7">
      <w:pPr>
        <w:pStyle w:val="OutlineNumbered1"/>
      </w:pPr>
      <w:r w:rsidRPr="00BD0AF8">
        <w:t>The Natural Disaster Insurance Review for example, recommended the establishment of a government-backed</w:t>
      </w:r>
      <w:r w:rsidR="000D226F">
        <w:t xml:space="preserve"> (Commonwealth, with possible contribution from States)</w:t>
      </w:r>
      <w:r w:rsidRPr="00BD0AF8">
        <w:t xml:space="preserve"> </w:t>
      </w:r>
      <w:r w:rsidRPr="00BD0AF8">
        <w:lastRenderedPageBreak/>
        <w:t>reinsurance scheme that would effectively subsidise lower insurance premiums for owners of high risk properties</w:t>
      </w:r>
      <w:r w:rsidR="001E6EFE">
        <w:t>.</w:t>
      </w:r>
      <w:r>
        <w:rPr>
          <w:rStyle w:val="FootnoteReference"/>
        </w:rPr>
        <w:footnoteReference w:id="76"/>
      </w:r>
      <w:r w:rsidRPr="00BD0AF8">
        <w:t xml:space="preserve">   </w:t>
      </w:r>
    </w:p>
    <w:p w:rsidR="009F5FD7" w:rsidRPr="00BD0AF8" w:rsidRDefault="009F5FD7" w:rsidP="009F5FD7">
      <w:pPr>
        <w:pStyle w:val="OutlineNumbered1"/>
      </w:pPr>
      <w:r w:rsidRPr="00BD0AF8">
        <w:t xml:space="preserve">On the other hand, the Productivity Commission’s </w:t>
      </w:r>
      <w:r w:rsidRPr="00BD0AF8">
        <w:rPr>
          <w:i/>
        </w:rPr>
        <w:t>Barriers to Effective Climate Change Adaptation</w:t>
      </w:r>
      <w:r w:rsidRPr="00BD0AF8">
        <w:t xml:space="preserve"> Report recommended that insurance premiums </w:t>
      </w:r>
      <w:r>
        <w:t xml:space="preserve">should </w:t>
      </w:r>
      <w:r w:rsidRPr="00BD0AF8">
        <w:t xml:space="preserve">not be subsidised directly or indirectly, </w:t>
      </w:r>
      <w:r>
        <w:t xml:space="preserve">as that would reduce </w:t>
      </w:r>
      <w:r w:rsidRPr="00BD0AF8">
        <w:t>adaptation</w:t>
      </w:r>
      <w:r>
        <w:t xml:space="preserve"> behaviour of individuals and </w:t>
      </w:r>
      <w:r w:rsidR="00E57A04">
        <w:t>governments</w:t>
      </w:r>
      <w:r w:rsidR="001E6EFE">
        <w:t>.</w:t>
      </w:r>
      <w:r>
        <w:rPr>
          <w:rStyle w:val="FootnoteReference"/>
        </w:rPr>
        <w:footnoteReference w:id="77"/>
      </w:r>
    </w:p>
    <w:p w:rsidR="009F5FD7" w:rsidRDefault="009F5FD7" w:rsidP="009F5FD7">
      <w:pPr>
        <w:pStyle w:val="OutlineNumbered1"/>
      </w:pPr>
      <w:r>
        <w:t>S</w:t>
      </w:r>
      <w:r w:rsidRPr="00BD0AF8">
        <w:t>ubsidis</w:t>
      </w:r>
      <w:r>
        <w:t xml:space="preserve">ing </w:t>
      </w:r>
      <w:r w:rsidRPr="00BD0AF8">
        <w:t xml:space="preserve">insurance premiums would </w:t>
      </w:r>
      <w:r>
        <w:t xml:space="preserve">likely </w:t>
      </w:r>
      <w:r w:rsidRPr="00BD0AF8">
        <w:t xml:space="preserve">reduce </w:t>
      </w:r>
      <w:r>
        <w:t xml:space="preserve">the </w:t>
      </w:r>
      <w:r w:rsidRPr="00BD0AF8">
        <w:t xml:space="preserve">incentive for </w:t>
      </w:r>
      <w:r>
        <w:t xml:space="preserve">individuals and </w:t>
      </w:r>
      <w:r w:rsidR="00E57A04">
        <w:t>governments</w:t>
      </w:r>
      <w:r>
        <w:t xml:space="preserve"> to directly </w:t>
      </w:r>
      <w:r w:rsidRPr="00BD0AF8">
        <w:t>mitigat</w:t>
      </w:r>
      <w:r>
        <w:t>e risks within their control, potentially raising the overall cost of such risks</w:t>
      </w:r>
      <w:r w:rsidRPr="00BD0AF8">
        <w:t>.</w:t>
      </w:r>
      <w:r>
        <w:t xml:space="preserve"> </w:t>
      </w:r>
      <w:r w:rsidR="00901C72">
        <w:t xml:space="preserve"> </w:t>
      </w:r>
      <w:r>
        <w:t>For example, in March 2014 Suncorp announced premium reductions of 15</w:t>
      </w:r>
      <w:r w:rsidR="007E2AB6">
        <w:t xml:space="preserve"> per cent</w:t>
      </w:r>
      <w:r>
        <w:t xml:space="preserve"> in St George in Queensland following construction of a flood levee.  Similar reductions were experienced in Charleville following flood mitigation work there and Suncorp expects reductions of 30</w:t>
      </w:r>
      <w:r w:rsidR="00901C72">
        <w:t xml:space="preserve"> per cent</w:t>
      </w:r>
      <w:r>
        <w:t xml:space="preserve"> following construction of a new levee in Roma.</w:t>
      </w:r>
      <w:r>
        <w:rPr>
          <w:rStyle w:val="FootnoteReference"/>
        </w:rPr>
        <w:footnoteReference w:id="78"/>
      </w:r>
      <w:r>
        <w:t xml:space="preserve"> </w:t>
      </w:r>
      <w:r w:rsidR="007E2AB6">
        <w:t xml:space="preserve"> </w:t>
      </w:r>
      <w:r>
        <w:t xml:space="preserve">There would be less incentive for </w:t>
      </w:r>
      <w:r w:rsidR="00E57A04">
        <w:t>governments</w:t>
      </w:r>
      <w:r>
        <w:t xml:space="preserve"> to undertake such work if insurance premiums were to be subsidised.</w:t>
      </w:r>
    </w:p>
    <w:p w:rsidR="009F5FD7" w:rsidRPr="00BD0AF8" w:rsidRDefault="009F5FD7" w:rsidP="009F5FD7">
      <w:pPr>
        <w:pStyle w:val="OutlineNumbered1"/>
      </w:pPr>
      <w:r w:rsidRPr="00BD0AF8">
        <w:t xml:space="preserve">A large part of </w:t>
      </w:r>
      <w:r>
        <w:t xml:space="preserve">the idiosyncratic risk </w:t>
      </w:r>
      <w:r w:rsidRPr="00BD0AF8">
        <w:t>problem is due to inadequate attention to mitigation</w:t>
      </w:r>
      <w:r>
        <w:t xml:space="preserve">. </w:t>
      </w:r>
      <w:r w:rsidR="007E2AB6">
        <w:t xml:space="preserve"> </w:t>
      </w:r>
      <w:r>
        <w:t>For example, b</w:t>
      </w:r>
      <w:r w:rsidRPr="00BD0AF8">
        <w:t xml:space="preserve">uildings </w:t>
      </w:r>
      <w:r>
        <w:t>are</w:t>
      </w:r>
      <w:r w:rsidRPr="00BD0AF8">
        <w:t xml:space="preserve"> not being optimised to minimise damage from storms and local government land use decisions </w:t>
      </w:r>
      <w:r>
        <w:t>may not sufficiently account for</w:t>
      </w:r>
      <w:r w:rsidRPr="00BD0AF8">
        <w:t xml:space="preserve"> flood risk</w:t>
      </w:r>
      <w:r>
        <w:t xml:space="preserve"> or </w:t>
      </w:r>
      <w:r w:rsidR="00651205">
        <w:t xml:space="preserve">build in </w:t>
      </w:r>
      <w:r>
        <w:t>mitigation</w:t>
      </w:r>
      <w:r w:rsidR="00651205">
        <w:t xml:space="preserve"> strategies</w:t>
      </w:r>
      <w:r w:rsidRPr="00BD0AF8">
        <w:t>.</w:t>
      </w:r>
    </w:p>
    <w:p w:rsidR="009F5FD7" w:rsidRPr="00BD0AF8" w:rsidRDefault="009F5FD7" w:rsidP="009F5FD7">
      <w:pPr>
        <w:pStyle w:val="OutlineNumbered1"/>
      </w:pPr>
      <w:r>
        <w:t>T</w:t>
      </w:r>
      <w:r w:rsidRPr="00BD0AF8">
        <w:t xml:space="preserve">he Productivity Commission </w:t>
      </w:r>
      <w:r>
        <w:t>is</w:t>
      </w:r>
      <w:r w:rsidRPr="00BD0AF8">
        <w:t xml:space="preserve"> examin</w:t>
      </w:r>
      <w:r>
        <w:t>ing</w:t>
      </w:r>
      <w:r w:rsidRPr="00BD0AF8">
        <w:t xml:space="preserve"> the full scope of national expenditure on disasters, including the effectiveness of current mitigation support arrangements.</w:t>
      </w:r>
      <w:r w:rsidRPr="00BD0AF8">
        <w:rPr>
          <w:rStyle w:val="FootnoteReference"/>
          <w:szCs w:val="24"/>
        </w:rPr>
        <w:footnoteReference w:id="79"/>
      </w:r>
      <w:r>
        <w:t xml:space="preserve">  T</w:t>
      </w:r>
      <w:r w:rsidRPr="00BD0AF8">
        <w:t xml:space="preserve">he Australian Government Actuary will </w:t>
      </w:r>
      <w:r>
        <w:t>also</w:t>
      </w:r>
      <w:r w:rsidRPr="00BD0AF8">
        <w:t xml:space="preserve"> scrutinise insurance pricing in various Australian markets, with a focus on North Queensland.</w:t>
      </w:r>
    </w:p>
    <w:p w:rsidR="009F5FD7" w:rsidRDefault="009F5FD7" w:rsidP="009F5FD7">
      <w:pPr>
        <w:pStyle w:val="OutlineNumbered1"/>
      </w:pPr>
      <w:r>
        <w:t xml:space="preserve">Subsidised pooling solutions may be the only reliable way to address critical affordability issues in certain high-risk markets, but </w:t>
      </w:r>
      <w:r w:rsidR="00E57A04">
        <w:t>w</w:t>
      </w:r>
      <w:r w:rsidR="00876F91">
        <w:t>ould</w:t>
      </w:r>
      <w:r>
        <w:t xml:space="preserve"> come at the </w:t>
      </w:r>
      <w:r w:rsidR="00876F91">
        <w:t>risk</w:t>
      </w:r>
      <w:r>
        <w:t xml:space="preserve"> of inefficient allocation of resources.</w:t>
      </w:r>
    </w:p>
    <w:p w:rsidR="009F5FD7" w:rsidRDefault="009F5FD7" w:rsidP="009F5FD7">
      <w:pPr>
        <w:pStyle w:val="Heading3"/>
      </w:pPr>
      <w:bookmarkStart w:id="556" w:name="_Toc383703312"/>
      <w:bookmarkStart w:id="557" w:name="_Toc383704196"/>
      <w:bookmarkStart w:id="558" w:name="_Toc383783864"/>
      <w:bookmarkStart w:id="559" w:name="_Toc383784668"/>
      <w:bookmarkStart w:id="560" w:name="_Toc384121524"/>
      <w:bookmarkStart w:id="561" w:name="_Toc384123750"/>
      <w:bookmarkStart w:id="562" w:name="_Toc384132436"/>
      <w:bookmarkStart w:id="563" w:name="_Toc384205194"/>
      <w:bookmarkStart w:id="564" w:name="_Toc384278530"/>
      <w:bookmarkStart w:id="565" w:name="_Toc383081948"/>
      <w:r>
        <w:lastRenderedPageBreak/>
        <w:t>The regulatory architecture for the insurance sector is broadly appropriate, though options for greater competition should be explored</w:t>
      </w:r>
      <w:bookmarkEnd w:id="556"/>
      <w:bookmarkEnd w:id="557"/>
      <w:bookmarkEnd w:id="558"/>
      <w:bookmarkEnd w:id="559"/>
      <w:bookmarkEnd w:id="560"/>
      <w:bookmarkEnd w:id="561"/>
      <w:bookmarkEnd w:id="562"/>
      <w:bookmarkEnd w:id="563"/>
      <w:bookmarkEnd w:id="564"/>
    </w:p>
    <w:p w:rsidR="009F5FD7" w:rsidRDefault="009F5FD7" w:rsidP="009F5FD7">
      <w:pPr>
        <w:pStyle w:val="OutlineNumbered1"/>
      </w:pPr>
      <w:r>
        <w:t>A challenge for policy makers and regulators is to strike the right balance between promoting efficiency and competition in the insurance sector, whilst protecting the interests of policyholders, including ensuring access to affordable insurance.</w:t>
      </w:r>
    </w:p>
    <w:p w:rsidR="009F5FD7" w:rsidRPr="00575591" w:rsidRDefault="00876F91" w:rsidP="009F5FD7">
      <w:pPr>
        <w:pStyle w:val="OutlineNumbered1"/>
      </w:pPr>
      <w:r>
        <w:t>T</w:t>
      </w:r>
      <w:r w:rsidR="009F5FD7" w:rsidRPr="00C77E45">
        <w:t xml:space="preserve">he collapse of HIH in 2001 </w:t>
      </w:r>
      <w:r>
        <w:t>highlighted</w:t>
      </w:r>
      <w:r w:rsidR="009F5FD7" w:rsidRPr="00C77E45">
        <w:t xml:space="preserve"> that robust prudential </w:t>
      </w:r>
      <w:r w:rsidR="00651205">
        <w:t xml:space="preserve">regulation </w:t>
      </w:r>
      <w:r w:rsidR="009F5FD7" w:rsidRPr="00C77E45">
        <w:t xml:space="preserve">and </w:t>
      </w:r>
      <w:r w:rsidR="00651205">
        <w:t xml:space="preserve">active </w:t>
      </w:r>
      <w:r w:rsidR="009F5FD7" w:rsidRPr="00C77E45">
        <w:t xml:space="preserve">supervision </w:t>
      </w:r>
      <w:r w:rsidR="00651205">
        <w:t>in the</w:t>
      </w:r>
      <w:r w:rsidR="00651205" w:rsidRPr="00C77E45">
        <w:t xml:space="preserve"> </w:t>
      </w:r>
      <w:r w:rsidR="009F5FD7" w:rsidRPr="00C77E45">
        <w:t xml:space="preserve">insurance </w:t>
      </w:r>
      <w:r w:rsidR="00651205">
        <w:t xml:space="preserve">sector </w:t>
      </w:r>
      <w:r w:rsidR="009F5FD7" w:rsidRPr="00C77E45">
        <w:t xml:space="preserve">is needed to </w:t>
      </w:r>
      <w:r>
        <w:t>ensure that</w:t>
      </w:r>
      <w:r w:rsidR="009F5FD7" w:rsidRPr="00C77E45">
        <w:t xml:space="preserve"> poor risk and business management practices</w:t>
      </w:r>
      <w:r w:rsidR="007E4DA5">
        <w:t xml:space="preserve"> are identified and remedied at an early stage</w:t>
      </w:r>
      <w:r w:rsidR="000D226F">
        <w:t xml:space="preserve">, and </w:t>
      </w:r>
      <w:r w:rsidR="007E4DA5">
        <w:t xml:space="preserve">to </w:t>
      </w:r>
      <w:r w:rsidR="00151D61">
        <w:t xml:space="preserve">ensure </w:t>
      </w:r>
      <w:r w:rsidR="000D226F">
        <w:t>that consumers are protected</w:t>
      </w:r>
      <w:r w:rsidR="009F5FD7" w:rsidRPr="00C77E45">
        <w:t>.  These lessons were reinforced by the build-up of finan</w:t>
      </w:r>
      <w:r w:rsidR="009F5FD7" w:rsidRPr="00575591">
        <w:t xml:space="preserve">cial risks in other nations, and the subsequent fallout from the global financial crisis.  </w:t>
      </w:r>
    </w:p>
    <w:p w:rsidR="009F5FD7" w:rsidRPr="00575591" w:rsidRDefault="009F5FD7" w:rsidP="009F5FD7">
      <w:pPr>
        <w:pStyle w:val="OutlineNumbered1"/>
      </w:pPr>
      <w:r w:rsidRPr="00575591">
        <w:t>A series of prudential enhancements has been implemented in Australia during the late 2000s, both by legislators and regulators—APRA in particular.  APRA ha</w:t>
      </w:r>
      <w:r w:rsidR="000D226F">
        <w:t>s now completed its</w:t>
      </w:r>
      <w:r w:rsidRPr="00575591">
        <w:t xml:space="preserve"> Life and General Insurance Capital (LAGIC) review and the resulting changes to risk management and capital regime w</w:t>
      </w:r>
      <w:r w:rsidR="00876F91">
        <w:t>ere</w:t>
      </w:r>
      <w:r w:rsidRPr="00575591">
        <w:t xml:space="preserve"> put in place </w:t>
      </w:r>
      <w:r w:rsidR="00496908">
        <w:t>from</w:t>
      </w:r>
      <w:r w:rsidRPr="00575591">
        <w:t xml:space="preserve"> 1 January 2013.</w:t>
      </w:r>
      <w:r w:rsidR="000D226F">
        <w:t xml:space="preserve"> </w:t>
      </w:r>
      <w:r w:rsidRPr="00575591">
        <w:t xml:space="preserve"> It is </w:t>
      </w:r>
      <w:r w:rsidR="00E71C6F">
        <w:t>too</w:t>
      </w:r>
      <w:r w:rsidRPr="00575591">
        <w:t xml:space="preserve"> early to form a detailed assessment of the changes in behavioural and broad implications of the reforms. </w:t>
      </w:r>
      <w:r w:rsidR="007E2AB6">
        <w:t xml:space="preserve"> </w:t>
      </w:r>
      <w:r w:rsidRPr="00575591">
        <w:t xml:space="preserve">However, the Financial System Inquiry could assess if there are any areas that would merit earlier review.  </w:t>
      </w:r>
    </w:p>
    <w:p w:rsidR="009F5FD7" w:rsidRPr="00575591" w:rsidRDefault="009F5FD7" w:rsidP="009F5FD7">
      <w:pPr>
        <w:pStyle w:val="OutlineNumbered1"/>
      </w:pPr>
      <w:r w:rsidRPr="00575591">
        <w:t xml:space="preserve">The crisis in liability insurance of the early 2000s </w:t>
      </w:r>
      <w:r w:rsidR="00151D61">
        <w:t xml:space="preserve">led </w:t>
      </w:r>
      <w:r w:rsidRPr="00575591">
        <w:t xml:space="preserve">to a major national tort law reform, which has improved access to affordable liability insurance. </w:t>
      </w:r>
      <w:r w:rsidR="007E2AB6">
        <w:t xml:space="preserve"> </w:t>
      </w:r>
      <w:r>
        <w:t>More recent r</w:t>
      </w:r>
      <w:r w:rsidRPr="00575591">
        <w:t xml:space="preserve">eforms, such as the requirement for a standard definition of flood, have improved consumer knowledge about the terms and conditions of insurance policies. </w:t>
      </w:r>
    </w:p>
    <w:p w:rsidR="009F5FD7" w:rsidRPr="00A62F90" w:rsidRDefault="009F5FD7" w:rsidP="009F5FD7">
      <w:pPr>
        <w:pStyle w:val="OutlineNumbered1"/>
        <w:rPr>
          <w:szCs w:val="24"/>
        </w:rPr>
      </w:pPr>
      <w:r w:rsidRPr="00575591">
        <w:rPr>
          <w:szCs w:val="24"/>
        </w:rPr>
        <w:t>Compet</w:t>
      </w:r>
      <w:r>
        <w:rPr>
          <w:szCs w:val="24"/>
        </w:rPr>
        <w:t xml:space="preserve">ition and contestability in the life insurance </w:t>
      </w:r>
      <w:r w:rsidR="00C53673">
        <w:rPr>
          <w:szCs w:val="24"/>
        </w:rPr>
        <w:t>sector</w:t>
      </w:r>
      <w:r>
        <w:rPr>
          <w:szCs w:val="24"/>
        </w:rPr>
        <w:t xml:space="preserve"> appears robust.  As noted above, in some business lines such as </w:t>
      </w:r>
      <w:r>
        <w:t>group life, total and permanent disability and income protection cover</w:t>
      </w:r>
      <w:r>
        <w:rPr>
          <w:szCs w:val="24"/>
        </w:rPr>
        <w:t>, competitive pressures have driven insurers toward pricing and risk provisioning practices that were potentially not sustainable.</w:t>
      </w:r>
    </w:p>
    <w:p w:rsidR="009F5FD7" w:rsidRDefault="009F5FD7" w:rsidP="009F5FD7">
      <w:pPr>
        <w:pStyle w:val="OutlineNumbered1"/>
        <w:rPr>
          <w:szCs w:val="24"/>
        </w:rPr>
      </w:pPr>
      <w:r>
        <w:rPr>
          <w:szCs w:val="24"/>
        </w:rPr>
        <w:t xml:space="preserve">Nevertheless, in the interest of maintaining a competitive environment, it would be appropriate for the Inquiry to explore any regulatory factors that may affect the level of competition.  </w:t>
      </w:r>
    </w:p>
    <w:p w:rsidR="00E71C6F" w:rsidRPr="00E71C6F" w:rsidRDefault="00E71C6F" w:rsidP="001E6EFE">
      <w:pPr>
        <w:pStyle w:val="OutlineNumbered1"/>
        <w:keepNext/>
        <w:numPr>
          <w:ilvl w:val="0"/>
          <w:numId w:val="0"/>
        </w:numPr>
        <w:rPr>
          <w:i/>
          <w:szCs w:val="24"/>
        </w:rPr>
      </w:pPr>
      <w:r w:rsidRPr="00E71C6F">
        <w:rPr>
          <w:i/>
          <w:szCs w:val="24"/>
        </w:rPr>
        <w:t>Life insurance</w:t>
      </w:r>
    </w:p>
    <w:p w:rsidR="009F5FD7" w:rsidRPr="006D5BE8" w:rsidRDefault="009F5FD7" w:rsidP="009F5FD7">
      <w:pPr>
        <w:pStyle w:val="OutlineNumbered1"/>
        <w:rPr>
          <w:szCs w:val="24"/>
        </w:rPr>
      </w:pPr>
      <w:r w:rsidRPr="006D5BE8">
        <w:rPr>
          <w:szCs w:val="24"/>
        </w:rPr>
        <w:t>One potential factor for the Inquiry to explore is the current restrictions on entry to Australia’s life insurance market.</w:t>
      </w:r>
      <w:r>
        <w:rPr>
          <w:szCs w:val="24"/>
        </w:rPr>
        <w:t xml:space="preserve"> </w:t>
      </w:r>
      <w:r w:rsidR="007E2AB6">
        <w:rPr>
          <w:szCs w:val="24"/>
        </w:rPr>
        <w:t xml:space="preserve"> </w:t>
      </w:r>
      <w:r>
        <w:rPr>
          <w:szCs w:val="24"/>
        </w:rPr>
        <w:t>R</w:t>
      </w:r>
      <w:r w:rsidRPr="006D5BE8">
        <w:rPr>
          <w:szCs w:val="24"/>
        </w:rPr>
        <w:t xml:space="preserve">equirements for foreign life insurers establishing a branch in Australia are more restrictive than for general insurance.  Foreign life insurers are required to establish a local subsidiary which is subject to APRA </w:t>
      </w:r>
      <w:r w:rsidRPr="006D5BE8">
        <w:rPr>
          <w:szCs w:val="24"/>
        </w:rPr>
        <w:lastRenderedPageBreak/>
        <w:t xml:space="preserve">authorisation. </w:t>
      </w:r>
      <w:r w:rsidR="007E2AB6">
        <w:rPr>
          <w:szCs w:val="24"/>
        </w:rPr>
        <w:t xml:space="preserve"> </w:t>
      </w:r>
      <w:r w:rsidRPr="006D5BE8">
        <w:rPr>
          <w:szCs w:val="24"/>
        </w:rPr>
        <w:t xml:space="preserve">The Life Insurance Act </w:t>
      </w:r>
      <w:r>
        <w:rPr>
          <w:szCs w:val="24"/>
        </w:rPr>
        <w:t>allows</w:t>
      </w:r>
      <w:r w:rsidRPr="006D5BE8">
        <w:rPr>
          <w:szCs w:val="24"/>
        </w:rPr>
        <w:t xml:space="preserve"> for exceptions to this rule</w:t>
      </w:r>
      <w:r>
        <w:rPr>
          <w:szCs w:val="24"/>
        </w:rPr>
        <w:t xml:space="preserve"> for insurers from c</w:t>
      </w:r>
      <w:r w:rsidRPr="006D5BE8">
        <w:rPr>
          <w:szCs w:val="24"/>
        </w:rPr>
        <w:t>ertain countries</w:t>
      </w:r>
      <w:r>
        <w:rPr>
          <w:szCs w:val="24"/>
        </w:rPr>
        <w:t>, who can</w:t>
      </w:r>
      <w:r w:rsidRPr="006D5BE8">
        <w:rPr>
          <w:szCs w:val="24"/>
        </w:rPr>
        <w:t xml:space="preserve"> apply to APRA to operate a branch.  Currently, only life insurers from the United States and New Zealand </w:t>
      </w:r>
      <w:r>
        <w:rPr>
          <w:szCs w:val="24"/>
        </w:rPr>
        <w:t xml:space="preserve">can </w:t>
      </w:r>
      <w:r w:rsidRPr="006D5BE8">
        <w:rPr>
          <w:szCs w:val="24"/>
        </w:rPr>
        <w:t>apply to APRA to establish local branches</w:t>
      </w:r>
      <w:r>
        <w:rPr>
          <w:szCs w:val="24"/>
        </w:rPr>
        <w:t xml:space="preserve">, </w:t>
      </w:r>
      <w:r w:rsidRPr="006D5BE8">
        <w:rPr>
          <w:szCs w:val="24"/>
        </w:rPr>
        <w:t xml:space="preserve">although no foreign life insurers have </w:t>
      </w:r>
      <w:r>
        <w:rPr>
          <w:szCs w:val="24"/>
        </w:rPr>
        <w:t xml:space="preserve">yet </w:t>
      </w:r>
      <w:r w:rsidRPr="006D5BE8">
        <w:rPr>
          <w:szCs w:val="24"/>
        </w:rPr>
        <w:t xml:space="preserve">done so. </w:t>
      </w:r>
    </w:p>
    <w:bookmarkEnd w:id="565"/>
    <w:p w:rsidR="00E71C6F" w:rsidRPr="00E71C6F" w:rsidRDefault="00E71C6F" w:rsidP="00E71C6F">
      <w:pPr>
        <w:pStyle w:val="OutlineNumbered1"/>
        <w:numPr>
          <w:ilvl w:val="0"/>
          <w:numId w:val="0"/>
        </w:numPr>
        <w:rPr>
          <w:i/>
          <w:szCs w:val="24"/>
        </w:rPr>
      </w:pPr>
      <w:r w:rsidRPr="00E71C6F">
        <w:rPr>
          <w:i/>
          <w:szCs w:val="24"/>
        </w:rPr>
        <w:t>General insurance</w:t>
      </w:r>
    </w:p>
    <w:p w:rsidR="00E71C6F" w:rsidRDefault="00E71C6F" w:rsidP="00E71C6F">
      <w:pPr>
        <w:pStyle w:val="OutlineNumbered1"/>
      </w:pPr>
      <w:r w:rsidRPr="00A26CD3">
        <w:t xml:space="preserve">Australian </w:t>
      </w:r>
      <w:r>
        <w:t xml:space="preserve">general </w:t>
      </w:r>
      <w:r w:rsidRPr="00A26CD3">
        <w:t xml:space="preserve">insurance markets are largely open to the entry of new insurers, including foreign insurers.  Foreign general insurers are able to establish local branches in Australia, subject to APRA being satisfied that they meet certain prudential requirements (including that their assets held in Australia exceed their liabilities held in Australia).  These requirements ensure that domestic policy holders of foreign insurers are adequately protected. </w:t>
      </w:r>
      <w:r w:rsidR="007E2AB6">
        <w:t xml:space="preserve"> </w:t>
      </w:r>
      <w:r w:rsidRPr="00A26CD3">
        <w:t>The requirements also ensure foreign participants are not advantaged over their domestic competitors, by facing the same capital and prudential requirements.</w:t>
      </w:r>
    </w:p>
    <w:p w:rsidR="00E71C6F" w:rsidRDefault="00E71C6F" w:rsidP="00E71C6F">
      <w:pPr>
        <w:pStyle w:val="OutlineNumbered1"/>
      </w:pPr>
      <w:r>
        <w:t xml:space="preserve">Indicators suggest there has been an intensification of competition and contestability broadly across the general insurance sector in recent years.  </w:t>
      </w:r>
    </w:p>
    <w:p w:rsidR="00E71C6F" w:rsidRDefault="00E71C6F" w:rsidP="00E71C6F">
      <w:pPr>
        <w:pStyle w:val="Bullet"/>
        <w:numPr>
          <w:ilvl w:val="0"/>
          <w:numId w:val="1"/>
        </w:numPr>
        <w:ind w:left="1134"/>
      </w:pPr>
      <w:r>
        <w:t>There have been new entrants</w:t>
      </w:r>
      <w:r w:rsidR="00846C5C">
        <w:t xml:space="preserve"> </w:t>
      </w:r>
      <w:r>
        <w:t>offering a range of general and life insurance products and capturing</w:t>
      </w:r>
      <w:r w:rsidRPr="00A26CD3">
        <w:t xml:space="preserve"> market share by </w:t>
      </w:r>
      <w:r>
        <w:t xml:space="preserve">advertising aggressively and </w:t>
      </w:r>
      <w:r w:rsidRPr="00A26CD3">
        <w:t xml:space="preserve">offering cheaper premiums </w:t>
      </w:r>
      <w:r w:rsidRPr="008306A6">
        <w:t xml:space="preserve">and/or enhanced product features.  </w:t>
      </w:r>
    </w:p>
    <w:p w:rsidR="00E71C6F" w:rsidRDefault="00E71C6F" w:rsidP="00E71C6F">
      <w:pPr>
        <w:pStyle w:val="Bullet"/>
        <w:numPr>
          <w:ilvl w:val="0"/>
          <w:numId w:val="1"/>
        </w:numPr>
        <w:ind w:left="1134"/>
      </w:pPr>
      <w:r>
        <w:t xml:space="preserve">There has been </w:t>
      </w:r>
      <w:r w:rsidR="00DB3C5B">
        <w:t>an</w:t>
      </w:r>
      <w:r w:rsidRPr="008306A6">
        <w:t xml:space="preserve"> emergence of </w:t>
      </w:r>
      <w:r>
        <w:t xml:space="preserve">‘aggregator’ </w:t>
      </w:r>
      <w:r w:rsidRPr="008306A6">
        <w:t>websites</w:t>
      </w:r>
      <w:r w:rsidR="00DB3C5B">
        <w:t xml:space="preserve"> (which enable the comparison of product features and prices)</w:t>
      </w:r>
      <w:r>
        <w:t xml:space="preserve">. </w:t>
      </w:r>
      <w:r w:rsidR="007E2AB6">
        <w:t xml:space="preserve"> </w:t>
      </w:r>
      <w:r w:rsidRPr="008306A6">
        <w:t xml:space="preserve">These sites </w:t>
      </w:r>
      <w:r>
        <w:t xml:space="preserve">can </w:t>
      </w:r>
      <w:r w:rsidRPr="008306A6">
        <w:t xml:space="preserve">reduce search and transaction costs for consumers, enabling them to </w:t>
      </w:r>
      <w:r>
        <w:t>compare</w:t>
      </w:r>
      <w:r w:rsidRPr="008306A6">
        <w:t xml:space="preserve"> insurance p</w:t>
      </w:r>
      <w:r>
        <w:t>rices more easily</w:t>
      </w:r>
      <w:r w:rsidRPr="008306A6">
        <w:t xml:space="preserve">. </w:t>
      </w:r>
      <w:r w:rsidR="007E2AB6">
        <w:t xml:space="preserve"> </w:t>
      </w:r>
      <w:r>
        <w:t>However, such sites can reduce consumer attention to price alone rather than a joint assessment of the price and the features of a policy.</w:t>
      </w:r>
    </w:p>
    <w:p w:rsidR="00E71C6F" w:rsidRPr="00700677" w:rsidRDefault="00E71C6F" w:rsidP="00E71C6F">
      <w:pPr>
        <w:pStyle w:val="Bullet"/>
        <w:numPr>
          <w:ilvl w:val="0"/>
          <w:numId w:val="1"/>
        </w:numPr>
        <w:ind w:left="1134"/>
      </w:pPr>
      <w:r w:rsidRPr="008306A6">
        <w:t xml:space="preserve">A number of new entrants </w:t>
      </w:r>
      <w:r>
        <w:t>are</w:t>
      </w:r>
      <w:r w:rsidRPr="008306A6">
        <w:t xml:space="preserve"> offering online services only, which is a far c</w:t>
      </w:r>
      <w:r>
        <w:t>heaper and easier way to enter the</w:t>
      </w:r>
      <w:r w:rsidRPr="008306A6">
        <w:t xml:space="preserve"> market</w:t>
      </w:r>
      <w:r>
        <w:t>.  Incumbents are responding by establishing low</w:t>
      </w:r>
      <w:r w:rsidR="00ED5628">
        <w:t>-</w:t>
      </w:r>
      <w:r>
        <w:t>cost competitors such as Bingle (a subsidiary of Suncorp) which only operate online.</w:t>
      </w:r>
    </w:p>
    <w:p w:rsidR="009F5FD7" w:rsidRDefault="00E71C6F" w:rsidP="009F5FD7">
      <w:pPr>
        <w:pStyle w:val="OutlineNumbered1"/>
      </w:pPr>
      <w:r>
        <w:t>The contestability in the general insurance market is reflected in trends in profitability, notwithstanding a popular perception that a</w:t>
      </w:r>
      <w:r w:rsidR="009F5FD7" w:rsidRPr="009D4BAC">
        <w:t xml:space="preserve"> lack of competition </w:t>
      </w:r>
      <w:r w:rsidR="009F5FD7">
        <w:t xml:space="preserve">is </w:t>
      </w:r>
      <w:r>
        <w:t xml:space="preserve">driving </w:t>
      </w:r>
      <w:r w:rsidR="009F5FD7">
        <w:t>rising premiums</w:t>
      </w:r>
      <w:r>
        <w:t xml:space="preserve">. </w:t>
      </w:r>
      <w:r w:rsidR="009F5FD7">
        <w:t xml:space="preserve"> Despite strong rises in home building and home contents insurance prices since 2008, industry</w:t>
      </w:r>
      <w:r w:rsidR="009F5FD7">
        <w:noBreakHyphen/>
        <w:t>wide profitability since 2008 has</w:t>
      </w:r>
      <w:r w:rsidR="00151D61">
        <w:t>,</w:t>
      </w:r>
      <w:r w:rsidR="009F5FD7">
        <w:t xml:space="preserve"> on average</w:t>
      </w:r>
      <w:r w:rsidR="00151D61">
        <w:t>,</w:t>
      </w:r>
      <w:r w:rsidR="009F5FD7">
        <w:t xml:space="preserve"> been lower than for the five years preceding </w:t>
      </w:r>
      <w:r w:rsidR="009F5FD7" w:rsidRPr="00C500C4">
        <w:t>2008 (</w:t>
      </w:r>
      <w:r w:rsidR="00967350">
        <w:fldChar w:fldCharType="begin"/>
      </w:r>
      <w:r w:rsidR="00967350">
        <w:instrText xml:space="preserve"> REF _Ref383719989 \h </w:instrText>
      </w:r>
      <w:r w:rsidR="00967350">
        <w:fldChar w:fldCharType="separate"/>
      </w:r>
      <w:r w:rsidR="0050148E">
        <w:t xml:space="preserve">Chart </w:t>
      </w:r>
      <w:r w:rsidR="0050148E">
        <w:rPr>
          <w:noProof/>
        </w:rPr>
        <w:t>7</w:t>
      </w:r>
      <w:r w:rsidR="00967350">
        <w:fldChar w:fldCharType="end"/>
      </w:r>
      <w:r w:rsidR="009F5FD7" w:rsidRPr="00C500C4">
        <w:t>),</w:t>
      </w:r>
      <w:r w:rsidR="009F5FD7">
        <w:t xml:space="preserve"> when price rises for home building and home contents insurance more closely tracked consumer inflation.  </w:t>
      </w:r>
    </w:p>
    <w:p w:rsidR="009F5FD7" w:rsidRPr="00967350" w:rsidRDefault="00967350" w:rsidP="00AA6D7D">
      <w:pPr>
        <w:pStyle w:val="Caption"/>
        <w:keepNext/>
        <w:jc w:val="center"/>
      </w:pPr>
      <w:bookmarkStart w:id="566" w:name="_Ref383719989"/>
      <w:r>
        <w:lastRenderedPageBreak/>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7</w:t>
      </w:r>
      <w:r w:rsidR="000A480B">
        <w:rPr>
          <w:noProof/>
        </w:rPr>
        <w:fldChar w:fldCharType="end"/>
      </w:r>
      <w:bookmarkEnd w:id="566"/>
      <w:r w:rsidRPr="00967350">
        <w:t>: Industry wide net profit/loss after tax</w:t>
      </w:r>
      <w:r w:rsidR="009F5FD7" w:rsidRPr="00967350">
        <w:rPr>
          <w:rStyle w:val="FootnoteReference"/>
        </w:rPr>
        <w:footnoteReference w:id="80"/>
      </w:r>
      <w:r w:rsidR="009F5FD7" w:rsidRPr="00967350">
        <w:t xml:space="preserve"> </w:t>
      </w:r>
    </w:p>
    <w:p w:rsidR="009F5FD7" w:rsidRPr="00E22341" w:rsidRDefault="009F5FD7" w:rsidP="009F5FD7">
      <w:pPr>
        <w:pStyle w:val="Bullet"/>
        <w:numPr>
          <w:ilvl w:val="0"/>
          <w:numId w:val="0"/>
        </w:numPr>
        <w:ind w:left="520"/>
        <w:jc w:val="center"/>
      </w:pPr>
      <w:r>
        <w:rPr>
          <w:noProof/>
          <w:lang w:val="en-US"/>
        </w:rPr>
        <w:drawing>
          <wp:inline distT="0" distB="0" distL="0" distR="0" wp14:anchorId="1E4DB0F0" wp14:editId="2589AADA">
            <wp:extent cx="5580000" cy="25200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5FD7" w:rsidRPr="00592582" w:rsidRDefault="009F5FD7" w:rsidP="009F5FD7">
      <w:pPr>
        <w:pStyle w:val="Bullet"/>
        <w:numPr>
          <w:ilvl w:val="0"/>
          <w:numId w:val="0"/>
        </w:numPr>
        <w:ind w:left="520"/>
        <w:rPr>
          <w:sz w:val="20"/>
        </w:rPr>
      </w:pPr>
      <w:r w:rsidRPr="00592582">
        <w:rPr>
          <w:sz w:val="20"/>
        </w:rPr>
        <w:t>Source: APRA</w:t>
      </w:r>
      <w:r>
        <w:rPr>
          <w:sz w:val="20"/>
          <w:szCs w:val="20"/>
        </w:rPr>
        <w:t xml:space="preserve"> and </w:t>
      </w:r>
      <w:r w:rsidRPr="00592582">
        <w:rPr>
          <w:sz w:val="20"/>
        </w:rPr>
        <w:t>Treasury</w:t>
      </w:r>
      <w:r>
        <w:rPr>
          <w:sz w:val="20"/>
          <w:szCs w:val="20"/>
        </w:rPr>
        <w:t>.</w:t>
      </w:r>
    </w:p>
    <w:p w:rsidR="009F5FD7" w:rsidRDefault="009F5FD7" w:rsidP="009F5FD7">
      <w:pPr>
        <w:pStyle w:val="OutlineNumbered1"/>
      </w:pPr>
      <w:r>
        <w:t>While there are signs that competition is broadly robust</w:t>
      </w:r>
      <w:r w:rsidRPr="002672F2">
        <w:t xml:space="preserve">, some insurance </w:t>
      </w:r>
      <w:r>
        <w:t>classes</w:t>
      </w:r>
      <w:r w:rsidRPr="002672F2">
        <w:t xml:space="preserve">, such as for motor vehicles, house and contents and lenders mortgage insurance, </w:t>
      </w:r>
      <w:r>
        <w:t xml:space="preserve">continue to be </w:t>
      </w:r>
      <w:r w:rsidRPr="002672F2">
        <w:t xml:space="preserve">characterised by high levels of </w:t>
      </w:r>
      <w:r>
        <w:t xml:space="preserve">market concentration. </w:t>
      </w:r>
      <w:r w:rsidR="007E2AB6">
        <w:t xml:space="preserve"> </w:t>
      </w:r>
      <w:r>
        <w:t>In each of these classes, a few providers account</w:t>
      </w:r>
      <w:r w:rsidRPr="002672F2">
        <w:t xml:space="preserve"> for the majority share in premium</w:t>
      </w:r>
      <w:r>
        <w:t>s</w:t>
      </w:r>
      <w:r w:rsidRPr="002672F2">
        <w:t xml:space="preserve"> generated across Australia</w:t>
      </w:r>
      <w:r>
        <w:t>, despite there being dozens of other providers</w:t>
      </w:r>
      <w:r w:rsidRPr="002672F2">
        <w:t xml:space="preserve">.  </w:t>
      </w:r>
    </w:p>
    <w:p w:rsidR="009F5FD7" w:rsidRPr="00700677" w:rsidRDefault="009F5FD7" w:rsidP="009F5FD7">
      <w:pPr>
        <w:pStyle w:val="OutlineNumbered1"/>
      </w:pPr>
      <w:r>
        <w:t>The level of concentration</w:t>
      </w:r>
      <w:r w:rsidRPr="002672F2">
        <w:t xml:space="preserve"> does not in itself indicate that competition in these sub-markets is </w:t>
      </w:r>
      <w:r>
        <w:t>uncontested.</w:t>
      </w:r>
      <w:r w:rsidRPr="00700677">
        <w:t xml:space="preserve"> </w:t>
      </w:r>
      <w:r w:rsidR="007E2AB6">
        <w:t xml:space="preserve"> </w:t>
      </w:r>
      <w:r w:rsidRPr="00700677">
        <w:t>On the contrary, reports suggest that insurers in these markets are competing vigorously for business, evidenced by the plethora of advertisements by insurance providers during prime time media slots.</w:t>
      </w:r>
    </w:p>
    <w:p w:rsidR="009F5FD7" w:rsidRDefault="009F5FD7" w:rsidP="009F5FD7">
      <w:pPr>
        <w:pStyle w:val="OutlineNumbered1"/>
      </w:pPr>
      <w:r>
        <w:t>However, not all insurance markets across Australia exhibit the same level of competition or contestability.  For example, areas such as North Queensland have comparatively few insurers prepared to do business in property insurance, due to concerns over storm and cyclone risk.  This is especially so in the strata title insurance market in which two insurers (Suncorp (Longitude/Vero) and IAG (CGU/SUU)) write most of the business.</w:t>
      </w:r>
    </w:p>
    <w:p w:rsidR="009F5FD7" w:rsidRDefault="009F5FD7" w:rsidP="009F5FD7">
      <w:pPr>
        <w:pStyle w:val="OutlineNumbered1"/>
      </w:pPr>
      <w:r>
        <w:t>T</w:t>
      </w:r>
      <w:r w:rsidRPr="00953BD4">
        <w:t>he</w:t>
      </w:r>
      <w:r>
        <w:t xml:space="preserve"> Financial System Inquiry should explore the scope to enhance efficiency and competition within the general insurance </w:t>
      </w:r>
      <w:r w:rsidR="00C53673">
        <w:t>sector</w:t>
      </w:r>
      <w:r>
        <w:t xml:space="preserve"> with a focus on segments of the </w:t>
      </w:r>
      <w:r w:rsidRPr="00953BD4">
        <w:t xml:space="preserve">market </w:t>
      </w:r>
      <w:r>
        <w:t xml:space="preserve">with fewer </w:t>
      </w:r>
      <w:r w:rsidRPr="00953BD4">
        <w:t>participants.</w:t>
      </w:r>
    </w:p>
    <w:p w:rsidR="00E71C6F" w:rsidRPr="00E71C6F" w:rsidRDefault="00E71C6F" w:rsidP="007E2AB6">
      <w:pPr>
        <w:pStyle w:val="OutlineNumbered1"/>
        <w:keepNext/>
        <w:numPr>
          <w:ilvl w:val="0"/>
          <w:numId w:val="0"/>
        </w:numPr>
        <w:rPr>
          <w:i/>
        </w:rPr>
      </w:pPr>
      <w:r w:rsidRPr="00E71C6F">
        <w:rPr>
          <w:i/>
        </w:rPr>
        <w:lastRenderedPageBreak/>
        <w:t>Financial Claims Scheme</w:t>
      </w:r>
    </w:p>
    <w:p w:rsidR="009F5FD7" w:rsidRPr="006B5AEB" w:rsidRDefault="009F5FD7" w:rsidP="009F5FD7">
      <w:pPr>
        <w:pStyle w:val="OutlineNumbered1"/>
      </w:pPr>
      <w:r w:rsidRPr="006B5AEB">
        <w:t>The Financial Claims Scheme (FCS) is now a</w:t>
      </w:r>
      <w:r w:rsidR="00496908">
        <w:t>n established</w:t>
      </w:r>
      <w:r w:rsidRPr="006B5AEB">
        <w:t xml:space="preserve"> feature the financial system and can be triggered when an insurer has failed and is about to be placed into liquidation. </w:t>
      </w:r>
      <w:r w:rsidR="007E2AB6">
        <w:t xml:space="preserve"> </w:t>
      </w:r>
      <w:r w:rsidRPr="006B5AEB">
        <w:t xml:space="preserve">The FCS has been triggered for a small insurance company, </w:t>
      </w:r>
      <w:r w:rsidR="000D226F">
        <w:t>Australian Family Assurance Limited (AustFam) in 2009</w:t>
      </w:r>
      <w:r w:rsidRPr="000D226F">
        <w:t>.</w:t>
      </w:r>
      <w:r w:rsidRPr="006B5AEB">
        <w:t xml:space="preserve"> </w:t>
      </w:r>
      <w:r w:rsidR="000D226F">
        <w:t xml:space="preserve"> </w:t>
      </w:r>
      <w:r w:rsidRPr="006B5AEB">
        <w:t xml:space="preserve">It supports financial stability by ensuring confidence and reducing the impact of failures through quick access to funds. </w:t>
      </w:r>
      <w:r w:rsidR="007E2AB6">
        <w:t xml:space="preserve"> </w:t>
      </w:r>
      <w:r w:rsidRPr="006B5AEB">
        <w:t>It could, however, distort the flow of funds in the system by divert</w:t>
      </w:r>
      <w:r w:rsidR="00876F91">
        <w:t>ing</w:t>
      </w:r>
      <w:r w:rsidRPr="006B5AEB">
        <w:t xml:space="preserve"> funds aw</w:t>
      </w:r>
      <w:r w:rsidR="007E2AB6">
        <w:t>ay from non-protected products.</w:t>
      </w:r>
    </w:p>
    <w:p w:rsidR="009F5FD7" w:rsidRDefault="009F5FD7" w:rsidP="009F5FD7">
      <w:pPr>
        <w:pStyle w:val="OutlineNumbered1"/>
      </w:pPr>
      <w:r w:rsidRPr="006B5AEB">
        <w:t xml:space="preserve">At present, the FCS is funded after the scheme has been triggered and as such, those who benefit from the FCS do not pay for the benefit they derive. </w:t>
      </w:r>
      <w:r w:rsidR="00E71C6F">
        <w:t xml:space="preserve"> </w:t>
      </w:r>
      <w:r w:rsidRPr="006B5AEB">
        <w:t xml:space="preserve">As with the FCS for bank deposits the introduction of </w:t>
      </w:r>
      <w:r w:rsidR="00E71C6F">
        <w:t>a price on the</w:t>
      </w:r>
      <w:r w:rsidRPr="006B5AEB">
        <w:t xml:space="preserve"> insurance FCS would remedy this problem.</w:t>
      </w:r>
      <w:r w:rsidR="007E2AB6">
        <w:t xml:space="preserve">  </w:t>
      </w:r>
      <w:r w:rsidRPr="006B5AEB">
        <w:t xml:space="preserve">However, </w:t>
      </w:r>
      <w:r w:rsidR="00E71C6F">
        <w:t>in forming a view on this issue the Financial System Inquiry will need to take address the</w:t>
      </w:r>
      <w:r w:rsidRPr="006B5AEB">
        <w:t xml:space="preserve"> complexities in formulating an appropriate levy for the insurance sector and </w:t>
      </w:r>
      <w:r w:rsidR="00E71C6F">
        <w:t>take account of the relatively high</w:t>
      </w:r>
      <w:r w:rsidRPr="006B5AEB">
        <w:t xml:space="preserve"> level of taxation </w:t>
      </w:r>
      <w:r w:rsidR="00E71C6F">
        <w:t>on</w:t>
      </w:r>
      <w:r w:rsidRPr="006B5AEB">
        <w:t xml:space="preserve"> insurance products</w:t>
      </w:r>
      <w:r w:rsidR="00E71C6F">
        <w:t>.</w:t>
      </w:r>
    </w:p>
    <w:p w:rsidR="009F5FD7" w:rsidRDefault="009F5FD7" w:rsidP="009F5FD7"/>
    <w:p w:rsidR="009F5FD7" w:rsidRDefault="009F5FD7">
      <w:pPr>
        <w:spacing w:after="0" w:line="240" w:lineRule="auto"/>
        <w:rPr>
          <w:rFonts w:ascii="Arial Bold" w:hAnsi="Arial Bold"/>
          <w:color w:val="000080"/>
          <w:sz w:val="48"/>
          <w:szCs w:val="48"/>
        </w:rPr>
      </w:pPr>
      <w:bookmarkStart w:id="567" w:name="_Toc381951965"/>
      <w:bookmarkStart w:id="568" w:name="_Toc382492832"/>
      <w:bookmarkStart w:id="569" w:name="_Toc382493623"/>
      <w:bookmarkStart w:id="570" w:name="_Toc382493802"/>
      <w:bookmarkStart w:id="571" w:name="_Toc382495821"/>
      <w:bookmarkStart w:id="572" w:name="_Toc382496708"/>
      <w:bookmarkStart w:id="573" w:name="_Toc383523990"/>
      <w:bookmarkStart w:id="574" w:name="_Toc383531526"/>
      <w:bookmarkEnd w:id="501"/>
      <w:bookmarkEnd w:id="502"/>
      <w:bookmarkEnd w:id="503"/>
      <w:bookmarkEnd w:id="504"/>
      <w:bookmarkEnd w:id="505"/>
      <w:bookmarkEnd w:id="506"/>
      <w:bookmarkEnd w:id="507"/>
      <w:r>
        <w:br w:type="page"/>
      </w:r>
    </w:p>
    <w:p w:rsidR="009A7C58" w:rsidRDefault="009A7C58" w:rsidP="009A7C58">
      <w:pPr>
        <w:pStyle w:val="Heading2"/>
      </w:pPr>
      <w:bookmarkStart w:id="575" w:name="_Toc383703313"/>
      <w:bookmarkStart w:id="576" w:name="_Toc383704197"/>
      <w:bookmarkStart w:id="577" w:name="_Toc383783865"/>
      <w:bookmarkStart w:id="578" w:name="_Toc383784669"/>
      <w:bookmarkStart w:id="579" w:name="_Toc384121525"/>
      <w:bookmarkStart w:id="580" w:name="_Toc384123751"/>
      <w:bookmarkStart w:id="581" w:name="_Toc384132437"/>
      <w:bookmarkStart w:id="582" w:name="_Toc384205195"/>
      <w:bookmarkStart w:id="583" w:name="_Toc384278531"/>
      <w:r>
        <w:lastRenderedPageBreak/>
        <w:t>Capital markets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Style w:val="TableGrid"/>
        <w:tblW w:w="0" w:type="auto"/>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763577" w:rsidRDefault="00081A2A" w:rsidP="00081A2A">
            <w:pPr>
              <w:pStyle w:val="Heading3"/>
            </w:pPr>
            <w:bookmarkStart w:id="584" w:name="_Toc383783866"/>
            <w:bookmarkStart w:id="585" w:name="_Toc383784670"/>
            <w:bookmarkStart w:id="586" w:name="_Toc384121526"/>
            <w:bookmarkStart w:id="587" w:name="_Toc384123752"/>
            <w:bookmarkStart w:id="588" w:name="_Toc384132438"/>
            <w:bookmarkStart w:id="589" w:name="_Toc384205196"/>
            <w:bookmarkStart w:id="590" w:name="_Toc384278532"/>
            <w:bookmarkStart w:id="591" w:name="_Toc383703314"/>
            <w:bookmarkStart w:id="592" w:name="_Toc383704198"/>
            <w:bookmarkStart w:id="593" w:name="_Toc382495822"/>
            <w:bookmarkStart w:id="594" w:name="_Toc382495823"/>
            <w:bookmarkStart w:id="595" w:name="_Toc382495824"/>
            <w:bookmarkEnd w:id="431"/>
            <w:r w:rsidRPr="00A22BEC">
              <w:t>Key Points</w:t>
            </w:r>
            <w:bookmarkEnd w:id="584"/>
            <w:bookmarkEnd w:id="585"/>
            <w:bookmarkEnd w:id="586"/>
            <w:bookmarkEnd w:id="587"/>
            <w:bookmarkEnd w:id="588"/>
            <w:bookmarkEnd w:id="589"/>
            <w:bookmarkEnd w:id="590"/>
            <w:r w:rsidRPr="00F15605">
              <w:rPr>
                <w:highlight w:val="yellow"/>
              </w:rPr>
              <w:t xml:space="preserve"> </w:t>
            </w:r>
          </w:p>
          <w:p w:rsidR="00BE0C27" w:rsidRDefault="00C95498" w:rsidP="00772BCE">
            <w:pPr>
              <w:pStyle w:val="OutlineNumbered1"/>
              <w:tabs>
                <w:tab w:val="clear" w:pos="567"/>
              </w:tabs>
            </w:pPr>
            <w:r>
              <w:t>The r</w:t>
            </w:r>
            <w:r w:rsidR="00BE0C27">
              <w:t xml:space="preserve">egulation of capital markets was extensively reformed following </w:t>
            </w:r>
            <w:r w:rsidR="00C53673">
              <w:t xml:space="preserve">the </w:t>
            </w:r>
            <w:r w:rsidR="00BE0C27">
              <w:t xml:space="preserve">Wallis </w:t>
            </w:r>
            <w:r w:rsidR="00C53673">
              <w:t>Inquiry</w:t>
            </w:r>
            <w:r w:rsidR="007A3316">
              <w:t>.</w:t>
            </w:r>
            <w:r w:rsidR="00C53673">
              <w:t xml:space="preserve"> </w:t>
            </w:r>
            <w:r w:rsidR="007A3316">
              <w:t xml:space="preserve"> T</w:t>
            </w:r>
            <w:r w:rsidR="00BE0C27">
              <w:t xml:space="preserve">his has </w:t>
            </w:r>
            <w:r w:rsidR="007A7EDE">
              <w:t xml:space="preserve">facilitated </w:t>
            </w:r>
            <w:r w:rsidR="00BE0C27">
              <w:t xml:space="preserve">the </w:t>
            </w:r>
            <w:r w:rsidR="007A7EDE">
              <w:t xml:space="preserve">subsequent </w:t>
            </w:r>
            <w:r w:rsidR="00BE0C27">
              <w:t xml:space="preserve">evolution of the markets and </w:t>
            </w:r>
            <w:r w:rsidR="007A7EDE">
              <w:t xml:space="preserve">contributed to </w:t>
            </w:r>
            <w:r w:rsidR="00BE0C27">
              <w:t>the strong performance of the</w:t>
            </w:r>
            <w:r w:rsidR="007A3316">
              <w:t>se</w:t>
            </w:r>
            <w:r w:rsidR="00BE0C27">
              <w:t xml:space="preserve"> markets through the financial crisis.</w:t>
            </w:r>
          </w:p>
          <w:p w:rsidR="00CC40AD" w:rsidRDefault="00081A2A" w:rsidP="00BE0C27">
            <w:pPr>
              <w:pStyle w:val="Bullet"/>
            </w:pPr>
            <w:r w:rsidRPr="00794C35">
              <w:t>Australia’s</w:t>
            </w:r>
            <w:r>
              <w:t xml:space="preserve"> capital markets </w:t>
            </w:r>
            <w:r w:rsidR="005A2E65">
              <w:t xml:space="preserve">have evolved significantly since </w:t>
            </w:r>
            <w:r w:rsidR="00C53673">
              <w:t xml:space="preserve">the </w:t>
            </w:r>
            <w:r w:rsidR="005A2E65">
              <w:t>Wallis</w:t>
            </w:r>
            <w:r w:rsidR="00C53673">
              <w:t xml:space="preserve"> Inquiry</w:t>
            </w:r>
            <w:r w:rsidR="005A2E65">
              <w:t>.  Domestic exchanges and clearing facilities consolidated in the Australian Securities Exchange in 2006, but since then competition has emerged</w:t>
            </w:r>
            <w:r w:rsidR="002F0445">
              <w:t xml:space="preserve"> in the trading of securities and the clearing of derivatives and through m</w:t>
            </w:r>
            <w:r w:rsidR="005A2E65">
              <w:t>arket innovations, such as the growth of dark pools</w:t>
            </w:r>
            <w:r w:rsidR="002F0445">
              <w:t>.</w:t>
            </w:r>
          </w:p>
          <w:p w:rsidR="002F0445" w:rsidRDefault="002F0445" w:rsidP="00BE0C27">
            <w:pPr>
              <w:pStyle w:val="Bullet"/>
            </w:pPr>
            <w:r>
              <w:t xml:space="preserve">The capital markets played a key role through the financial crisis by facilitating the recapitalisation of companies through the issuance of equity at a time when the global credit markets were </w:t>
            </w:r>
            <w:r w:rsidR="00C95498">
              <w:t>severe</w:t>
            </w:r>
            <w:r>
              <w:t>ly dislocated.</w:t>
            </w:r>
          </w:p>
          <w:p w:rsidR="00BE0C27" w:rsidRDefault="00BE0C27" w:rsidP="00772BCE">
            <w:pPr>
              <w:pStyle w:val="OutlineNumbered1"/>
              <w:tabs>
                <w:tab w:val="clear" w:pos="567"/>
              </w:tabs>
            </w:pPr>
            <w:r>
              <w:t>The drivers of change in capital markets</w:t>
            </w:r>
            <w:r w:rsidR="0027181A">
              <w:t xml:space="preserve"> — </w:t>
            </w:r>
            <w:r>
              <w:t>particularly technology and globalisation</w:t>
            </w:r>
            <w:r w:rsidR="0027181A">
              <w:t xml:space="preserve"> — </w:t>
            </w:r>
            <w:r>
              <w:t xml:space="preserve">can be expected to </w:t>
            </w:r>
            <w:r w:rsidR="00D9168B">
              <w:t>continue into the future.  This underscores</w:t>
            </w:r>
            <w:r>
              <w:t xml:space="preserve"> the need for the regulation of the markets to be sufficiently flexible to adapt to further change.  Largely this is the case, though the legislative regime for licensing market operators is </w:t>
            </w:r>
            <w:r w:rsidR="00C95498">
              <w:t>a key exception</w:t>
            </w:r>
            <w:r>
              <w:t xml:space="preserve">.  In considering this issue, the Financial System Inquiry should </w:t>
            </w:r>
            <w:r w:rsidR="007B5089">
              <w:t>take account of Treasury’s current review of the regime.</w:t>
            </w:r>
          </w:p>
          <w:p w:rsidR="007B5089" w:rsidRDefault="007B5089" w:rsidP="00772BCE">
            <w:pPr>
              <w:pStyle w:val="OutlineNumbered1"/>
            </w:pPr>
            <w:r>
              <w:t>Recent developments</w:t>
            </w:r>
            <w:r w:rsidR="0027181A">
              <w:t xml:space="preserve"> — </w:t>
            </w:r>
            <w:r>
              <w:t>the rejection of the ASX-SGX merger, the issue of competition in the clearing of cash equities and the entry of foreign clearing facilities</w:t>
            </w:r>
            <w:r w:rsidR="0027181A">
              <w:t xml:space="preserve"> — </w:t>
            </w:r>
            <w:r>
              <w:t>have also highlighted the tensions between stability and efficiency in the regulation of clearing facilities.</w:t>
            </w:r>
          </w:p>
          <w:p w:rsidR="007A7EDE" w:rsidRDefault="00C95498" w:rsidP="00772BCE">
            <w:pPr>
              <w:pStyle w:val="OutlineNumbered1"/>
            </w:pPr>
            <w:r>
              <w:t xml:space="preserve">Clearing facilities are systemically important given their role in managing counterparty risk and are subject to regulation that promotes their stability </w:t>
            </w:r>
            <w:r w:rsidR="007A3316">
              <w:t>including</w:t>
            </w:r>
            <w:r>
              <w:t xml:space="preserve"> through the imposition of </w:t>
            </w:r>
            <w:r w:rsidR="007A7EDE">
              <w:t>safeguards to ensure the regulators have sufficient regulatory influence over cross border clearing facilities.</w:t>
            </w:r>
          </w:p>
          <w:p w:rsidR="00081A2A" w:rsidRDefault="007A7EDE" w:rsidP="00772BCE">
            <w:pPr>
              <w:pStyle w:val="OutlineNumbered1"/>
            </w:pPr>
            <w:r>
              <w:t>The cost of such requirements, though, ma</w:t>
            </w:r>
            <w:r w:rsidR="00C95498">
              <w:t xml:space="preserve">y deter </w:t>
            </w:r>
            <w:r>
              <w:t>market</w:t>
            </w:r>
            <w:r w:rsidR="00C95498">
              <w:t xml:space="preserve"> entry.  In forming a view on this issue, the Financial System Inquiry should take account of the work of the Council of Financial Regulators.</w:t>
            </w:r>
          </w:p>
        </w:tc>
      </w:tr>
    </w:tbl>
    <w:p w:rsidR="00DC60F6" w:rsidRDefault="00DC60F6" w:rsidP="00DC60F6">
      <w:bookmarkStart w:id="596" w:name="_Toc383703315"/>
      <w:bookmarkStart w:id="597" w:name="_Toc383704199"/>
      <w:bookmarkStart w:id="598" w:name="_Toc383783867"/>
      <w:bookmarkStart w:id="599" w:name="_Toc383784671"/>
      <w:bookmarkEnd w:id="323"/>
      <w:bookmarkEnd w:id="591"/>
      <w:bookmarkEnd w:id="592"/>
    </w:p>
    <w:p w:rsidR="00DC60F6" w:rsidRDefault="00DC60F6" w:rsidP="00DC60F6">
      <w:pPr>
        <w:rPr>
          <w:color w:val="000080"/>
          <w:sz w:val="36"/>
          <w:szCs w:val="36"/>
        </w:rPr>
      </w:pPr>
      <w:r>
        <w:br w:type="page"/>
      </w:r>
    </w:p>
    <w:p w:rsidR="00E57612" w:rsidRDefault="00E57612" w:rsidP="00E57612">
      <w:pPr>
        <w:pStyle w:val="Heading3"/>
      </w:pPr>
      <w:bookmarkStart w:id="600" w:name="_Toc384121527"/>
      <w:bookmarkStart w:id="601" w:name="_Toc384123753"/>
      <w:bookmarkStart w:id="602" w:name="_Toc384132439"/>
      <w:bookmarkStart w:id="603" w:name="_Toc384205197"/>
      <w:bookmarkStart w:id="604" w:name="_Toc384278533"/>
      <w:r>
        <w:lastRenderedPageBreak/>
        <w:t>Australian capital markets have evolved since Wallis</w:t>
      </w:r>
      <w:bookmarkEnd w:id="596"/>
      <w:bookmarkEnd w:id="597"/>
      <w:bookmarkEnd w:id="598"/>
      <w:bookmarkEnd w:id="599"/>
      <w:bookmarkEnd w:id="600"/>
      <w:bookmarkEnd w:id="601"/>
      <w:bookmarkEnd w:id="602"/>
      <w:bookmarkEnd w:id="603"/>
      <w:bookmarkEnd w:id="604"/>
    </w:p>
    <w:p w:rsidR="00E57612" w:rsidRDefault="00E57612" w:rsidP="00772BCE">
      <w:pPr>
        <w:pStyle w:val="OutlineNumbered1"/>
      </w:pPr>
      <w:r>
        <w:t xml:space="preserve">Australia’s capital markets have undergone significant structural change over the last decade.  </w:t>
      </w:r>
      <w:r w:rsidR="006C5707">
        <w:t xml:space="preserve">Exchange and clearing facilities were consolidated with the </w:t>
      </w:r>
      <w:r>
        <w:t>merger of the Australian Stock Exchange and the Sydney Futures Exchange in 2006</w:t>
      </w:r>
      <w:r w:rsidR="006C5707">
        <w:t xml:space="preserve"> into a vertically integrated operation that </w:t>
      </w:r>
      <w:r>
        <w:t>offer</w:t>
      </w:r>
      <w:r w:rsidR="006C5707">
        <w:t>s</w:t>
      </w:r>
      <w:r>
        <w:t xml:space="preserve"> listing, trading, clearing and settlement services across a diverse range of securities.  </w:t>
      </w:r>
    </w:p>
    <w:p w:rsidR="00E57612" w:rsidRDefault="0052061E" w:rsidP="00772BCE">
      <w:pPr>
        <w:pStyle w:val="OutlineNumbered1"/>
      </w:pPr>
      <w:r>
        <w:t>However</w:t>
      </w:r>
      <w:r w:rsidR="006C5707">
        <w:t xml:space="preserve"> since then</w:t>
      </w:r>
      <w:r w:rsidR="00E57612">
        <w:t xml:space="preserve"> competition </w:t>
      </w:r>
      <w:r w:rsidR="007A7EDE">
        <w:t xml:space="preserve">has </w:t>
      </w:r>
      <w:r w:rsidR="006C5707">
        <w:t>emerg</w:t>
      </w:r>
      <w:r w:rsidR="007A7EDE">
        <w:t>ed</w:t>
      </w:r>
      <w:r w:rsidR="006C5707">
        <w:t xml:space="preserve"> thr</w:t>
      </w:r>
      <w:r w:rsidR="00E57612">
        <w:t>ough domestic and foreign market entrants.  Competition was introduced into domestic securities trading in 2011 with the entry of Chi-X Australia, and in the clearing of OTC derivatives in 2013 with the entry of UK</w:t>
      </w:r>
      <w:r w:rsidR="00151D61">
        <w:t>-</w:t>
      </w:r>
      <w:r w:rsidR="00E57612">
        <w:t xml:space="preserve">based clearing provider LCH Clearnet.  Market innovation through the expansion of dark pools is also providing competition in </w:t>
      </w:r>
      <w:r w:rsidR="007A3316">
        <w:t>securities trading</w:t>
      </w:r>
      <w:r w:rsidR="00E57612">
        <w:t xml:space="preserve">. </w:t>
      </w:r>
    </w:p>
    <w:p w:rsidR="00E57612" w:rsidRDefault="00E57612" w:rsidP="00772BCE">
      <w:pPr>
        <w:pStyle w:val="OutlineNumbered1"/>
      </w:pPr>
      <w:r>
        <w:t>Australia</w:t>
      </w:r>
      <w:r w:rsidR="007A3316">
        <w:t>’s</w:t>
      </w:r>
      <w:r>
        <w:t xml:space="preserve"> capital markets </w:t>
      </w:r>
      <w:r w:rsidR="006C5707">
        <w:t xml:space="preserve">are characterised by </w:t>
      </w:r>
      <w:r>
        <w:t>deep and liquid OTC markets</w:t>
      </w:r>
      <w:r w:rsidR="006C5707">
        <w:t xml:space="preserve"> that</w:t>
      </w:r>
      <w:r w:rsidRPr="009A7C58">
        <w:t xml:space="preserve"> enable </w:t>
      </w:r>
      <w:r>
        <w:t xml:space="preserve">parties to </w:t>
      </w:r>
      <w:r w:rsidRPr="009A7C58">
        <w:t>bilateral</w:t>
      </w:r>
      <w:r>
        <w:t>ly</w:t>
      </w:r>
      <w:r w:rsidRPr="009A7C58">
        <w:t xml:space="preserve"> transact</w:t>
      </w:r>
      <w:r>
        <w:t xml:space="preserve"> in products</w:t>
      </w:r>
      <w:r w:rsidRPr="009A7C58">
        <w:t xml:space="preserve"> including foreign exchange, debt securit</w:t>
      </w:r>
      <w:r>
        <w:t>ies and derivatives.  OTC turnover accounted</w:t>
      </w:r>
      <w:r w:rsidRPr="00B21D07">
        <w:t xml:space="preserve"> for approximately 62 per cent of all Australian financial market t</w:t>
      </w:r>
      <w:r>
        <w:t>urnover in 2012-13</w:t>
      </w:r>
      <w:r w:rsidR="00872478">
        <w:t>.</w:t>
      </w:r>
      <w:r w:rsidRPr="00E57612">
        <w:rPr>
          <w:rStyle w:val="FootnoteReference"/>
        </w:rPr>
        <w:footnoteReference w:id="81"/>
      </w:r>
      <w:r>
        <w:t xml:space="preserve">  </w:t>
      </w:r>
      <w:r w:rsidR="006C5707">
        <w:t xml:space="preserve">The OTC markets are highly dynamic and </w:t>
      </w:r>
      <w:r>
        <w:t xml:space="preserve">play a core role in </w:t>
      </w:r>
      <w:r w:rsidR="006C5707">
        <w:t>the Australian financial system by</w:t>
      </w:r>
      <w:r>
        <w:t xml:space="preserve"> providing greater scope for market participants to negotiate tailored exposures </w:t>
      </w:r>
      <w:r w:rsidR="006C5707">
        <w:t>to meet specific business needs.</w:t>
      </w:r>
    </w:p>
    <w:p w:rsidR="00C54A85" w:rsidRDefault="006C5707" w:rsidP="00772BCE">
      <w:pPr>
        <w:pStyle w:val="OutlineNumbered1"/>
      </w:pPr>
      <w:r>
        <w:t xml:space="preserve">Conversely, </w:t>
      </w:r>
      <w:r w:rsidR="006B5C3D">
        <w:t xml:space="preserve">the relatively small size of </w:t>
      </w:r>
      <w:r w:rsidR="00E57612">
        <w:t>Australia’s corporate bond market</w:t>
      </w:r>
      <w:r w:rsidR="0027181A">
        <w:t xml:space="preserve"> </w:t>
      </w:r>
      <w:r w:rsidR="006B5C3D">
        <w:t>is</w:t>
      </w:r>
      <w:r w:rsidR="0027181A">
        <w:t xml:space="preserve"> </w:t>
      </w:r>
      <w:r w:rsidR="00C54A85">
        <w:t>an issue to be considered by the Financial System Inquiry.  Australian non-financial corporations issued around $</w:t>
      </w:r>
      <w:r w:rsidR="007A3316">
        <w:t>10</w:t>
      </w:r>
      <w:r w:rsidR="00C54A85">
        <w:t xml:space="preserve"> billion into the Australian market in 2013, compared to </w:t>
      </w:r>
      <w:r w:rsidR="007A3316">
        <w:t xml:space="preserve">around </w:t>
      </w:r>
      <w:r w:rsidR="00C54A85">
        <w:t>$</w:t>
      </w:r>
      <w:r w:rsidR="007A3316">
        <w:t>20</w:t>
      </w:r>
      <w:r w:rsidR="001B6BE8">
        <w:t> </w:t>
      </w:r>
      <w:r w:rsidR="00CD7AD4">
        <w:t>billion</w:t>
      </w:r>
      <w:r w:rsidR="00C54A85">
        <w:t xml:space="preserve"> into offshore markets in the same year.</w:t>
      </w:r>
      <w:r w:rsidR="00E57612" w:rsidRPr="00E57612">
        <w:rPr>
          <w:rStyle w:val="FootnoteReference"/>
        </w:rPr>
        <w:footnoteReference w:id="82"/>
      </w:r>
      <w:r w:rsidR="00E57612">
        <w:t xml:space="preserve"> </w:t>
      </w:r>
    </w:p>
    <w:p w:rsidR="00E57612" w:rsidRPr="002577E7" w:rsidRDefault="00652B93" w:rsidP="00772BCE">
      <w:pPr>
        <w:pStyle w:val="OutlineNumbered1"/>
      </w:pPr>
      <w:r>
        <w:t xml:space="preserve">Recent policy changes have been designed to </w:t>
      </w:r>
      <w:r w:rsidR="00E57612" w:rsidRPr="002577E7">
        <w:t>improve the attractiveness of Australia’s corporate bond market to retail investors, including the listing of Commonwealth Government Securities on the ASX</w:t>
      </w:r>
      <w:r w:rsidR="00FF69E2">
        <w:t>.</w:t>
      </w:r>
      <w:r w:rsidR="00E57612" w:rsidRPr="002577E7">
        <w:t xml:space="preserve"> </w:t>
      </w:r>
      <w:r w:rsidR="00FF69E2">
        <w:t xml:space="preserve"> R</w:t>
      </w:r>
      <w:r w:rsidR="00E57612" w:rsidRPr="002577E7">
        <w:t>efor</w:t>
      </w:r>
      <w:r>
        <w:t>ms currently being progressed will</w:t>
      </w:r>
      <w:r w:rsidR="00E57612" w:rsidRPr="002577E7">
        <w:t xml:space="preserve"> reduce the disclosure burden on bond issuers and liability risk on company directors when issuing simple corporate bonds.</w:t>
      </w:r>
      <w:r>
        <w:t xml:space="preserve">  These reforms appropriately target regulatory impediments to the development of the market.</w:t>
      </w:r>
    </w:p>
    <w:p w:rsidR="00E57612" w:rsidRDefault="00652B93" w:rsidP="00772BCE">
      <w:pPr>
        <w:pStyle w:val="OutlineNumbered1"/>
      </w:pPr>
      <w:r>
        <w:t>However, the small s</w:t>
      </w:r>
      <w:r w:rsidR="006B5C3D">
        <w:t>ize</w:t>
      </w:r>
      <w:r>
        <w:t xml:space="preserve"> of the corporate bond market does not appear to be a function of market or regulatory failure, but instead appears to be a market outcome that reflects</w:t>
      </w:r>
      <w:r w:rsidR="00E57612" w:rsidRPr="002577E7">
        <w:t xml:space="preserve"> the </w:t>
      </w:r>
      <w:r>
        <w:t xml:space="preserve">higher liquidity and </w:t>
      </w:r>
      <w:r w:rsidR="00E57612" w:rsidRPr="002577E7">
        <w:t xml:space="preserve">lower cost of issuance </w:t>
      </w:r>
      <w:r>
        <w:t>in offshore markets</w:t>
      </w:r>
      <w:r w:rsidR="00872478">
        <w:t>.</w:t>
      </w:r>
      <w:r w:rsidR="00E57612" w:rsidRPr="00E57612">
        <w:rPr>
          <w:rStyle w:val="FootnoteReference"/>
        </w:rPr>
        <w:footnoteReference w:id="83"/>
      </w:r>
      <w:r w:rsidR="00E57612">
        <w:t xml:space="preserve">  </w:t>
      </w:r>
      <w:r>
        <w:t>In the absence of evidence of some form of market or regulatory failure, there is no role for government intervention to promote a larger corporate bond market.</w:t>
      </w:r>
    </w:p>
    <w:p w:rsidR="00E57612" w:rsidRDefault="00FF69E2" w:rsidP="00772BCE">
      <w:pPr>
        <w:pStyle w:val="OutlineNumbered1"/>
      </w:pPr>
      <w:r>
        <w:lastRenderedPageBreak/>
        <w:t>T</w:t>
      </w:r>
      <w:r w:rsidR="00652B93">
        <w:t>he effectiveness of the capital markets</w:t>
      </w:r>
      <w:r w:rsidR="0027181A">
        <w:t xml:space="preserve"> — </w:t>
      </w:r>
      <w:r w:rsidR="00652B93">
        <w:t>particularly the large and liquid equity markets</w:t>
      </w:r>
      <w:r w:rsidR="0027181A">
        <w:t xml:space="preserve"> — </w:t>
      </w:r>
      <w:r w:rsidR="00652B93">
        <w:t>was illustrated through the financial crisis</w:t>
      </w:r>
      <w:r>
        <w:t>,</w:t>
      </w:r>
      <w:r w:rsidR="00652B93">
        <w:t xml:space="preserve"> at a time when </w:t>
      </w:r>
      <w:r w:rsidR="007862D4">
        <w:t>global credit markets were severely dislocated.</w:t>
      </w:r>
      <w:r w:rsidR="00E57612">
        <w:t xml:space="preserve">  </w:t>
      </w:r>
      <w:r w:rsidR="006B5C3D">
        <w:t>At that time</w:t>
      </w:r>
      <w:r w:rsidR="00E57612">
        <w:t>, Australia’s capital markets provided support for, and an alternative to, intermediated markets, enabling Australian corporations to recapitalise through equity issuance.  The liquidity of capital markets at this time was</w:t>
      </w:r>
      <w:r w:rsidR="00151D61">
        <w:t>,</w:t>
      </w:r>
      <w:r w:rsidR="00E57612">
        <w:t xml:space="preserve"> in part</w:t>
      </w:r>
      <w:r w:rsidR="00151D61">
        <w:t>,</w:t>
      </w:r>
      <w:r w:rsidR="00E57612">
        <w:t xml:space="preserve"> due to an increase in equity market share by foreign investors</w:t>
      </w:r>
      <w:r w:rsidR="00E57612" w:rsidRPr="00E57612">
        <w:rPr>
          <w:rStyle w:val="FootnoteReference"/>
        </w:rPr>
        <w:footnoteReference w:id="84"/>
      </w:r>
      <w:r w:rsidR="00E57612">
        <w:t xml:space="preserve"> and</w:t>
      </w:r>
      <w:r w:rsidR="00151D61">
        <w:t>,</w:t>
      </w:r>
      <w:r w:rsidR="00E57612">
        <w:t xml:space="preserve"> in part</w:t>
      </w:r>
      <w:r w:rsidR="00151D61">
        <w:t>,</w:t>
      </w:r>
      <w:r w:rsidR="00E57612">
        <w:t xml:space="preserve"> due to the development of new tools such as accelerated rights issues</w:t>
      </w:r>
      <w:r w:rsidR="00C7465E">
        <w:t xml:space="preserve"> (see </w:t>
      </w:r>
      <w:r w:rsidR="00C7465E">
        <w:fldChar w:fldCharType="begin"/>
      </w:r>
      <w:r w:rsidR="00C7465E">
        <w:instrText xml:space="preserve"> REF _Ref383720068 \h </w:instrText>
      </w:r>
      <w:r w:rsidR="00C7465E">
        <w:fldChar w:fldCharType="separate"/>
      </w:r>
      <w:r w:rsidR="0050148E">
        <w:t xml:space="preserve">Chart </w:t>
      </w:r>
      <w:r w:rsidR="0050148E">
        <w:rPr>
          <w:noProof/>
        </w:rPr>
        <w:t>8</w:t>
      </w:r>
      <w:r w:rsidR="00C7465E">
        <w:fldChar w:fldCharType="end"/>
      </w:r>
      <w:r w:rsidR="00872478">
        <w:t>).</w:t>
      </w:r>
      <w:r w:rsidR="00E57612" w:rsidRPr="00E57612">
        <w:rPr>
          <w:rStyle w:val="FootnoteReference"/>
        </w:rPr>
        <w:footnoteReference w:id="85"/>
      </w:r>
    </w:p>
    <w:p w:rsidR="00E57612" w:rsidRPr="00C7465E" w:rsidRDefault="00C7465E" w:rsidP="00C7465E">
      <w:pPr>
        <w:pStyle w:val="Caption"/>
        <w:keepNext/>
        <w:jc w:val="center"/>
      </w:pPr>
      <w:bookmarkStart w:id="605" w:name="_Ref383720068"/>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8</w:t>
      </w:r>
      <w:r w:rsidR="000A480B">
        <w:rPr>
          <w:noProof/>
        </w:rPr>
        <w:fldChar w:fldCharType="end"/>
      </w:r>
      <w:bookmarkEnd w:id="605"/>
      <w:r>
        <w:t xml:space="preserve">: </w:t>
      </w:r>
      <w:r w:rsidR="00E57612" w:rsidRPr="00C7465E">
        <w:t>ASX Equity Capital Raisings</w:t>
      </w:r>
    </w:p>
    <w:p w:rsidR="00E57612" w:rsidRDefault="00E57612" w:rsidP="00E57612">
      <w:pPr>
        <w:pStyle w:val="OutlineNumbered1"/>
        <w:numPr>
          <w:ilvl w:val="0"/>
          <w:numId w:val="0"/>
        </w:numPr>
        <w:jc w:val="center"/>
      </w:pPr>
      <w:r>
        <w:rPr>
          <w:noProof/>
          <w:lang w:val="en-US" w:eastAsia="en-US"/>
        </w:rPr>
        <w:drawing>
          <wp:inline distT="0" distB="0" distL="0" distR="0" wp14:anchorId="72F3C4CF" wp14:editId="0CD23881">
            <wp:extent cx="5580000" cy="28800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7612" w:rsidRPr="009327D9" w:rsidRDefault="00E57612" w:rsidP="00E57612">
      <w:pPr>
        <w:pStyle w:val="OutlineNumbered1"/>
        <w:numPr>
          <w:ilvl w:val="0"/>
          <w:numId w:val="0"/>
        </w:numPr>
        <w:ind w:left="520" w:hanging="520"/>
        <w:rPr>
          <w:sz w:val="20"/>
        </w:rPr>
      </w:pPr>
      <w:r w:rsidRPr="009327D9">
        <w:rPr>
          <w:sz w:val="20"/>
        </w:rPr>
        <w:t>Source: ASX.</w:t>
      </w:r>
    </w:p>
    <w:p w:rsidR="00E57612" w:rsidRPr="00812F22" w:rsidRDefault="00E57612" w:rsidP="00E57612">
      <w:pPr>
        <w:pStyle w:val="Heading3"/>
      </w:pPr>
      <w:bookmarkStart w:id="606" w:name="_Toc383703316"/>
      <w:bookmarkStart w:id="607" w:name="_Toc383704200"/>
      <w:bookmarkStart w:id="608" w:name="_Toc383783868"/>
      <w:bookmarkStart w:id="609" w:name="_Toc383784672"/>
      <w:bookmarkStart w:id="610" w:name="_Toc384121528"/>
      <w:bookmarkStart w:id="611" w:name="_Toc384123754"/>
      <w:bookmarkStart w:id="612" w:name="_Toc384132440"/>
      <w:bookmarkStart w:id="613" w:name="_Toc384205198"/>
      <w:bookmarkStart w:id="614" w:name="_Toc384278534"/>
      <w:r>
        <w:t>Regulation of capital markets has been flexible in responding to market evolution</w:t>
      </w:r>
      <w:bookmarkEnd w:id="606"/>
      <w:bookmarkEnd w:id="607"/>
      <w:bookmarkEnd w:id="608"/>
      <w:bookmarkEnd w:id="609"/>
      <w:bookmarkEnd w:id="610"/>
      <w:bookmarkEnd w:id="611"/>
      <w:bookmarkEnd w:id="612"/>
      <w:bookmarkEnd w:id="613"/>
      <w:bookmarkEnd w:id="614"/>
    </w:p>
    <w:p w:rsidR="00564095" w:rsidRDefault="00564095" w:rsidP="00772BCE">
      <w:pPr>
        <w:pStyle w:val="OutlineNumbered1"/>
        <w:tabs>
          <w:tab w:val="clear" w:pos="567"/>
        </w:tabs>
      </w:pPr>
      <w:r>
        <w:t xml:space="preserve">The strong performance of the </w:t>
      </w:r>
      <w:r w:rsidR="00837A11">
        <w:t>equity</w:t>
      </w:r>
      <w:r>
        <w:t xml:space="preserve"> markets through the crisis was, in part, the function of a regulatory regime designed to facilitate the evolution of the markets to meet the needs of users.</w:t>
      </w:r>
    </w:p>
    <w:p w:rsidR="00E061CC" w:rsidRDefault="00E57612" w:rsidP="00E57612">
      <w:pPr>
        <w:pStyle w:val="OutlineNumbered1"/>
        <w:tabs>
          <w:tab w:val="clear" w:pos="567"/>
          <w:tab w:val="num" w:pos="520"/>
        </w:tabs>
      </w:pPr>
      <w:r>
        <w:t xml:space="preserve"> </w:t>
      </w:r>
      <w:r w:rsidR="00564095">
        <w:t xml:space="preserve">The regulation of capital markets was extensively modernised through </w:t>
      </w:r>
      <w:r>
        <w:t xml:space="preserve">the Corporate Law Economic Reform Program.  </w:t>
      </w:r>
      <w:r w:rsidR="00564095">
        <w:t>In particular the</w:t>
      </w:r>
      <w:r>
        <w:t xml:space="preserve"> </w:t>
      </w:r>
      <w:r w:rsidRPr="00E061CC">
        <w:rPr>
          <w:i/>
        </w:rPr>
        <w:t xml:space="preserve">Financial Services Reform Act 2001 </w:t>
      </w:r>
      <w:r>
        <w:t xml:space="preserve">and subsequent amendments to the </w:t>
      </w:r>
      <w:r w:rsidRPr="00E061CC">
        <w:rPr>
          <w:i/>
        </w:rPr>
        <w:t>Corporations Act 2001</w:t>
      </w:r>
      <w:r w:rsidR="00E061CC">
        <w:t xml:space="preserve"> introduced a regulatory </w:t>
      </w:r>
      <w:r w:rsidR="00E061CC">
        <w:lastRenderedPageBreak/>
        <w:t>regime bas</w:t>
      </w:r>
      <w:r>
        <w:t xml:space="preserve">ed on functions, rather than products, </w:t>
      </w:r>
      <w:r w:rsidR="00E061CC">
        <w:t xml:space="preserve">with the intensity of the regulation </w:t>
      </w:r>
      <w:r>
        <w:t xml:space="preserve">scaled </w:t>
      </w:r>
      <w:r w:rsidR="00E061CC">
        <w:t>to match t</w:t>
      </w:r>
      <w:r>
        <w:t xml:space="preserve">he varying intensity of </w:t>
      </w:r>
      <w:r w:rsidR="006B5C3D">
        <w:t xml:space="preserve">possible </w:t>
      </w:r>
      <w:r>
        <w:t>market failur</w:t>
      </w:r>
      <w:r w:rsidR="00E061CC">
        <w:t>es.</w:t>
      </w:r>
    </w:p>
    <w:p w:rsidR="00E57612" w:rsidRDefault="00823A8A" w:rsidP="00772BCE">
      <w:pPr>
        <w:pStyle w:val="OutlineNumbered1"/>
        <w:tabs>
          <w:tab w:val="clear" w:pos="567"/>
        </w:tabs>
      </w:pPr>
      <w:r>
        <w:t>Relatively l</w:t>
      </w:r>
      <w:r w:rsidR="00E57612">
        <w:t>ighter</w:t>
      </w:r>
      <w:r w:rsidR="00E57612">
        <w:noBreakHyphen/>
        <w:t>touch regulation exists for market participants</w:t>
      </w:r>
      <w:r>
        <w:t>, such as</w:t>
      </w:r>
      <w:r w:rsidR="00E57612">
        <w:t xml:space="preserve"> through disclosure requirements and market conduct rules in order to address </w:t>
      </w:r>
      <w:r w:rsidR="00E061CC">
        <w:t xml:space="preserve">agency costs. </w:t>
      </w:r>
      <w:r w:rsidR="007E2AB6">
        <w:t xml:space="preserve"> </w:t>
      </w:r>
      <w:r w:rsidR="00E061CC">
        <w:t xml:space="preserve">More intensive </w:t>
      </w:r>
      <w:r w:rsidR="00E57612">
        <w:t>regulation applies to market operators and</w:t>
      </w:r>
      <w:r w:rsidR="00E061CC">
        <w:t>, most of all, to</w:t>
      </w:r>
      <w:r w:rsidR="00E57612">
        <w:t xml:space="preserve"> clearing and settlement facilities, reflecting the greater systemic impact should failure of one of these </w:t>
      </w:r>
      <w:r>
        <w:t>facilities</w:t>
      </w:r>
      <w:r w:rsidR="00E57612">
        <w:t xml:space="preserve"> occur</w:t>
      </w:r>
      <w:r w:rsidR="00094A36">
        <w:t>.</w:t>
      </w:r>
    </w:p>
    <w:p w:rsidR="00E061CC" w:rsidRDefault="00E57612" w:rsidP="00772BCE">
      <w:pPr>
        <w:pStyle w:val="OutlineNumbered1"/>
        <w:tabs>
          <w:tab w:val="clear" w:pos="567"/>
        </w:tabs>
      </w:pPr>
      <w:r>
        <w:t>However, continued innovation in the operation of capital markets is likely to require an increasingly flexible regulatory framework</w:t>
      </w:r>
      <w:r w:rsidR="0027181A">
        <w:t xml:space="preserve"> — </w:t>
      </w:r>
      <w:r>
        <w:t>particularly in</w:t>
      </w:r>
      <w:r w:rsidR="00E061CC">
        <w:t xml:space="preserve"> the area of market licensing.</w:t>
      </w:r>
    </w:p>
    <w:p w:rsidR="00E57612" w:rsidRDefault="00E57612" w:rsidP="00772BCE">
      <w:pPr>
        <w:pStyle w:val="OutlineNumbered1"/>
        <w:tabs>
          <w:tab w:val="clear" w:pos="567"/>
        </w:tabs>
      </w:pPr>
      <w:r>
        <w:t>The current legislative framework is producing a piecemeal approach to regulation as new market forms have arisen</w:t>
      </w:r>
      <w:r w:rsidR="00151D61">
        <w:t>,</w:t>
      </w:r>
      <w:r>
        <w:t xml:space="preserve"> and</w:t>
      </w:r>
      <w:r w:rsidRPr="00B75199">
        <w:t xml:space="preserve"> </w:t>
      </w:r>
      <w:r w:rsidRPr="000A149D">
        <w:t xml:space="preserve">is too inflexible to appropriately </w:t>
      </w:r>
      <w:r>
        <w:t>regulate all financial markets.  For instance, professional markets are regulated through licence exemptions with conditions, while dark pools are regulated primarily through market integrity rules.  T</w:t>
      </w:r>
      <w:r w:rsidRPr="00D94F29">
        <w:t xml:space="preserve">he Inquiry should </w:t>
      </w:r>
      <w:r>
        <w:t>take into account</w:t>
      </w:r>
      <w:r w:rsidRPr="00D94F29">
        <w:t xml:space="preserve"> the </w:t>
      </w:r>
      <w:r>
        <w:t xml:space="preserve">current </w:t>
      </w:r>
      <w:r w:rsidRPr="00D94F29">
        <w:t>review into the Australian market licencing regime</w:t>
      </w:r>
      <w:r w:rsidRPr="00AD452F">
        <w:t xml:space="preserve"> </w:t>
      </w:r>
      <w:r>
        <w:t xml:space="preserve">when considering the capacity of </w:t>
      </w:r>
      <w:r w:rsidR="00FE0C72">
        <w:t>the</w:t>
      </w:r>
      <w:r>
        <w:t xml:space="preserve"> </w:t>
      </w:r>
      <w:r w:rsidRPr="00D94F29">
        <w:t>current regime to adapt to ongoing market evolution</w:t>
      </w:r>
      <w:r w:rsidR="00872478">
        <w:t>.</w:t>
      </w:r>
      <w:r w:rsidRPr="00E57612">
        <w:rPr>
          <w:rStyle w:val="FootnoteReference"/>
        </w:rPr>
        <w:footnoteReference w:id="86"/>
      </w:r>
      <w:r>
        <w:t xml:space="preserve">  </w:t>
      </w:r>
    </w:p>
    <w:p w:rsidR="00E57612" w:rsidRPr="00DE5E6D" w:rsidRDefault="00E57612" w:rsidP="00E57612">
      <w:pPr>
        <w:pStyle w:val="Heading3"/>
      </w:pPr>
      <w:bookmarkStart w:id="615" w:name="_Toc383703317"/>
      <w:bookmarkStart w:id="616" w:name="_Toc383704201"/>
      <w:bookmarkStart w:id="617" w:name="_Toc383783869"/>
      <w:bookmarkStart w:id="618" w:name="_Toc383784673"/>
      <w:bookmarkStart w:id="619" w:name="_Toc384121529"/>
      <w:bookmarkStart w:id="620" w:name="_Toc384123755"/>
      <w:bookmarkStart w:id="621" w:name="_Toc384132441"/>
      <w:bookmarkStart w:id="622" w:name="_Toc384205199"/>
      <w:bookmarkStart w:id="623" w:name="_Toc384278535"/>
      <w:r>
        <w:t>Cross border provision of clearing services highlights the tension between stability and efficiency</w:t>
      </w:r>
      <w:bookmarkEnd w:id="615"/>
      <w:bookmarkEnd w:id="616"/>
      <w:bookmarkEnd w:id="617"/>
      <w:bookmarkEnd w:id="618"/>
      <w:bookmarkEnd w:id="619"/>
      <w:bookmarkEnd w:id="620"/>
      <w:bookmarkEnd w:id="621"/>
      <w:bookmarkEnd w:id="622"/>
      <w:bookmarkEnd w:id="623"/>
    </w:p>
    <w:p w:rsidR="00F04DC6" w:rsidRDefault="00FE0C72" w:rsidP="00772BCE">
      <w:pPr>
        <w:pStyle w:val="OutlineNumbered1"/>
        <w:tabs>
          <w:tab w:val="clear" w:pos="567"/>
        </w:tabs>
      </w:pPr>
      <w:r>
        <w:t>Clearing facilities are systemically important given their role in managing counterparty risk</w:t>
      </w:r>
      <w:r w:rsidR="00F04DC6">
        <w:t xml:space="preserve">.  Reflecting that importance, clearing facilities are subject to intensive regulation </w:t>
      </w:r>
      <w:r w:rsidR="0052061E">
        <w:t>administered</w:t>
      </w:r>
      <w:r w:rsidR="00F04DC6">
        <w:t xml:space="preserve"> by the Reserve Bank and ASIC to promote the stability of the financial system.</w:t>
      </w:r>
    </w:p>
    <w:p w:rsidR="00233E26" w:rsidRDefault="00233E26" w:rsidP="00772BCE">
      <w:pPr>
        <w:pStyle w:val="OutlineNumbered1"/>
        <w:tabs>
          <w:tab w:val="clear" w:pos="567"/>
        </w:tabs>
      </w:pPr>
      <w:r>
        <w:t xml:space="preserve">Clearing providers rely on economies of scale and network </w:t>
      </w:r>
      <w:r w:rsidR="00823A8A">
        <w:t xml:space="preserve">effects </w:t>
      </w:r>
      <w:r>
        <w:t xml:space="preserve">in their operations as they </w:t>
      </w:r>
      <w:r w:rsidR="00823A8A">
        <w:t>achieve efficiencies</w:t>
      </w:r>
      <w:r>
        <w:t xml:space="preserve"> by netting the margin obligations of their participants.  The high fixed costs and economies of scale required to provide these services means that competition </w:t>
      </w:r>
      <w:r w:rsidR="002D00AE">
        <w:t xml:space="preserve">to the ASX </w:t>
      </w:r>
      <w:r>
        <w:t xml:space="preserve">is only likely to arise where foreign clearing facilities </w:t>
      </w:r>
      <w:r w:rsidR="00823A8A">
        <w:t>participate in</w:t>
      </w:r>
      <w:r>
        <w:t xml:space="preserve"> the Australian market.  </w:t>
      </w:r>
    </w:p>
    <w:p w:rsidR="002D00AE" w:rsidRDefault="002D00AE" w:rsidP="002D00AE">
      <w:pPr>
        <w:pStyle w:val="OutlineNumbered1"/>
      </w:pPr>
      <w:r>
        <w:t xml:space="preserve">However the ability of the </w:t>
      </w:r>
      <w:r w:rsidR="00552399">
        <w:t xml:space="preserve">regulators to pursue their statutory objective of </w:t>
      </w:r>
      <w:r>
        <w:t xml:space="preserve">stability </w:t>
      </w:r>
      <w:r w:rsidR="00552399">
        <w:t xml:space="preserve">will involve </w:t>
      </w:r>
      <w:r>
        <w:t xml:space="preserve">the imposition of </w:t>
      </w:r>
      <w:r w:rsidR="009B7AE5">
        <w:t xml:space="preserve">safeguards to ensure ASIC and the Reserve Bank have sufficient </w:t>
      </w:r>
      <w:r w:rsidR="0052061E">
        <w:t>regulatory</w:t>
      </w:r>
      <w:r w:rsidR="009B7AE5">
        <w:t xml:space="preserve"> influence over cross border clearing facilities.  </w:t>
      </w:r>
      <w:r w:rsidR="00DB1BAB">
        <w:t>In some cases</w:t>
      </w:r>
      <w:r w:rsidR="0027181A">
        <w:t xml:space="preserve"> — </w:t>
      </w:r>
      <w:r w:rsidR="00DB1BAB">
        <w:t>where a facility is systemically important and has a strong connection to the domestic market</w:t>
      </w:r>
      <w:r w:rsidR="0027181A">
        <w:t xml:space="preserve"> — </w:t>
      </w:r>
      <w:r w:rsidR="009B7AE5">
        <w:t xml:space="preserve"> this will involve the clearing facility</w:t>
      </w:r>
      <w:r w:rsidR="00DB1BAB">
        <w:t xml:space="preserve"> incorporating</w:t>
      </w:r>
      <w:r w:rsidR="009B7AE5">
        <w:t xml:space="preserve"> domestically, hold</w:t>
      </w:r>
      <w:r w:rsidR="00DB1BAB">
        <w:t>ing</w:t>
      </w:r>
      <w:r w:rsidR="009B7AE5">
        <w:t xml:space="preserve"> a </w:t>
      </w:r>
      <w:r w:rsidR="009B7AE5">
        <w:lastRenderedPageBreak/>
        <w:t>domestic licence and maintain</w:t>
      </w:r>
      <w:r w:rsidR="00DB1BAB">
        <w:t>ing</w:t>
      </w:r>
      <w:r w:rsidR="009B7AE5">
        <w:t xml:space="preserve"> core operational capacity in Australia.</w:t>
      </w:r>
      <w:r w:rsidR="00DB1BAB">
        <w:t xml:space="preserve">  </w:t>
      </w:r>
      <w:r w:rsidR="000F5D5E">
        <w:t xml:space="preserve">The cost of such requirements, </w:t>
      </w:r>
      <w:r w:rsidR="00DB1BAB">
        <w:t>though, may deter market entry</w:t>
      </w:r>
      <w:r w:rsidR="00502DC5">
        <w:t>.</w:t>
      </w:r>
    </w:p>
    <w:p w:rsidR="00094A36" w:rsidRDefault="000F5D5E" w:rsidP="00772BCE">
      <w:pPr>
        <w:pStyle w:val="OutlineNumbered1"/>
      </w:pPr>
      <w:r>
        <w:t>R</w:t>
      </w:r>
      <w:r w:rsidR="00F04DC6">
        <w:t xml:space="preserve">ecent developments have highlighted the tensions in the regulation of clearing facilities between </w:t>
      </w:r>
      <w:r w:rsidR="006B5C3D">
        <w:t xml:space="preserve">the </w:t>
      </w:r>
      <w:r w:rsidR="00F04DC6">
        <w:t>objectives of stability and efficiency:</w:t>
      </w:r>
    </w:p>
    <w:p w:rsidR="00F04DC6" w:rsidRDefault="00F04DC6" w:rsidP="00F04DC6">
      <w:pPr>
        <w:pStyle w:val="Bullet"/>
      </w:pPr>
      <w:r>
        <w:t xml:space="preserve">the previous government rejected in 2011 the proposed merger between the ASX and SGX in part because of the regulators’ concerns about their ability to </w:t>
      </w:r>
      <w:r w:rsidR="002D75DF">
        <w:t xml:space="preserve">achieve their statutory objective of stability where the clearing facility was operated from offshore (the Council of Financial Regulators subsequently advised the previous government on measures to address these risks, but </w:t>
      </w:r>
      <w:r w:rsidR="00823A8A">
        <w:t xml:space="preserve">any possible </w:t>
      </w:r>
      <w:r w:rsidR="002D75DF">
        <w:t xml:space="preserve">legislative reforms to give effect to this advice </w:t>
      </w:r>
      <w:r w:rsidR="00433C2B">
        <w:t>are</w:t>
      </w:r>
      <w:r w:rsidR="002D75DF">
        <w:t xml:space="preserve"> now </w:t>
      </w:r>
      <w:r w:rsidR="00823A8A">
        <w:t xml:space="preserve">on hold </w:t>
      </w:r>
      <w:r w:rsidR="002D75DF">
        <w:t>pending the outcome of the Financial System Inquiry);</w:t>
      </w:r>
    </w:p>
    <w:p w:rsidR="002D75DF" w:rsidRDefault="002D75DF" w:rsidP="00F04DC6">
      <w:pPr>
        <w:pStyle w:val="Bullet"/>
      </w:pPr>
      <w:r>
        <w:t>the previous government deferred the consideration of the introduction of competition in the clearing of cash equities until the start of 2015 on the advice of the Council of Financial Regulators</w:t>
      </w:r>
      <w:r w:rsidR="00823A8A">
        <w:t>,</w:t>
      </w:r>
      <w:r>
        <w:t xml:space="preserve"> </w:t>
      </w:r>
      <w:r w:rsidR="00502DC5">
        <w:t>though this</w:t>
      </w:r>
      <w:r>
        <w:t xml:space="preserve"> partly reflected concerns on the part of market participants (particularly brokers) about the</w:t>
      </w:r>
      <w:r w:rsidR="00433C2B">
        <w:t>ir capacity to absorb the cost of further system changes following the recent significant reforms associated with the introduction of competition in trading of cash equities and the transfer of market supervision to ASIC;</w:t>
      </w:r>
      <w:r w:rsidR="00800D8A">
        <w:t xml:space="preserve"> </w:t>
      </w:r>
    </w:p>
    <w:p w:rsidR="00433C2B" w:rsidRDefault="00551F3A" w:rsidP="00F04DC6">
      <w:pPr>
        <w:pStyle w:val="Bullet"/>
      </w:pPr>
      <w:r>
        <w:t>the G20 responded to the financial crisis by requiring that over</w:t>
      </w:r>
      <w:r w:rsidR="000B19E3">
        <w:noBreakHyphen/>
      </w:r>
      <w:r>
        <w:t>the</w:t>
      </w:r>
      <w:r w:rsidR="00151D61">
        <w:noBreakHyphen/>
      </w:r>
      <w:r>
        <w:t xml:space="preserve">counter </w:t>
      </w:r>
      <w:r w:rsidR="00823A8A">
        <w:t xml:space="preserve">(OTC) </w:t>
      </w:r>
      <w:r>
        <w:t xml:space="preserve">derivatives be centrally cleared to reduce the counterparty risk in that market, a major factor in the collapse of large financial institutions at the onset of the crisis.  </w:t>
      </w:r>
      <w:r w:rsidR="00233E26">
        <w:t>The market has responded to this regulatory change with two competing s</w:t>
      </w:r>
      <w:r w:rsidR="00823A8A">
        <w:t>ervices</w:t>
      </w:r>
      <w:r w:rsidR="00233E26">
        <w:t xml:space="preserve"> receiving regulatory approval last year to clear </w:t>
      </w:r>
      <w:r w:rsidR="00823A8A">
        <w:t>OTC</w:t>
      </w:r>
      <w:r w:rsidR="00233E26">
        <w:t xml:space="preserve"> derivatives in the Australian market: the ASX and the London Clearing House Clearnet Group</w:t>
      </w:r>
      <w:r w:rsidR="000F5D5E">
        <w:t xml:space="preserve"> which was licensed as a foreign clearing facility.</w:t>
      </w:r>
    </w:p>
    <w:p w:rsidR="009B7AE5" w:rsidRDefault="009B7AE5" w:rsidP="00772BCE">
      <w:pPr>
        <w:pStyle w:val="OutlineNumbered1"/>
      </w:pPr>
      <w:r>
        <w:t>The Council of Financial Regulators has sought to balance these objectives</w:t>
      </w:r>
      <w:r w:rsidR="00DB1BAB" w:rsidRPr="00E57612">
        <w:rPr>
          <w:rStyle w:val="FootnoteReference"/>
        </w:rPr>
        <w:footnoteReference w:id="87"/>
      </w:r>
      <w:r>
        <w:t xml:space="preserve"> and to provide clarity to market participants by publishing guidance on the circumstances in which regulators would recommend the imposition of requirements</w:t>
      </w:r>
      <w:r w:rsidR="00DB1BAB">
        <w:t>.</w:t>
      </w:r>
      <w:r w:rsidR="00DB1BAB" w:rsidRPr="00DB1BAB">
        <w:rPr>
          <w:rStyle w:val="FootnoteReference"/>
        </w:rPr>
        <w:t xml:space="preserve"> </w:t>
      </w:r>
      <w:r w:rsidR="00DB1BAB">
        <w:rPr>
          <w:rStyle w:val="FootnoteReference"/>
        </w:rPr>
        <w:footnoteReference w:id="88"/>
      </w:r>
      <w:r w:rsidR="00DB1BAB">
        <w:t xml:space="preserve">   These requirements are a well</w:t>
      </w:r>
      <w:r w:rsidR="00CD7AD4">
        <w:t>-</w:t>
      </w:r>
      <w:r w:rsidR="00DB1BAB">
        <w:t xml:space="preserve">articulated policy framework: in forming a view on this issue the </w:t>
      </w:r>
      <w:r w:rsidR="00823A8A">
        <w:t>Inquiry</w:t>
      </w:r>
      <w:r w:rsidR="00DB1BAB">
        <w:t xml:space="preserve"> should take account of this work.</w:t>
      </w:r>
    </w:p>
    <w:p w:rsidR="00DB1BAB" w:rsidRPr="00DB1BAB" w:rsidRDefault="00DB1BAB" w:rsidP="00DC60F6">
      <w:pPr>
        <w:pStyle w:val="OutlineNumbered1"/>
        <w:keepNext/>
        <w:numPr>
          <w:ilvl w:val="0"/>
          <w:numId w:val="0"/>
        </w:numPr>
        <w:rPr>
          <w:i/>
        </w:rPr>
      </w:pPr>
      <w:r w:rsidRPr="00DB1BAB">
        <w:rPr>
          <w:i/>
        </w:rPr>
        <w:lastRenderedPageBreak/>
        <w:t>Over the counter derivatives reforms</w:t>
      </w:r>
    </w:p>
    <w:p w:rsidR="00DB1BAB" w:rsidRDefault="00DB1BAB" w:rsidP="00772BCE">
      <w:pPr>
        <w:pStyle w:val="OutlineNumbered1"/>
      </w:pPr>
      <w:r>
        <w:t>As noted above, t</w:t>
      </w:r>
      <w:r w:rsidR="00E57612">
        <w:t xml:space="preserve">he financial crisis illuminated structural deficiencies in the global OTC derivatives markets and the systemic risks those deficiencies pose for the wider financial markets and the real economy.  Recent reforms by the G20 </w:t>
      </w:r>
      <w:r w:rsidR="00E57612" w:rsidRPr="002D55B6">
        <w:t>in respect of trade reporting, central clearing and platform trading of OTC derivatives</w:t>
      </w:r>
      <w:r w:rsidR="00E57612">
        <w:t xml:space="preserve"> have sought to improve transparency and stabil</w:t>
      </w:r>
      <w:r>
        <w:t>ity in OTC derivative markets.</w:t>
      </w:r>
    </w:p>
    <w:p w:rsidR="00E57612" w:rsidRDefault="00E57612" w:rsidP="00772BCE">
      <w:pPr>
        <w:pStyle w:val="OutlineNumbered1"/>
      </w:pPr>
      <w:r>
        <w:t xml:space="preserve">Australia established a </w:t>
      </w:r>
      <w:r w:rsidRPr="002D55B6">
        <w:t>legislati</w:t>
      </w:r>
      <w:r>
        <w:t>ve framework</w:t>
      </w:r>
      <w:r w:rsidR="00DB1BAB">
        <w:t xml:space="preserve"> in 2012</w:t>
      </w:r>
      <w:r>
        <w:t xml:space="preserve"> to implement the G20 reforms.  Australia is now engaged in developing this framework for central clearing of OTC traded interest rate swaps in a way that is tailored to the specific conditions and requirements prevailing in Australian markets. </w:t>
      </w:r>
    </w:p>
    <w:p w:rsidR="00D33323" w:rsidRDefault="00E57612" w:rsidP="00D33323">
      <w:pPr>
        <w:pStyle w:val="OutlineNumbered1"/>
      </w:pPr>
      <w:r>
        <w:t>International requirements for the central clearing of OTC derivative</w:t>
      </w:r>
      <w:r w:rsidR="006B5C3D">
        <w:t>s</w:t>
      </w:r>
      <w:r>
        <w:t xml:space="preserve"> will further increase the systemic importance of clearing infrastructure.  Australia must respond to international developments </w:t>
      </w:r>
      <w:r w:rsidR="00772BCE">
        <w:t>by working</w:t>
      </w:r>
      <w:r>
        <w:t xml:space="preserve"> with international regulatory bodies and bilaterally with key jurisdictions to ensure that cost</w:t>
      </w:r>
      <w:r>
        <w:noBreakHyphen/>
        <w:t>effective access to foreign markets is maintained and ensure that international regulation does not result in duplicate or conflicting regulation.</w:t>
      </w:r>
      <w:bookmarkStart w:id="624" w:name="_Toc381951917"/>
      <w:bookmarkStart w:id="625" w:name="_Toc381956556"/>
      <w:bookmarkStart w:id="626" w:name="_Toc383531531"/>
      <w:bookmarkStart w:id="627" w:name="_Toc383703318"/>
      <w:bookmarkStart w:id="628" w:name="_Toc383704202"/>
      <w:bookmarkStart w:id="629" w:name="_Toc383783870"/>
      <w:bookmarkStart w:id="630" w:name="_Toc383784674"/>
    </w:p>
    <w:p w:rsidR="00D33323" w:rsidRDefault="00D33323" w:rsidP="00D33323">
      <w:pPr>
        <w:pStyle w:val="OutlineNumbered1"/>
        <w:numPr>
          <w:ilvl w:val="0"/>
          <w:numId w:val="0"/>
        </w:numPr>
        <w:sectPr w:rsidR="00D33323" w:rsidSect="0003563D">
          <w:headerReference w:type="default" r:id="rId27"/>
          <w:type w:val="continuous"/>
          <w:pgSz w:w="11906" w:h="16838"/>
          <w:pgMar w:top="1440" w:right="1440" w:bottom="1440" w:left="1440" w:header="708" w:footer="708" w:gutter="0"/>
          <w:pgNumType w:chapStyle="1"/>
          <w:cols w:space="708"/>
          <w:docGrid w:linePitch="360"/>
        </w:sectPr>
      </w:pPr>
    </w:p>
    <w:p w:rsidR="0096393A" w:rsidRDefault="003161BA" w:rsidP="00D33323">
      <w:pPr>
        <w:pStyle w:val="Heading1"/>
      </w:pPr>
      <w:bookmarkStart w:id="631" w:name="_Toc384121530"/>
      <w:bookmarkStart w:id="632" w:name="_Toc384123756"/>
      <w:bookmarkStart w:id="633" w:name="_Toc384132442"/>
      <w:bookmarkStart w:id="634" w:name="_Toc384205200"/>
      <w:bookmarkStart w:id="635" w:name="_Toc384278536"/>
      <w:r>
        <w:lastRenderedPageBreak/>
        <w:t xml:space="preserve">Appendix: </w:t>
      </w:r>
      <w:r w:rsidR="0096393A" w:rsidRPr="000E467F">
        <w:t>Australia’s</w:t>
      </w:r>
      <w:r w:rsidR="0096393A">
        <w:t xml:space="preserve"> saving and investment balance</w:t>
      </w:r>
      <w:bookmarkEnd w:id="624"/>
      <w:bookmarkEnd w:id="625"/>
      <w:bookmarkEnd w:id="626"/>
      <w:bookmarkEnd w:id="627"/>
      <w:bookmarkEnd w:id="628"/>
      <w:bookmarkEnd w:id="629"/>
      <w:bookmarkEnd w:id="630"/>
      <w:bookmarkEnd w:id="631"/>
      <w:bookmarkEnd w:id="632"/>
      <w:bookmarkEnd w:id="633"/>
      <w:bookmarkEnd w:id="634"/>
      <w:bookmarkEnd w:id="635"/>
    </w:p>
    <w:tbl>
      <w:tblPr>
        <w:tblStyle w:val="TableGrid"/>
        <w:tblW w:w="0" w:type="auto"/>
        <w:shd w:val="clear" w:color="auto" w:fill="EEECE1" w:themeFill="background2"/>
        <w:tblLook w:val="04A0" w:firstRow="1" w:lastRow="0" w:firstColumn="1" w:lastColumn="0" w:noHBand="0" w:noVBand="1"/>
      </w:tblPr>
      <w:tblGrid>
        <w:gridCol w:w="9242"/>
      </w:tblGrid>
      <w:tr w:rsidR="00081A2A" w:rsidTr="00081A2A">
        <w:tc>
          <w:tcPr>
            <w:tcW w:w="9242" w:type="dxa"/>
            <w:shd w:val="clear" w:color="auto" w:fill="EEECE1" w:themeFill="background2"/>
          </w:tcPr>
          <w:p w:rsidR="00081A2A" w:rsidRPr="00A30116" w:rsidRDefault="00081A2A" w:rsidP="00A30116">
            <w:pPr>
              <w:rPr>
                <w:b/>
                <w:color w:val="000080"/>
                <w:sz w:val="36"/>
              </w:rPr>
            </w:pPr>
            <w:bookmarkStart w:id="636" w:name="_Toc383783871"/>
            <w:bookmarkStart w:id="637" w:name="_Toc383784675"/>
            <w:bookmarkStart w:id="638" w:name="_Toc381951918"/>
            <w:bookmarkStart w:id="639" w:name="_Toc382295339"/>
            <w:bookmarkStart w:id="640" w:name="_Toc382296476"/>
            <w:bookmarkStart w:id="641" w:name="_Toc382312178"/>
            <w:bookmarkStart w:id="642" w:name="_Toc382313759"/>
            <w:bookmarkStart w:id="643" w:name="_Toc382313826"/>
            <w:bookmarkStart w:id="644" w:name="_Toc382316612"/>
            <w:bookmarkStart w:id="645" w:name="_Toc382318619"/>
            <w:bookmarkStart w:id="646" w:name="_Toc382321966"/>
            <w:bookmarkStart w:id="647" w:name="_Toc382496729"/>
            <w:bookmarkStart w:id="648" w:name="_Toc383082019"/>
            <w:bookmarkStart w:id="649" w:name="_Toc383531532"/>
            <w:bookmarkStart w:id="650" w:name="_Toc383703319"/>
            <w:bookmarkStart w:id="651" w:name="_Toc383704203"/>
            <w:bookmarkStart w:id="652" w:name="Part4"/>
            <w:r w:rsidRPr="00A30116">
              <w:rPr>
                <w:b/>
                <w:color w:val="000080"/>
                <w:sz w:val="36"/>
              </w:rPr>
              <w:t>Key points</w:t>
            </w:r>
            <w:bookmarkEnd w:id="636"/>
            <w:bookmarkEnd w:id="637"/>
          </w:p>
          <w:p w:rsidR="00081A2A" w:rsidRDefault="00081A2A" w:rsidP="00081A2A">
            <w:pPr>
              <w:pStyle w:val="OutlineNumbered1"/>
            </w:pPr>
            <w:r>
              <w:t>Australia’s open capital account has enabled the Australian economy to access global capital markets, facilitating investment that has played a crucial role in developing Australia’s capital stock and boosting productivity.  Accessing global capital markets also allows the Australian economy to finance its investment at the lowest cost.</w:t>
            </w:r>
          </w:p>
          <w:p w:rsidR="00081A2A" w:rsidRDefault="00081A2A" w:rsidP="00081A2A">
            <w:pPr>
              <w:pStyle w:val="OutlineNumbered1"/>
            </w:pPr>
            <w:r>
              <w:t xml:space="preserve">Although there are risks associated with having a current account deficit there are a number of factors mitigating these </w:t>
            </w:r>
            <w:r w:rsidR="00F41724">
              <w:t xml:space="preserve">risks </w:t>
            </w:r>
            <w:r>
              <w:t>for Australia.  In particular, Australia’s current account deficit is a reflection of the high number of profitable investment opportunities that exist in Australia, rather than a low level of domestic saving.</w:t>
            </w:r>
          </w:p>
          <w:p w:rsidR="00081A2A" w:rsidRDefault="00081A2A">
            <w:pPr>
              <w:pStyle w:val="OutlineNumbered1"/>
            </w:pPr>
            <w:r>
              <w:t>The banking system plays a key role in facilitating the flow of capital both into and out of Australia</w:t>
            </w:r>
            <w:r w:rsidR="00170449">
              <w:t>.  The</w:t>
            </w:r>
            <w:r>
              <w:t xml:space="preserve"> banks </w:t>
            </w:r>
            <w:r w:rsidR="00170449">
              <w:t xml:space="preserve">have </w:t>
            </w:r>
            <w:r>
              <w:t>shift</w:t>
            </w:r>
            <w:r w:rsidR="00170449">
              <w:t>ed</w:t>
            </w:r>
            <w:r>
              <w:t xml:space="preserve"> from being net accumulators of foreign liabilities to net repayers following the global financial crisis.</w:t>
            </w:r>
          </w:p>
        </w:tc>
      </w:tr>
    </w:tbl>
    <w:p w:rsidR="00081A2A" w:rsidRDefault="00081A2A" w:rsidP="005C50F6"/>
    <w:p w:rsidR="0096393A" w:rsidRPr="00B31917" w:rsidRDefault="0096393A" w:rsidP="00B31917">
      <w:pPr>
        <w:rPr>
          <w:b/>
          <w:color w:val="000080"/>
          <w:sz w:val="36"/>
        </w:rPr>
      </w:pPr>
      <w:bookmarkStart w:id="653" w:name="_Toc381951919"/>
      <w:bookmarkStart w:id="654" w:name="_Toc382295340"/>
      <w:bookmarkStart w:id="655" w:name="_Toc382296477"/>
      <w:bookmarkStart w:id="656" w:name="_Toc382312179"/>
      <w:bookmarkStart w:id="657" w:name="_Toc382313760"/>
      <w:bookmarkStart w:id="658" w:name="_Toc382313827"/>
      <w:bookmarkStart w:id="659" w:name="_Toc382316613"/>
      <w:bookmarkStart w:id="660" w:name="_Toc382318620"/>
      <w:bookmarkStart w:id="661" w:name="_Toc382321967"/>
      <w:bookmarkStart w:id="662" w:name="_Toc382496730"/>
      <w:bookmarkStart w:id="663" w:name="_Toc383082020"/>
      <w:bookmarkStart w:id="664" w:name="_Toc383531533"/>
      <w:bookmarkStart w:id="665" w:name="_Toc383703320"/>
      <w:bookmarkStart w:id="666" w:name="_Toc38370420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B31917">
        <w:rPr>
          <w:b/>
          <w:color w:val="000080"/>
          <w:sz w:val="36"/>
        </w:rPr>
        <w:t xml:space="preserve">Australia has </w:t>
      </w:r>
      <w:r w:rsidR="00F41724">
        <w:rPr>
          <w:b/>
          <w:color w:val="000080"/>
          <w:sz w:val="36"/>
        </w:rPr>
        <w:t>run</w:t>
      </w:r>
      <w:r w:rsidRPr="00B31917">
        <w:rPr>
          <w:b/>
          <w:color w:val="000080"/>
          <w:sz w:val="36"/>
        </w:rPr>
        <w:t xml:space="preserve"> a current account deficit for </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00170449">
        <w:rPr>
          <w:b/>
          <w:color w:val="000080"/>
          <w:sz w:val="36"/>
        </w:rPr>
        <w:t>most of our history</w:t>
      </w:r>
    </w:p>
    <w:p w:rsidR="0096393A" w:rsidRDefault="0096393A" w:rsidP="0096393A">
      <w:pPr>
        <w:pStyle w:val="OutlineNumbered1"/>
      </w:pPr>
      <w:r>
        <w:t>Australia’s domestic investment has exceeded domestic saving</w:t>
      </w:r>
      <w:r w:rsidR="00170449">
        <w:t xml:space="preserve"> for most of our history</w:t>
      </w:r>
      <w:r>
        <w:t xml:space="preserve">, reflecting the profitable investment opportunities that exist in Australia.  Australia’s openness to foreign capital has enabled this investment to take place, increasing Australia’s capital stock and improving living standards by adding to national income.  </w:t>
      </w:r>
    </w:p>
    <w:p w:rsidR="0096393A" w:rsidRDefault="0096393A" w:rsidP="0096393A">
      <w:pPr>
        <w:pStyle w:val="OutlineNumbered1"/>
      </w:pPr>
      <w:r>
        <w:t>Accessing global capital markets also allows the Australian economy to finance investment at the lowest cost and diversifies the economy’s overall funding base.  Further, it allows Australian investors to pursue the highest possible risk</w:t>
      </w:r>
      <w:r>
        <w:noBreakHyphen/>
        <w:t>adjusted returns available globally.</w:t>
      </w:r>
    </w:p>
    <w:p w:rsidR="0096393A" w:rsidRDefault="0096393A" w:rsidP="0096393A">
      <w:pPr>
        <w:pStyle w:val="OutlineNumbered1"/>
      </w:pPr>
      <w:r>
        <w:t xml:space="preserve">The current account deficit (CAD) that has been incurred as a result of investment exceeding saving has attracted considerable debate over the past three decades </w:t>
      </w:r>
      <w:r w:rsidR="00C7465E">
        <w:t>(see </w:t>
      </w:r>
      <w:r w:rsidR="00C7465E">
        <w:fldChar w:fldCharType="begin"/>
      </w:r>
      <w:r w:rsidR="00C7465E">
        <w:instrText xml:space="preserve"> REF _Ref383720148 \h </w:instrText>
      </w:r>
      <w:r w:rsidR="00C7465E">
        <w:fldChar w:fldCharType="separate"/>
      </w:r>
      <w:r w:rsidR="0050148E">
        <w:t xml:space="preserve">Chart </w:t>
      </w:r>
      <w:r w:rsidR="0050148E">
        <w:rPr>
          <w:noProof/>
        </w:rPr>
        <w:t>9</w:t>
      </w:r>
      <w:r w:rsidR="00C7465E">
        <w:fldChar w:fldCharType="end"/>
      </w:r>
      <w:r>
        <w:t>).</w:t>
      </w:r>
      <w:r w:rsidRPr="00807A20">
        <w:rPr>
          <w:vertAlign w:val="superscript"/>
        </w:rPr>
        <w:footnoteReference w:id="89"/>
      </w:r>
      <w:r>
        <w:t xml:space="preserve">  </w:t>
      </w:r>
      <w:r w:rsidRPr="00106A02">
        <w:t xml:space="preserve">The rise in the CAD from the early 1980s became a central focus for </w:t>
      </w:r>
      <w:r w:rsidRPr="00106A02">
        <w:lastRenderedPageBreak/>
        <w:t>policymakers during that decade.</w:t>
      </w:r>
      <w:r>
        <w:rPr>
          <w:rStyle w:val="FootnoteReference"/>
        </w:rPr>
        <w:footnoteReference w:id="90"/>
      </w:r>
      <w:r>
        <w:t xml:space="preserve"> </w:t>
      </w:r>
      <w:r w:rsidRPr="00106A02">
        <w:t xml:space="preserve"> High CADs were seen as a source of macroeconomic vulnerability and a constraint on economic growth. </w:t>
      </w:r>
    </w:p>
    <w:p w:rsidR="0096393A" w:rsidRPr="00C7465E" w:rsidRDefault="00C7465E" w:rsidP="00C7465E">
      <w:pPr>
        <w:pStyle w:val="Caption"/>
        <w:keepNext/>
        <w:jc w:val="center"/>
      </w:pPr>
      <w:bookmarkStart w:id="667" w:name="_Ref383720148"/>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9</w:t>
      </w:r>
      <w:r w:rsidR="000A480B">
        <w:rPr>
          <w:noProof/>
        </w:rPr>
        <w:fldChar w:fldCharType="end"/>
      </w:r>
      <w:bookmarkEnd w:id="667"/>
      <w:r>
        <w:t xml:space="preserve">: </w:t>
      </w:r>
      <w:r w:rsidR="0096393A" w:rsidRPr="00C7465E">
        <w:t>Current account balance as a per cent of GDP</w:t>
      </w:r>
    </w:p>
    <w:p w:rsidR="0096393A" w:rsidRPr="007E0260" w:rsidRDefault="0096393A" w:rsidP="0096393A">
      <w:r>
        <w:rPr>
          <w:noProof/>
          <w:lang w:val="en-US"/>
        </w:rPr>
        <w:drawing>
          <wp:inline distT="0" distB="0" distL="0" distR="0" wp14:anchorId="27392482" wp14:editId="563A4CD1">
            <wp:extent cx="5580000" cy="25200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93A" w:rsidRDefault="0096393A" w:rsidP="0096393A">
      <w:pPr>
        <w:pStyle w:val="ChartGraphic"/>
      </w:pPr>
    </w:p>
    <w:p w:rsidR="0096393A" w:rsidRPr="0080652A" w:rsidRDefault="0096393A" w:rsidP="0096393A">
      <w:pPr>
        <w:pStyle w:val="OutlineNumbered1"/>
        <w:numPr>
          <w:ilvl w:val="0"/>
          <w:numId w:val="0"/>
        </w:numPr>
        <w:ind w:left="567"/>
        <w:rPr>
          <w:sz w:val="20"/>
        </w:rPr>
      </w:pPr>
      <w:r w:rsidRPr="0080652A">
        <w:rPr>
          <w:sz w:val="20"/>
        </w:rPr>
        <w:t xml:space="preserve">Source: ABS cat. no. </w:t>
      </w:r>
      <w:r>
        <w:rPr>
          <w:sz w:val="20"/>
        </w:rPr>
        <w:t>5302</w:t>
      </w:r>
    </w:p>
    <w:p w:rsidR="0096393A" w:rsidRDefault="0096393A" w:rsidP="0096393A">
      <w:pPr>
        <w:pStyle w:val="OutlineNumbered1"/>
      </w:pPr>
      <w:r w:rsidRPr="00082641">
        <w:t xml:space="preserve">In the early 1990s this consensus </w:t>
      </w:r>
      <w:r>
        <w:t>was</w:t>
      </w:r>
      <w:r w:rsidRPr="00082641">
        <w:t xml:space="preserve"> challenged by the ‘consenting adults’ view</w:t>
      </w:r>
      <w:r>
        <w:t>, which noted</w:t>
      </w:r>
      <w:r w:rsidRPr="00082641">
        <w:t xml:space="preserve"> that the CAD should not be seen as a problem if it is based on private saving and investment decisions that are not subject to significant policy distortions. </w:t>
      </w:r>
      <w:r>
        <w:t xml:space="preserve"> The financial deregulation that occurred in the 1980s</w:t>
      </w:r>
      <w:r w:rsidR="00F41724">
        <w:t>, along with the prudent management of fiscal policy,</w:t>
      </w:r>
      <w:r>
        <w:t xml:space="preserve"> enabled the preconditions for this view to be met in Australia.</w:t>
      </w:r>
    </w:p>
    <w:p w:rsidR="0096393A" w:rsidRDefault="0096393A" w:rsidP="0096393A">
      <w:pPr>
        <w:pStyle w:val="OutlineNumbered1"/>
      </w:pPr>
      <w:r w:rsidRPr="00082641">
        <w:t>Over time this view</w:t>
      </w:r>
      <w:r>
        <w:t xml:space="preserve"> </w:t>
      </w:r>
      <w:r w:rsidRPr="00082641">
        <w:t xml:space="preserve">increasingly </w:t>
      </w:r>
      <w:r>
        <w:t>became a</w:t>
      </w:r>
      <w:r w:rsidRPr="00082641">
        <w:t>ccepted as the CAD remained high with</w:t>
      </w:r>
      <w:r>
        <w:t xml:space="preserve"> few</w:t>
      </w:r>
      <w:r w:rsidRPr="00082641">
        <w:t xml:space="preserve"> adverse implications. </w:t>
      </w:r>
      <w:r>
        <w:t xml:space="preserve"> </w:t>
      </w:r>
      <w:r w:rsidRPr="00082641">
        <w:t xml:space="preserve">The shift towards a more relaxed view of the CAD was assisted by improved macroeconomic policy </w:t>
      </w:r>
      <w:r w:rsidR="00F41724">
        <w:t xml:space="preserve">frameworks </w:t>
      </w:r>
      <w:r w:rsidRPr="00082641">
        <w:t xml:space="preserve">and structural reforms that enhanced confidence that the preconditions for the ‘consenting adults’ view were </w:t>
      </w:r>
      <w:r>
        <w:t xml:space="preserve">being </w:t>
      </w:r>
      <w:r w:rsidRPr="00082641">
        <w:t>met.</w:t>
      </w:r>
      <w:r>
        <w:t xml:space="preserve">  </w:t>
      </w:r>
    </w:p>
    <w:p w:rsidR="0096393A" w:rsidRPr="00082641" w:rsidRDefault="0096393A" w:rsidP="0096393A">
      <w:pPr>
        <w:pStyle w:val="OutlineNumbered1"/>
      </w:pPr>
      <w:r>
        <w:t>The ability of Australian financial institutions to borrow offshore in Australian dollars, or hedge back into Australian dollars, further alleviated fears surrounding the CAD</w:t>
      </w:r>
      <w:r w:rsidRPr="00082641">
        <w:t>.</w:t>
      </w:r>
    </w:p>
    <w:p w:rsidR="0096393A" w:rsidRPr="00B31917" w:rsidRDefault="0096393A" w:rsidP="00B31917">
      <w:pPr>
        <w:rPr>
          <w:b/>
          <w:color w:val="000080"/>
          <w:sz w:val="36"/>
        </w:rPr>
      </w:pPr>
      <w:bookmarkStart w:id="668" w:name="_Toc381951920"/>
      <w:bookmarkStart w:id="669" w:name="_Toc382295341"/>
      <w:bookmarkStart w:id="670" w:name="_Toc382296478"/>
      <w:bookmarkStart w:id="671" w:name="_Toc382312180"/>
      <w:bookmarkStart w:id="672" w:name="_Toc382313761"/>
      <w:bookmarkStart w:id="673" w:name="_Toc382313828"/>
      <w:bookmarkStart w:id="674" w:name="_Toc382316614"/>
      <w:bookmarkStart w:id="675" w:name="_Toc382318621"/>
      <w:bookmarkStart w:id="676" w:name="_Toc382321968"/>
      <w:bookmarkStart w:id="677" w:name="_Toc382496731"/>
      <w:bookmarkStart w:id="678" w:name="_Toc383082021"/>
      <w:bookmarkStart w:id="679" w:name="_Toc383531534"/>
      <w:bookmarkStart w:id="680" w:name="_Toc383703321"/>
      <w:bookmarkStart w:id="681" w:name="_Toc383704205"/>
      <w:r w:rsidRPr="00B31917">
        <w:rPr>
          <w:b/>
          <w:color w:val="000080"/>
          <w:sz w:val="36"/>
        </w:rPr>
        <w:t>The current account deficit is the difference between investment</w:t>
      </w:r>
      <w:bookmarkEnd w:id="668"/>
      <w:bookmarkEnd w:id="669"/>
      <w:bookmarkEnd w:id="670"/>
      <w:bookmarkEnd w:id="671"/>
      <w:bookmarkEnd w:id="672"/>
      <w:bookmarkEnd w:id="673"/>
      <w:bookmarkEnd w:id="674"/>
      <w:bookmarkEnd w:id="675"/>
      <w:bookmarkEnd w:id="676"/>
      <w:bookmarkEnd w:id="677"/>
      <w:r w:rsidRPr="00B31917">
        <w:rPr>
          <w:b/>
          <w:color w:val="000080"/>
          <w:sz w:val="36"/>
        </w:rPr>
        <w:t xml:space="preserve"> and saving</w:t>
      </w:r>
      <w:bookmarkEnd w:id="678"/>
      <w:bookmarkEnd w:id="679"/>
      <w:bookmarkEnd w:id="680"/>
      <w:bookmarkEnd w:id="681"/>
    </w:p>
    <w:p w:rsidR="0096393A" w:rsidRDefault="0096393A" w:rsidP="0096393A">
      <w:pPr>
        <w:pStyle w:val="OutlineNumbered1"/>
      </w:pPr>
      <w:r>
        <w:t xml:space="preserve">Balance of payments accounting defines the current account balance as the sum of the trade and net income balances.  In a direct sense, Australia’s CAD reflects the fact </w:t>
      </w:r>
      <w:r>
        <w:lastRenderedPageBreak/>
        <w:t>that imports and income paid to foreign residents exceed exports and income received from abroad.  However, the CAD can just as validly be thought of in two other ways:</w:t>
      </w:r>
    </w:p>
    <w:p w:rsidR="0096393A" w:rsidRPr="009A3368" w:rsidRDefault="0096393A" w:rsidP="0096393A">
      <w:pPr>
        <w:pStyle w:val="Bullet"/>
      </w:pPr>
      <w:r w:rsidRPr="009A3368">
        <w:t xml:space="preserve">acquisition of Australian assets by foreigners exceeds Australian acquisition of foreign assets; and </w:t>
      </w:r>
    </w:p>
    <w:p w:rsidR="0096393A" w:rsidRDefault="0096393A" w:rsidP="0096393A">
      <w:pPr>
        <w:pStyle w:val="Bullet"/>
      </w:pPr>
      <w:r w:rsidRPr="009A3368">
        <w:t>domestic</w:t>
      </w:r>
      <w:r>
        <w:t xml:space="preserve"> investment exceeds saving by Australian residents. </w:t>
      </w:r>
    </w:p>
    <w:p w:rsidR="0096393A" w:rsidRDefault="0096393A" w:rsidP="0096393A">
      <w:pPr>
        <w:pStyle w:val="OutlineNumbered1"/>
      </w:pPr>
      <w:r>
        <w:t>The saving-investment perspective is often the most useful as it recognises that the CAD reflects economy-wide factors.  This helps to identify influences that can be overlooked by focussing on external transactions.</w:t>
      </w:r>
    </w:p>
    <w:p w:rsidR="0096393A" w:rsidRDefault="0096393A" w:rsidP="0096393A">
      <w:pPr>
        <w:pStyle w:val="OutlineNumbered1"/>
      </w:pPr>
      <w:r>
        <w:t>For instance, it may seem counter</w:t>
      </w:r>
      <w:r>
        <w:noBreakHyphen/>
        <w:t>intuitive that the rise in Australia’s terms of trade during the first phase of the mining boom was associated with a widening CAD, given its direct effect is to reduce the trade deficit.  However, viewed from a saving</w:t>
      </w:r>
      <w:r>
        <w:noBreakHyphen/>
        <w:t>investment perspective</w:t>
      </w:r>
      <w:r w:rsidR="00170449">
        <w:t>,</w:t>
      </w:r>
      <w:r w:rsidDel="00170449">
        <w:t xml:space="preserve"> </w:t>
      </w:r>
      <w:r>
        <w:t xml:space="preserve">high profits in the resources sector </w:t>
      </w:r>
      <w:r w:rsidR="00170449">
        <w:t>led</w:t>
      </w:r>
      <w:r>
        <w:t xml:space="preserve"> to a surge in investment</w:t>
      </w:r>
      <w:r w:rsidR="00170449">
        <w:t xml:space="preserve"> that drove a widening </w:t>
      </w:r>
      <w:r w:rsidR="00F50384">
        <w:t>of the</w:t>
      </w:r>
      <w:r w:rsidR="00170449">
        <w:t xml:space="preserve"> CAD</w:t>
      </w:r>
      <w:r>
        <w:t>.</w:t>
      </w:r>
    </w:p>
    <w:p w:rsidR="0096393A" w:rsidRDefault="0096393A" w:rsidP="0096393A">
      <w:pPr>
        <w:pStyle w:val="OutlineNumbered1"/>
      </w:pPr>
      <w:r>
        <w:t xml:space="preserve">A saving-investment perspective also emphasises that the current account is best viewed in inter-temporal terms.  Saving and investment are means for increasing future consumption by diverting output from current consumption.  Hence, CADs can be considered optimal if they are consistent with achieving an optimal consumption path over time.  </w:t>
      </w:r>
    </w:p>
    <w:p w:rsidR="0096393A" w:rsidRDefault="0096393A" w:rsidP="0096393A">
      <w:pPr>
        <w:pStyle w:val="OutlineNumbered1"/>
      </w:pPr>
      <w:r>
        <w:t xml:space="preserve">For instance, CADs that finance higher levels of productive investment can raise the economy’s future output potential, allowing higher levels of consumption </w:t>
      </w:r>
      <w:r w:rsidR="00170449">
        <w:t>in the future</w:t>
      </w:r>
      <w:r>
        <w:t xml:space="preserve">. </w:t>
      </w:r>
      <w:r w:rsidR="007E2AB6">
        <w:t xml:space="preserve"> </w:t>
      </w:r>
      <w:r>
        <w:t xml:space="preserve">Running CADs when income is unusually low or investment is unusually high also allows consumption to be smoothed over time. </w:t>
      </w:r>
    </w:p>
    <w:p w:rsidR="0096393A" w:rsidRDefault="0096393A" w:rsidP="0096393A">
      <w:pPr>
        <w:pStyle w:val="OutlineNumbered1"/>
      </w:pPr>
      <w:r>
        <w:t xml:space="preserve">In contrast, an increase in the CAD that is caused by a fall in national saving implies that foreign borrowing is being used to finance higher current consumption at the expense of future consumption.  A fall in saving may be appropriate to smooth consumption over periods when national income is low relative to its expected future path.  However, a persistent fall in the saving rate may </w:t>
      </w:r>
      <w:r w:rsidR="00170449">
        <w:t>require other adjustments in the economy to ensure the sustainability of a country’s net foreign liability position.</w:t>
      </w:r>
    </w:p>
    <w:p w:rsidR="0096393A" w:rsidRDefault="0096393A" w:rsidP="0096393A">
      <w:pPr>
        <w:pStyle w:val="OutlineNumbered1"/>
      </w:pPr>
      <w:bookmarkStart w:id="682" w:name="_Toc381951921"/>
      <w:bookmarkStart w:id="683" w:name="_Toc382295342"/>
      <w:bookmarkStart w:id="684" w:name="_Toc382296479"/>
      <w:bookmarkStart w:id="685" w:name="_Toc382312181"/>
      <w:bookmarkStart w:id="686" w:name="_Toc382313762"/>
      <w:bookmarkStart w:id="687" w:name="_Toc382313829"/>
      <w:bookmarkStart w:id="688" w:name="_Toc382316615"/>
      <w:bookmarkStart w:id="689" w:name="_Toc382318622"/>
      <w:bookmarkStart w:id="690" w:name="_Toc382321969"/>
      <w:r>
        <w:t xml:space="preserve">As gross national saving and investment includes both public and private saving and investment, the </w:t>
      </w:r>
      <w:r w:rsidR="00170449">
        <w:t xml:space="preserve">consolidated </w:t>
      </w:r>
      <w:r>
        <w:t xml:space="preserve">fiscal position </w:t>
      </w:r>
      <w:r w:rsidR="00170449">
        <w:t xml:space="preserve">of all levels of government </w:t>
      </w:r>
      <w:r>
        <w:t xml:space="preserve">also influences the CAD.  For instance, large increases in government consumption will, all else equal, lead to a widening in the CAD while </w:t>
      </w:r>
      <w:r w:rsidR="00F41724">
        <w:t xml:space="preserve">higher </w:t>
      </w:r>
      <w:r>
        <w:t>government saving will narrow the CAD.</w:t>
      </w:r>
    </w:p>
    <w:p w:rsidR="0096393A" w:rsidRPr="00B31917" w:rsidRDefault="0096393A" w:rsidP="00B31917">
      <w:pPr>
        <w:rPr>
          <w:b/>
          <w:color w:val="000080"/>
          <w:sz w:val="36"/>
        </w:rPr>
      </w:pPr>
      <w:bookmarkStart w:id="691" w:name="_Toc382496732"/>
      <w:bookmarkStart w:id="692" w:name="_Toc383082022"/>
      <w:bookmarkStart w:id="693" w:name="_Toc383531535"/>
      <w:bookmarkStart w:id="694" w:name="_Toc383703322"/>
      <w:bookmarkStart w:id="695" w:name="_Toc383704206"/>
      <w:r w:rsidRPr="00B31917">
        <w:rPr>
          <w:b/>
          <w:color w:val="000080"/>
          <w:sz w:val="36"/>
        </w:rPr>
        <w:lastRenderedPageBreak/>
        <w:t>The current account deficit is an outcome of gross capital flows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96393A" w:rsidRDefault="0096393A" w:rsidP="0096393A">
      <w:pPr>
        <w:pStyle w:val="OutlineNumbered1"/>
      </w:pPr>
      <w:r>
        <w:t>A</w:t>
      </w:r>
      <w:r w:rsidRPr="00E12FE0">
        <w:t>lthough</w:t>
      </w:r>
      <w:r>
        <w:t xml:space="preserve"> the CAD is a reflection of the net capital inflows into the Australian economy (acquisition of Australian assets by foreigners exceeds Australian acquisition of foreign assets), these net flows are an outcome of much larger gross flows.  Thus when considering the extent to which domestic investment is financed onshore versus offshore, it is necessary to look at the gross flows rather than the net outcome.</w:t>
      </w:r>
    </w:p>
    <w:p w:rsidR="0096393A" w:rsidRDefault="0096393A" w:rsidP="0096393A">
      <w:pPr>
        <w:pStyle w:val="OutlineNumbered1"/>
      </w:pPr>
      <w:r>
        <w:t>For instance, while an increase in domestic saving results in a reduction in the CAD, it does not necessarily change the extent to which domestic investment is financed onshore.  If the preferences of Australians are such that they wish to allocate a certain portion of their savings offshore to diversify their assets, an increase in saving could result in an increase in gross flows out of Australia, a fall in the CAD and no change in offshore funding of Australian investment.</w:t>
      </w:r>
    </w:p>
    <w:p w:rsidR="0096393A" w:rsidRPr="00B31917" w:rsidRDefault="0096393A" w:rsidP="00B31917">
      <w:pPr>
        <w:rPr>
          <w:b/>
          <w:color w:val="000080"/>
          <w:sz w:val="36"/>
        </w:rPr>
      </w:pPr>
      <w:bookmarkStart w:id="696" w:name="_Toc381951922"/>
      <w:bookmarkStart w:id="697" w:name="_Toc382295343"/>
      <w:bookmarkStart w:id="698" w:name="_Toc382296480"/>
      <w:bookmarkStart w:id="699" w:name="_Toc382312182"/>
      <w:bookmarkStart w:id="700" w:name="_Toc382313763"/>
      <w:bookmarkStart w:id="701" w:name="_Toc382313830"/>
      <w:bookmarkStart w:id="702" w:name="_Toc382316616"/>
      <w:bookmarkStart w:id="703" w:name="_Toc382318623"/>
      <w:bookmarkStart w:id="704" w:name="_Toc382321970"/>
      <w:bookmarkStart w:id="705" w:name="_Toc382496733"/>
      <w:bookmarkStart w:id="706" w:name="_Toc383082023"/>
      <w:bookmarkStart w:id="707" w:name="_Toc383531536"/>
      <w:bookmarkStart w:id="708" w:name="_Toc383703323"/>
      <w:bookmarkStart w:id="709" w:name="_Toc383704207"/>
      <w:r w:rsidRPr="00B31917">
        <w:rPr>
          <w:b/>
          <w:color w:val="000080"/>
          <w:sz w:val="36"/>
        </w:rPr>
        <w:t>Australia is a high saving country</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96393A" w:rsidRDefault="0096393A" w:rsidP="0096393A">
      <w:pPr>
        <w:pStyle w:val="OutlineNumbered1"/>
      </w:pPr>
      <w:r>
        <w:t>Australia’s CAD reflects the large number of investment opportunities in Australia, rather than a l</w:t>
      </w:r>
      <w:r w:rsidR="00C7465E">
        <w:t xml:space="preserve">ack of domestic savings (see </w:t>
      </w:r>
      <w:r w:rsidR="00C7465E">
        <w:fldChar w:fldCharType="begin"/>
      </w:r>
      <w:r w:rsidR="00C7465E">
        <w:instrText xml:space="preserve"> REF _Ref383720202 \h </w:instrText>
      </w:r>
      <w:r w:rsidR="00C7465E">
        <w:fldChar w:fldCharType="separate"/>
      </w:r>
      <w:r w:rsidR="0050148E">
        <w:t xml:space="preserve">Chart </w:t>
      </w:r>
      <w:r w:rsidR="0050148E">
        <w:rPr>
          <w:noProof/>
        </w:rPr>
        <w:t>10</w:t>
      </w:r>
      <w:r w:rsidR="00C7465E">
        <w:fldChar w:fldCharType="end"/>
      </w:r>
      <w:r>
        <w:t xml:space="preserve">).  Indeed, </w:t>
      </w:r>
      <w:r w:rsidR="006D4817">
        <w:t>compared with major advanced economies</w:t>
      </w:r>
      <w:r w:rsidR="00F50384">
        <w:t>,</w:t>
      </w:r>
      <w:r>
        <w:t xml:space="preserve"> Australia has a very high level of national saving, which is a consequence of </w:t>
      </w:r>
      <w:r w:rsidR="00170449">
        <w:t>comparatively strong</w:t>
      </w:r>
      <w:r>
        <w:t xml:space="preserve"> fiscal management and a maturing superannuation system.</w:t>
      </w:r>
    </w:p>
    <w:p w:rsidR="0096393A" w:rsidRPr="00C7465E" w:rsidRDefault="00C7465E" w:rsidP="00C7465E">
      <w:pPr>
        <w:pStyle w:val="Caption"/>
        <w:keepNext/>
        <w:jc w:val="center"/>
      </w:pPr>
      <w:bookmarkStart w:id="710" w:name="_Ref383720202"/>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10</w:t>
      </w:r>
      <w:r w:rsidR="000A480B">
        <w:rPr>
          <w:noProof/>
        </w:rPr>
        <w:fldChar w:fldCharType="end"/>
      </w:r>
      <w:bookmarkEnd w:id="710"/>
      <w:r>
        <w:t xml:space="preserve">: </w:t>
      </w:r>
      <w:r w:rsidR="008A7B94">
        <w:t>Gross saving and g</w:t>
      </w:r>
      <w:r w:rsidR="0096393A" w:rsidRPr="00C7465E">
        <w:t>ross investment</w:t>
      </w:r>
    </w:p>
    <w:p w:rsidR="0096393A" w:rsidRDefault="0096393A" w:rsidP="0096393A">
      <w:pPr>
        <w:pStyle w:val="ChartGraphic"/>
      </w:pPr>
      <w:r>
        <w:rPr>
          <w:noProof/>
          <w:lang w:val="en-US" w:eastAsia="en-US"/>
        </w:rPr>
        <w:drawing>
          <wp:inline distT="0" distB="0" distL="0" distR="0" wp14:anchorId="15A1D39B" wp14:editId="7C3FA770">
            <wp:extent cx="5609817" cy="2575908"/>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93A" w:rsidRPr="00807A20" w:rsidRDefault="0096393A" w:rsidP="0096393A">
      <w:pPr>
        <w:pStyle w:val="OutlineNumbered1"/>
        <w:numPr>
          <w:ilvl w:val="0"/>
          <w:numId w:val="0"/>
        </w:numPr>
        <w:ind w:left="567" w:hanging="567"/>
        <w:rPr>
          <w:sz w:val="20"/>
        </w:rPr>
      </w:pPr>
      <w:r w:rsidRPr="00807A20">
        <w:rPr>
          <w:sz w:val="20"/>
        </w:rPr>
        <w:t xml:space="preserve">Source: </w:t>
      </w:r>
      <w:r>
        <w:rPr>
          <w:sz w:val="20"/>
        </w:rPr>
        <w:t>ABS cat. no. 5206</w:t>
      </w:r>
      <w:r w:rsidRPr="004937B6">
        <w:rPr>
          <w:sz w:val="20"/>
        </w:rPr>
        <w:t xml:space="preserve"> and IMF.</w:t>
      </w:r>
    </w:p>
    <w:p w:rsidR="0096393A" w:rsidRDefault="0096393A" w:rsidP="0096393A">
      <w:pPr>
        <w:pStyle w:val="OutlineNumbered1"/>
      </w:pPr>
      <w:r>
        <w:t>The major driver of national saving since the mid-2000s has been a turnaround in the ho</w:t>
      </w:r>
      <w:r w:rsidR="00C7465E">
        <w:t xml:space="preserve">usehold saving rate (See </w:t>
      </w:r>
      <w:r w:rsidR="00C7465E">
        <w:fldChar w:fldCharType="begin"/>
      </w:r>
      <w:r w:rsidR="00C7465E">
        <w:instrText xml:space="preserve"> REF _Ref383720247 \h </w:instrText>
      </w:r>
      <w:r w:rsidR="00C7465E">
        <w:fldChar w:fldCharType="separate"/>
      </w:r>
      <w:r w:rsidR="0050148E">
        <w:t xml:space="preserve">Chart </w:t>
      </w:r>
      <w:r w:rsidR="0050148E">
        <w:rPr>
          <w:noProof/>
        </w:rPr>
        <w:t>11</w:t>
      </w:r>
      <w:r w:rsidR="00C7465E">
        <w:fldChar w:fldCharType="end"/>
      </w:r>
      <w:r>
        <w:t xml:space="preserve">).  The rise in </w:t>
      </w:r>
      <w:r w:rsidR="00D76787">
        <w:t xml:space="preserve">household saving </w:t>
      </w:r>
      <w:r w:rsidR="00F52674">
        <w:t xml:space="preserve">may reflect </w:t>
      </w:r>
      <w:r w:rsidR="00F52674">
        <w:lastRenderedPageBreak/>
        <w:t>households returning to more normal patterns of behaviour.</w:t>
      </w:r>
      <w:r w:rsidR="00D76787" w:rsidRPr="00D76787">
        <w:rPr>
          <w:rStyle w:val="FootnoteReference"/>
          <w:rFonts w:eastAsia="Calibri"/>
        </w:rPr>
        <w:t xml:space="preserve"> </w:t>
      </w:r>
      <w:r w:rsidR="00D76787">
        <w:rPr>
          <w:rStyle w:val="FootnoteReference"/>
          <w:rFonts w:eastAsia="Calibri"/>
        </w:rPr>
        <w:footnoteReference w:id="91"/>
      </w:r>
      <w:r w:rsidRPr="00905FA2">
        <w:t xml:space="preserve"> </w:t>
      </w:r>
      <w:r>
        <w:t xml:space="preserve"> </w:t>
      </w:r>
      <w:r w:rsidRPr="00905FA2">
        <w:t xml:space="preserve">The </w:t>
      </w:r>
      <w:r>
        <w:t xml:space="preserve">unusually </w:t>
      </w:r>
      <w:r w:rsidRPr="00905FA2">
        <w:t>low saving rates and high levels of borrowing duri</w:t>
      </w:r>
      <w:r>
        <w:t>ng the 1990s and early 2000s</w:t>
      </w:r>
      <w:r w:rsidRPr="00905FA2">
        <w:t xml:space="preserve"> </w:t>
      </w:r>
      <w:r>
        <w:t xml:space="preserve">was </w:t>
      </w:r>
      <w:r w:rsidR="00F52674">
        <w:t>likely</w:t>
      </w:r>
      <w:r>
        <w:t xml:space="preserve"> a result of </w:t>
      </w:r>
      <w:r w:rsidRPr="00905FA2">
        <w:t xml:space="preserve">households transitioning to a desired level of debt </w:t>
      </w:r>
      <w:r w:rsidR="00170449">
        <w:t>following</w:t>
      </w:r>
      <w:r w:rsidRPr="00905FA2">
        <w:t xml:space="preserve"> the reforms of the 1980s and 1990s, including financial market deregulation and inflation targeting</w:t>
      </w:r>
      <w:r>
        <w:t xml:space="preserve">.  </w:t>
      </w:r>
    </w:p>
    <w:p w:rsidR="0096393A" w:rsidRDefault="0096393A" w:rsidP="0096393A">
      <w:pPr>
        <w:pStyle w:val="OutlineNumbered1"/>
      </w:pPr>
      <w:r>
        <w:t xml:space="preserve">Another </w:t>
      </w:r>
      <w:r w:rsidR="00D76787">
        <w:t xml:space="preserve">likely </w:t>
      </w:r>
      <w:r>
        <w:t xml:space="preserve">contributor to the fall in household saving was strong asset price growth, particularly housing.  Capital gains reduce the need to save out of current income in order to accumulate wealth, but are not included in the conventional definition of saving.   </w:t>
      </w:r>
    </w:p>
    <w:p w:rsidR="0096393A" w:rsidRDefault="0096393A" w:rsidP="0096393A">
      <w:pPr>
        <w:pStyle w:val="OutlineNumbered1"/>
      </w:pPr>
      <w:r>
        <w:t xml:space="preserve">The increase in household saving following the GFC is also </w:t>
      </w:r>
      <w:r w:rsidR="002D3BBD">
        <w:t>consistent with</w:t>
      </w:r>
      <w:r w:rsidRPr="00905FA2">
        <w:t xml:space="preserve"> </w:t>
      </w:r>
      <w:r>
        <w:t>more cautious consumer behaviour following the global financial crisis.  However, while this caution has increased household saving, it has not led to widespread deleveraging, with the household debt to disposable income ratio only falling marginally since the global financial crisis</w:t>
      </w:r>
      <w:r w:rsidR="0027181A">
        <w:t xml:space="preserve"> — </w:t>
      </w:r>
      <w:r>
        <w:t>fr</w:t>
      </w:r>
      <w:r w:rsidR="00D76787">
        <w:t>om a peak of 152 per cent to 149</w:t>
      </w:r>
      <w:r>
        <w:t xml:space="preserve"> per cent in </w:t>
      </w:r>
      <w:r w:rsidR="00D76787">
        <w:t>December</w:t>
      </w:r>
      <w:r>
        <w:t xml:space="preserve"> 2013.</w:t>
      </w:r>
      <w:r w:rsidR="00E732D3">
        <w:rPr>
          <w:rStyle w:val="FootnoteReference"/>
        </w:rPr>
        <w:footnoteReference w:id="92"/>
      </w:r>
    </w:p>
    <w:p w:rsidR="0096393A" w:rsidRPr="00C7465E" w:rsidRDefault="00C7465E" w:rsidP="00C7465E">
      <w:pPr>
        <w:pStyle w:val="Caption"/>
        <w:keepNext/>
        <w:jc w:val="center"/>
      </w:pPr>
      <w:bookmarkStart w:id="711" w:name="_Ref383720247"/>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11</w:t>
      </w:r>
      <w:r w:rsidR="000A480B">
        <w:rPr>
          <w:noProof/>
        </w:rPr>
        <w:fldChar w:fldCharType="end"/>
      </w:r>
      <w:bookmarkEnd w:id="711"/>
      <w:r>
        <w:t xml:space="preserve">: </w:t>
      </w:r>
      <w:r w:rsidR="0096393A" w:rsidRPr="00C7465E">
        <w:t>Household saving ratio</w:t>
      </w:r>
    </w:p>
    <w:p w:rsidR="0096393A" w:rsidRDefault="0096393A" w:rsidP="0096393A">
      <w:pPr>
        <w:pStyle w:val="ChartGraphic"/>
      </w:pPr>
      <w:r>
        <w:rPr>
          <w:noProof/>
          <w:lang w:val="en-US" w:eastAsia="en-US"/>
        </w:rPr>
        <w:drawing>
          <wp:inline distT="0" distB="0" distL="0" distR="0" wp14:anchorId="3107747E" wp14:editId="060CC28B">
            <wp:extent cx="5580000" cy="2520000"/>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93A" w:rsidRDefault="0096393A" w:rsidP="0096393A">
      <w:pPr>
        <w:rPr>
          <w:sz w:val="20"/>
          <w:szCs w:val="20"/>
        </w:rPr>
      </w:pPr>
      <w:r w:rsidRPr="00807A20">
        <w:rPr>
          <w:sz w:val="20"/>
          <w:szCs w:val="20"/>
        </w:rPr>
        <w:t>Source</w:t>
      </w:r>
      <w:r>
        <w:rPr>
          <w:sz w:val="20"/>
          <w:szCs w:val="20"/>
        </w:rPr>
        <w:t>: ABS cat.</w:t>
      </w:r>
      <w:r w:rsidR="00623276">
        <w:rPr>
          <w:sz w:val="20"/>
          <w:szCs w:val="20"/>
        </w:rPr>
        <w:t xml:space="preserve"> </w:t>
      </w:r>
      <w:r>
        <w:rPr>
          <w:sz w:val="20"/>
          <w:szCs w:val="20"/>
        </w:rPr>
        <w:t>no. 520</w:t>
      </w:r>
      <w:r w:rsidR="00D76787">
        <w:rPr>
          <w:sz w:val="20"/>
          <w:szCs w:val="20"/>
        </w:rPr>
        <w:t>6</w:t>
      </w:r>
      <w:r>
        <w:rPr>
          <w:sz w:val="20"/>
          <w:szCs w:val="20"/>
        </w:rPr>
        <w:t>.</w:t>
      </w:r>
    </w:p>
    <w:p w:rsidR="0096393A" w:rsidRDefault="0096393A" w:rsidP="0096393A">
      <w:pPr>
        <w:pStyle w:val="OutlineNumbered1"/>
      </w:pPr>
      <w:r>
        <w:t xml:space="preserve">Changes in government saving have also impacted on Australia’s national saving rate.  In the early 2000s the government added to national saving at a time when households were detracting from national saving.  In contrast, since the global financial crisis the government has detracted from </w:t>
      </w:r>
      <w:r w:rsidR="00496908">
        <w:t xml:space="preserve">net </w:t>
      </w:r>
      <w:r>
        <w:t xml:space="preserve">national saving.  However, the rise in household saving has more than offset the decline in government saving. </w:t>
      </w:r>
    </w:p>
    <w:p w:rsidR="002F4C2B" w:rsidRDefault="002F4C2B" w:rsidP="002F4C2B">
      <w:pPr>
        <w:pStyle w:val="OutlineNumbered1"/>
        <w:numPr>
          <w:ilvl w:val="0"/>
          <w:numId w:val="0"/>
        </w:numPr>
        <w:ind w:left="567"/>
      </w:pPr>
    </w:p>
    <w:p w:rsidR="0096393A" w:rsidRPr="00B31917" w:rsidRDefault="00170449" w:rsidP="00B31917">
      <w:pPr>
        <w:rPr>
          <w:b/>
          <w:color w:val="000080"/>
          <w:sz w:val="36"/>
        </w:rPr>
      </w:pPr>
      <w:r>
        <w:rPr>
          <w:b/>
          <w:color w:val="000080"/>
          <w:sz w:val="36"/>
        </w:rPr>
        <w:lastRenderedPageBreak/>
        <w:t>Investment returns matter</w:t>
      </w:r>
    </w:p>
    <w:p w:rsidR="0096393A" w:rsidRDefault="0096393A" w:rsidP="0096393A">
      <w:pPr>
        <w:pStyle w:val="OutlineNumbered1"/>
      </w:pPr>
      <w:r>
        <w:t>Concerns surrounding the current deficit are generally focused on two issues:</w:t>
      </w:r>
    </w:p>
    <w:p w:rsidR="0096393A" w:rsidRPr="009A3368" w:rsidRDefault="0096393A" w:rsidP="0096393A">
      <w:pPr>
        <w:pStyle w:val="Bullet"/>
      </w:pPr>
      <w:r>
        <w:t xml:space="preserve">what will </w:t>
      </w:r>
      <w:r w:rsidRPr="009A3368">
        <w:t>occur when the providers of foreign capital  require returns from their investment; and</w:t>
      </w:r>
    </w:p>
    <w:p w:rsidR="0096393A" w:rsidRDefault="0096393A" w:rsidP="0096393A">
      <w:pPr>
        <w:pStyle w:val="Bullet"/>
      </w:pPr>
      <w:r w:rsidRPr="009A3368">
        <w:t>the risk t</w:t>
      </w:r>
      <w:r>
        <w:t xml:space="preserve">hat there will be a sudden stop in offshore funding. </w:t>
      </w:r>
    </w:p>
    <w:p w:rsidR="0096393A" w:rsidRDefault="0096393A" w:rsidP="0096393A">
      <w:pPr>
        <w:pStyle w:val="OutlineNumbered1"/>
      </w:pPr>
      <w:r>
        <w:t>Foreign providers of capital expect to receive a return from their investment in Australia, either in the form of principal and interest repayments for debt financing or dividends and capital gains for equity investments.</w:t>
      </w:r>
    </w:p>
    <w:p w:rsidR="0096393A" w:rsidRDefault="0096393A" w:rsidP="0096393A">
      <w:pPr>
        <w:pStyle w:val="OutlineNumbered1"/>
      </w:pPr>
      <w:r>
        <w:t>For this reason, the quality of the investment funded via the CAD is important.  If the CAD has been used to fund productive investment, then repaying the foreign providers of capital should not be an issue.  If on the other hand, foreign financing has been used to fund unproductive investment, for instance as a result of a government distortion favouring one type of investment over another, the CAD may pose a risk to stability.</w:t>
      </w:r>
    </w:p>
    <w:p w:rsidR="0096393A" w:rsidRDefault="0096393A" w:rsidP="0096393A">
      <w:pPr>
        <w:pStyle w:val="OutlineNumbered1"/>
      </w:pPr>
      <w:r>
        <w:t>The ‘consenting adults’ view of the CAD is premised on the notion that the private sector will allocate capital to its most productive use, taking account of the risks involved.  In the absence of distortions the private sector would be expected to utilise foreign funding to finance productive investment which is capable of generating the returns needed to repay investors.</w:t>
      </w:r>
    </w:p>
    <w:p w:rsidR="0096393A" w:rsidRPr="00B31917" w:rsidRDefault="0096393A" w:rsidP="00B31917">
      <w:pPr>
        <w:rPr>
          <w:b/>
          <w:color w:val="000080"/>
          <w:sz w:val="36"/>
        </w:rPr>
      </w:pPr>
      <w:bookmarkStart w:id="712" w:name="_Toc381951924"/>
      <w:bookmarkStart w:id="713" w:name="_Toc382295345"/>
      <w:bookmarkStart w:id="714" w:name="_Toc382296482"/>
      <w:bookmarkStart w:id="715" w:name="_Toc382312184"/>
      <w:bookmarkStart w:id="716" w:name="_Toc382313765"/>
      <w:bookmarkStart w:id="717" w:name="_Toc382313832"/>
      <w:bookmarkStart w:id="718" w:name="_Toc382316618"/>
      <w:bookmarkStart w:id="719" w:name="_Toc382318625"/>
      <w:bookmarkStart w:id="720" w:name="_Toc382321972"/>
      <w:bookmarkStart w:id="721" w:name="_Toc382496735"/>
      <w:bookmarkStart w:id="722" w:name="_Toc383082025"/>
      <w:bookmarkStart w:id="723" w:name="_Toc383531538"/>
      <w:bookmarkStart w:id="724" w:name="_Toc383703325"/>
      <w:bookmarkStart w:id="725" w:name="_Toc383704209"/>
      <w:r w:rsidRPr="00B31917">
        <w:rPr>
          <w:b/>
          <w:color w:val="000080"/>
          <w:sz w:val="36"/>
        </w:rPr>
        <w:t xml:space="preserve">Investment in Australia has increased Australia’s </w:t>
      </w:r>
      <w:bookmarkEnd w:id="712"/>
      <w:bookmarkEnd w:id="713"/>
      <w:bookmarkEnd w:id="714"/>
      <w:bookmarkEnd w:id="715"/>
      <w:bookmarkEnd w:id="716"/>
      <w:bookmarkEnd w:id="717"/>
      <w:bookmarkEnd w:id="718"/>
      <w:r w:rsidRPr="00B31917">
        <w:rPr>
          <w:b/>
          <w:color w:val="000080"/>
          <w:sz w:val="36"/>
        </w:rPr>
        <w:t>productive capacity</w:t>
      </w:r>
      <w:bookmarkEnd w:id="719"/>
      <w:bookmarkEnd w:id="720"/>
      <w:bookmarkEnd w:id="721"/>
      <w:bookmarkEnd w:id="722"/>
      <w:bookmarkEnd w:id="723"/>
      <w:bookmarkEnd w:id="724"/>
      <w:bookmarkEnd w:id="725"/>
    </w:p>
    <w:p w:rsidR="0096393A" w:rsidRDefault="0096393A" w:rsidP="0096393A">
      <w:pPr>
        <w:pStyle w:val="OutlineNumbered1"/>
      </w:pPr>
      <w:r>
        <w:t>The main contributor to rising national investment since 2004</w:t>
      </w:r>
      <w:r>
        <w:noBreakHyphen/>
        <w:t>05 has been mining investment, which surged in response to high commodity prices arising from strong demand from China and o</w:t>
      </w:r>
      <w:r w:rsidR="00C7465E">
        <w:t xml:space="preserve">ther emerging economies (see </w:t>
      </w:r>
      <w:r w:rsidR="00C7465E">
        <w:fldChar w:fldCharType="begin"/>
      </w:r>
      <w:r w:rsidR="00C7465E">
        <w:instrText xml:space="preserve"> REF _Ref383720324 \h </w:instrText>
      </w:r>
      <w:r w:rsidR="00C7465E">
        <w:fldChar w:fldCharType="separate"/>
      </w:r>
      <w:r w:rsidR="0050148E">
        <w:t xml:space="preserve">Chart </w:t>
      </w:r>
      <w:r w:rsidR="0050148E">
        <w:rPr>
          <w:noProof/>
        </w:rPr>
        <w:t>12</w:t>
      </w:r>
      <w:r w:rsidR="00C7465E">
        <w:fldChar w:fldCharType="end"/>
      </w:r>
      <w:r>
        <w:t xml:space="preserve">).   </w:t>
      </w:r>
    </w:p>
    <w:p w:rsidR="0096393A" w:rsidRDefault="0096393A" w:rsidP="0096393A">
      <w:pPr>
        <w:pStyle w:val="OutlineNumbered1"/>
      </w:pPr>
      <w:r>
        <w:t xml:space="preserve">This investment will expand the nation’s capital stock, boosting Australia’s productive capacity and GDP.  </w:t>
      </w:r>
      <w:r w:rsidR="00F41724">
        <w:t>T</w:t>
      </w:r>
      <w:r>
        <w:t>he large investment in mining that occurred over the 2000s is expected to result in a significant increase in exports.  Thus, investment in Australia has primarily been directed towards a productive use.  Provided the returns on investment exceed the cost of capital, including the cost of servicing any foreign borrowing, this investment will raise future national income.</w:t>
      </w:r>
    </w:p>
    <w:p w:rsidR="0096393A" w:rsidRDefault="0096393A" w:rsidP="0096393A">
      <w:pPr>
        <w:pStyle w:val="OutlineNumbered1"/>
      </w:pPr>
      <w:r>
        <w:t xml:space="preserve">Dwelling investment (which includes dwelling construction and alterations and additions) has remained relatively constant at around 5 per cent of GDP over the past </w:t>
      </w:r>
      <w:r>
        <w:lastRenderedPageBreak/>
        <w:t>30 years.  As such, changes in the CAD have generally not been driven by changes in dwelling investment.</w:t>
      </w:r>
    </w:p>
    <w:p w:rsidR="0096393A" w:rsidRPr="00C7465E" w:rsidRDefault="00C7465E" w:rsidP="00C7465E">
      <w:pPr>
        <w:pStyle w:val="Caption"/>
        <w:keepNext/>
        <w:jc w:val="center"/>
      </w:pPr>
      <w:bookmarkStart w:id="726" w:name="_Ref383720324"/>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12</w:t>
      </w:r>
      <w:r w:rsidR="000A480B">
        <w:rPr>
          <w:noProof/>
        </w:rPr>
        <w:fldChar w:fldCharType="end"/>
      </w:r>
      <w:bookmarkEnd w:id="726"/>
      <w:r>
        <w:t xml:space="preserve">: </w:t>
      </w:r>
      <w:r w:rsidR="0096393A" w:rsidRPr="00C7465E">
        <w:t>Composition of gross investment</w:t>
      </w:r>
    </w:p>
    <w:p w:rsidR="0096393A" w:rsidRDefault="001C7238" w:rsidP="0096393A">
      <w:pPr>
        <w:pStyle w:val="ChartGraphic"/>
      </w:pPr>
      <w:r>
        <w:rPr>
          <w:noProof/>
          <w:lang w:val="en-US" w:eastAsia="en-US"/>
        </w:rPr>
        <w:drawing>
          <wp:inline distT="0" distB="0" distL="0" distR="0" wp14:anchorId="0784F1FB" wp14:editId="1243EA7A">
            <wp:extent cx="5539659" cy="2520000"/>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393A" w:rsidRPr="00964FC0" w:rsidRDefault="0096393A" w:rsidP="0096393A">
      <w:pPr>
        <w:rPr>
          <w:sz w:val="20"/>
          <w:szCs w:val="20"/>
          <w:lang w:eastAsia="en-AU"/>
        </w:rPr>
      </w:pPr>
      <w:r w:rsidRPr="00964FC0">
        <w:rPr>
          <w:sz w:val="20"/>
          <w:szCs w:val="20"/>
          <w:lang w:eastAsia="en-AU"/>
        </w:rPr>
        <w:t>Source: ABS cat.</w:t>
      </w:r>
      <w:r w:rsidR="00623276">
        <w:rPr>
          <w:sz w:val="20"/>
          <w:szCs w:val="20"/>
          <w:lang w:eastAsia="en-AU"/>
        </w:rPr>
        <w:t xml:space="preserve"> </w:t>
      </w:r>
      <w:r w:rsidRPr="00964FC0">
        <w:rPr>
          <w:sz w:val="20"/>
          <w:szCs w:val="20"/>
          <w:lang w:eastAsia="en-AU"/>
        </w:rPr>
        <w:t>no. 5204.</w:t>
      </w:r>
    </w:p>
    <w:p w:rsidR="0096393A" w:rsidRPr="00B31917" w:rsidRDefault="0096393A" w:rsidP="00B31917">
      <w:pPr>
        <w:rPr>
          <w:b/>
          <w:color w:val="000080"/>
          <w:sz w:val="36"/>
        </w:rPr>
      </w:pPr>
      <w:bookmarkStart w:id="727" w:name="_Toc381951925"/>
      <w:bookmarkStart w:id="728" w:name="_Toc382295346"/>
      <w:bookmarkStart w:id="729" w:name="_Toc382296483"/>
      <w:bookmarkStart w:id="730" w:name="_Toc382312185"/>
      <w:bookmarkStart w:id="731" w:name="_Toc382313766"/>
      <w:bookmarkStart w:id="732" w:name="_Toc382313833"/>
      <w:bookmarkStart w:id="733" w:name="_Toc382316619"/>
      <w:bookmarkStart w:id="734" w:name="_Toc382318626"/>
      <w:bookmarkStart w:id="735" w:name="_Toc382321973"/>
      <w:bookmarkStart w:id="736" w:name="_Toc382496736"/>
      <w:bookmarkStart w:id="737" w:name="_Toc383082026"/>
      <w:bookmarkStart w:id="738" w:name="_Toc383531539"/>
      <w:bookmarkStart w:id="739" w:name="_Toc383703326"/>
      <w:bookmarkStart w:id="740" w:name="_Toc383704210"/>
      <w:r w:rsidRPr="00B31917">
        <w:rPr>
          <w:b/>
          <w:color w:val="000080"/>
          <w:sz w:val="36"/>
        </w:rPr>
        <w:t>Fear of a sudden stop</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96393A" w:rsidRDefault="0096393A" w:rsidP="0096393A">
      <w:pPr>
        <w:pStyle w:val="OutlineNumbered1"/>
      </w:pPr>
      <w:r>
        <w:t xml:space="preserve">The other common concern regarding current account deficits is the fear of adjustment should the supply of foreign capital suddenly stop.  However, most of these concerns appear to be more relevant to a country operating with a fixed exchange rate rather than countries with a floating exchange rate, such as Australia. </w:t>
      </w:r>
    </w:p>
    <w:p w:rsidR="0096393A" w:rsidRDefault="0096393A" w:rsidP="0096393A">
      <w:pPr>
        <w:pStyle w:val="OutlineNumbered1"/>
      </w:pPr>
      <w:r>
        <w:t>From a national accounting perspective, capital inflows are equal to the current account deficit plus the accumulation of foreign reserves.</w:t>
      </w:r>
      <w:r>
        <w:rPr>
          <w:rStyle w:val="FootnoteReference"/>
          <w:rFonts w:eastAsia="Calibri"/>
        </w:rPr>
        <w:footnoteReference w:id="93"/>
      </w:r>
      <w:r>
        <w:t xml:space="preserve">  With a fixed exchange rate, a sudden stop or reversal of capital inflows will require either a fall in the current account deficit or a fall in foreign reserves.  In the absence of a large pool of foreign reserves, the current account adjustment would be facilitated through a fall in domestic demand in order to move the trade balance to surplus, which could result in a recession. </w:t>
      </w:r>
    </w:p>
    <w:p w:rsidR="0096393A" w:rsidRDefault="0096393A" w:rsidP="0096393A">
      <w:pPr>
        <w:pStyle w:val="OutlineNumbered1"/>
      </w:pPr>
      <w:r>
        <w:t>However, this scenario is unlikely to unfold in a country with a floating exchange rate.  Instead the main mechanism of adjustment would be a depreciation in the exchange rate, rather than a sudden change in the current account position.  Although there would be a fall in real wealth and income, this would not necessa</w:t>
      </w:r>
      <w:r w:rsidR="007A7EDE">
        <w:t>rily lead to a recession.</w:t>
      </w:r>
    </w:p>
    <w:p w:rsidR="007A7EDE" w:rsidRDefault="0096393A" w:rsidP="0096393A">
      <w:pPr>
        <w:pStyle w:val="OutlineNumbered1"/>
      </w:pPr>
      <w:r>
        <w:lastRenderedPageBreak/>
        <w:t>For instance, if foreign investors suddenly reduced their demand for investment in Australia, the Australian dollar would depreciate to the point where investors were once again comfortable with their Australian allocation in their overall portfolio</w:t>
      </w:r>
      <w:r w:rsidR="00872478">
        <w:t>.</w:t>
      </w:r>
      <w:r>
        <w:rPr>
          <w:rStyle w:val="FootnoteReference"/>
          <w:rFonts w:eastAsia="Calibri"/>
        </w:rPr>
        <w:footnoteReference w:id="94"/>
      </w:r>
      <w:r>
        <w:t xml:space="preserve">  </w:t>
      </w:r>
      <w:r w:rsidR="007A7EDE">
        <w:t xml:space="preserve">However this assumes the foreign capital markets are continuing to function and Australian institutions are able to issue into them, </w:t>
      </w:r>
      <w:r w:rsidR="00D50D86">
        <w:t xml:space="preserve">an assumption that was tested through the dislocation of the global credit markets </w:t>
      </w:r>
      <w:r w:rsidR="007E4DA5">
        <w:t>during</w:t>
      </w:r>
      <w:r w:rsidR="00D50D86">
        <w:t xml:space="preserve"> the financial crisis.</w:t>
      </w:r>
    </w:p>
    <w:p w:rsidR="0096393A" w:rsidRDefault="0096393A" w:rsidP="0096393A">
      <w:pPr>
        <w:pStyle w:val="OutlineNumbered1"/>
      </w:pPr>
      <w:r>
        <w:t>Australia’s strong institutions</w:t>
      </w:r>
      <w:r w:rsidR="0027181A">
        <w:t xml:space="preserve"> — </w:t>
      </w:r>
      <w:r w:rsidR="00F41724">
        <w:t>including</w:t>
      </w:r>
      <w:r>
        <w:t xml:space="preserve">, the Commonwealth’s strong balance sheet, </w:t>
      </w:r>
      <w:r w:rsidR="00F41724">
        <w:t xml:space="preserve">the </w:t>
      </w:r>
      <w:r>
        <w:t>sound financial system, the floating exchange rate and a credible inflation targeting regime</w:t>
      </w:r>
      <w:r w:rsidR="0027181A">
        <w:t xml:space="preserve"> — </w:t>
      </w:r>
      <w:r>
        <w:t xml:space="preserve">have enabled the Australian economy to weather quite substantial changes in capital flows without a financial crisis.  </w:t>
      </w:r>
    </w:p>
    <w:p w:rsidR="0096393A" w:rsidRDefault="0096393A" w:rsidP="0096393A">
      <w:pPr>
        <w:pStyle w:val="OutlineNumbered1"/>
      </w:pPr>
      <w:r>
        <w:t>The global financial crisis provides a good example of a situation where a sharp depreciation in the Australian dollar shielded the domestic economy from an external shock</w:t>
      </w:r>
      <w:r w:rsidR="00AA6D7D">
        <w:t xml:space="preserve"> (</w:t>
      </w:r>
      <w:r w:rsidR="00AA6D7D">
        <w:fldChar w:fldCharType="begin"/>
      </w:r>
      <w:r w:rsidR="00AA6D7D">
        <w:instrText xml:space="preserve"> REF _Ref383776850 \h </w:instrText>
      </w:r>
      <w:r w:rsidR="00AA6D7D">
        <w:fldChar w:fldCharType="separate"/>
      </w:r>
      <w:r w:rsidR="0050148E">
        <w:t xml:space="preserve">Chart </w:t>
      </w:r>
      <w:r w:rsidR="0050148E">
        <w:rPr>
          <w:noProof/>
        </w:rPr>
        <w:t>13</w:t>
      </w:r>
      <w:r w:rsidR="00AA6D7D">
        <w:fldChar w:fldCharType="end"/>
      </w:r>
      <w:r w:rsidR="00AA6D7D">
        <w:t>)</w:t>
      </w:r>
      <w:r>
        <w:t xml:space="preserve">.  Rather than being seen as a sign of distress, the fall in the Australian dollar assisted the economy during this turbulent period. </w:t>
      </w:r>
    </w:p>
    <w:p w:rsidR="0096393A" w:rsidRPr="00C7465E" w:rsidRDefault="00C7465E" w:rsidP="00C7465E">
      <w:pPr>
        <w:pStyle w:val="Caption"/>
        <w:keepNext/>
        <w:jc w:val="center"/>
      </w:pPr>
      <w:bookmarkStart w:id="741" w:name="_Ref383776850"/>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13</w:t>
      </w:r>
      <w:r w:rsidR="000A480B">
        <w:rPr>
          <w:noProof/>
        </w:rPr>
        <w:fldChar w:fldCharType="end"/>
      </w:r>
      <w:bookmarkEnd w:id="741"/>
      <w:r>
        <w:t xml:space="preserve">: </w:t>
      </w:r>
      <w:r w:rsidR="0096393A" w:rsidRPr="00C7465E">
        <w:t>Australian dollar</w:t>
      </w:r>
    </w:p>
    <w:p w:rsidR="0096393A" w:rsidRDefault="004F28FB" w:rsidP="0096393A">
      <w:pPr>
        <w:pStyle w:val="ChartGraphic"/>
      </w:pPr>
      <w:r>
        <w:rPr>
          <w:noProof/>
          <w:lang w:val="en-US" w:eastAsia="en-US"/>
        </w:rPr>
        <w:drawing>
          <wp:inline distT="0" distB="0" distL="0" distR="0" wp14:anchorId="2C447AE2" wp14:editId="5A2B0AD7">
            <wp:extent cx="5580000" cy="2520000"/>
            <wp:effectExtent l="0" t="0" r="190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393A" w:rsidRPr="00F5332B" w:rsidRDefault="0096393A" w:rsidP="0096393A">
      <w:pPr>
        <w:rPr>
          <w:sz w:val="20"/>
          <w:szCs w:val="20"/>
          <w:lang w:eastAsia="en-AU"/>
        </w:rPr>
      </w:pPr>
      <w:r w:rsidRPr="00F5332B">
        <w:rPr>
          <w:sz w:val="20"/>
          <w:szCs w:val="20"/>
          <w:lang w:eastAsia="en-AU"/>
        </w:rPr>
        <w:t>Source: RBA</w:t>
      </w:r>
      <w:r w:rsidR="001C6C3A">
        <w:rPr>
          <w:sz w:val="20"/>
          <w:szCs w:val="20"/>
          <w:lang w:eastAsia="en-AU"/>
        </w:rPr>
        <w:t xml:space="preserve"> Statistics F.11</w:t>
      </w:r>
      <w:r w:rsidRPr="00F5332B">
        <w:rPr>
          <w:sz w:val="20"/>
          <w:szCs w:val="20"/>
          <w:lang w:eastAsia="en-AU"/>
        </w:rPr>
        <w:t>.</w:t>
      </w:r>
    </w:p>
    <w:p w:rsidR="0096393A" w:rsidRPr="00B31917" w:rsidRDefault="0096393A" w:rsidP="00B31917">
      <w:pPr>
        <w:rPr>
          <w:b/>
          <w:color w:val="000080"/>
          <w:sz w:val="36"/>
        </w:rPr>
      </w:pPr>
      <w:bookmarkStart w:id="742" w:name="_Toc381951926"/>
      <w:bookmarkStart w:id="743" w:name="_Toc382295347"/>
      <w:bookmarkStart w:id="744" w:name="_Toc382296484"/>
      <w:bookmarkStart w:id="745" w:name="_Toc382312186"/>
      <w:bookmarkStart w:id="746" w:name="_Toc382313767"/>
      <w:bookmarkStart w:id="747" w:name="_Toc382313834"/>
      <w:bookmarkStart w:id="748" w:name="_Toc382316620"/>
      <w:bookmarkStart w:id="749" w:name="_Toc382318627"/>
      <w:bookmarkStart w:id="750" w:name="_Toc382321974"/>
      <w:bookmarkStart w:id="751" w:name="_Toc382496737"/>
      <w:bookmarkStart w:id="752" w:name="_Toc383082027"/>
      <w:bookmarkStart w:id="753" w:name="_Toc383531540"/>
      <w:bookmarkStart w:id="754" w:name="_Toc383703327"/>
      <w:bookmarkStart w:id="755" w:name="_Toc383704211"/>
      <w:r w:rsidRPr="00B31917">
        <w:rPr>
          <w:b/>
          <w:color w:val="000080"/>
          <w:sz w:val="36"/>
        </w:rPr>
        <w:t>Offshore funding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rsidR="0096393A" w:rsidRDefault="0096393A" w:rsidP="0096393A">
      <w:pPr>
        <w:pStyle w:val="OutlineNumbered1"/>
      </w:pPr>
      <w:r>
        <w:t>The extent to which the banking sector utilises offshore funding is often cited as a risk for the Australian financial system.</w:t>
      </w:r>
      <w:r>
        <w:rPr>
          <w:rStyle w:val="FootnoteReference"/>
          <w:rFonts w:eastAsia="Calibri"/>
        </w:rPr>
        <w:footnoteReference w:id="95"/>
      </w:r>
      <w:r>
        <w:t xml:space="preserve">  However, while there can be risks associated with accessing any source of funds, there are a number of factors that mitigate the risks of offshore foreign currency funding. </w:t>
      </w:r>
    </w:p>
    <w:p w:rsidR="0096393A" w:rsidRDefault="0096393A" w:rsidP="0096393A">
      <w:pPr>
        <w:pStyle w:val="OutlineNumbered1"/>
      </w:pPr>
      <w:r>
        <w:lastRenderedPageBreak/>
        <w:t>Although offshore funding typically involves taking on a foreign currency denominated liability to fund Australian dollar lending, this risk is largely mitigated by hedging.  Indeed, even though the Australian banking system had a net foreign currency liability position equivalent to 7 per cent of their total assets before hedging in 2013, after hedging banks actually had a small net foreign cu</w:t>
      </w:r>
      <w:r w:rsidR="00C7465E">
        <w:t xml:space="preserve">rrency asset position (see </w:t>
      </w:r>
      <w:r w:rsidR="00C7465E">
        <w:fldChar w:fldCharType="begin"/>
      </w:r>
      <w:r w:rsidR="00C7465E">
        <w:instrText xml:space="preserve"> REF _Ref383720533 \h </w:instrText>
      </w:r>
      <w:r w:rsidR="00C7465E">
        <w:fldChar w:fldCharType="separate"/>
      </w:r>
      <w:r w:rsidR="0050148E">
        <w:t xml:space="preserve">Chart </w:t>
      </w:r>
      <w:r w:rsidR="0050148E">
        <w:rPr>
          <w:noProof/>
        </w:rPr>
        <w:t>14</w:t>
      </w:r>
      <w:r w:rsidR="00C7465E">
        <w:fldChar w:fldCharType="end"/>
      </w:r>
      <w:r>
        <w:t>).</w:t>
      </w:r>
      <w:r>
        <w:rPr>
          <w:rStyle w:val="FootnoteReference"/>
          <w:rFonts w:eastAsia="Calibri"/>
        </w:rPr>
        <w:footnoteReference w:id="96"/>
      </w:r>
      <w:r>
        <w:t xml:space="preserve">  </w:t>
      </w:r>
    </w:p>
    <w:p w:rsidR="0096393A" w:rsidRDefault="0096393A" w:rsidP="0096393A">
      <w:pPr>
        <w:pStyle w:val="OutlineNumbered1"/>
      </w:pPr>
      <w:r>
        <w:t xml:space="preserve">The fact that Australia’s foreign currency assets exceed the value of its foreign currency liabilities means that a fall in the exchange rate actually improves the overall net asset position. </w:t>
      </w:r>
    </w:p>
    <w:p w:rsidR="0096393A" w:rsidRPr="00C7465E" w:rsidRDefault="00C7465E" w:rsidP="00C7465E">
      <w:pPr>
        <w:pStyle w:val="Caption"/>
        <w:keepNext/>
        <w:jc w:val="center"/>
      </w:pPr>
      <w:bookmarkStart w:id="756" w:name="_Ref383720533"/>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14</w:t>
      </w:r>
      <w:r w:rsidR="000A480B">
        <w:rPr>
          <w:noProof/>
        </w:rPr>
        <w:fldChar w:fldCharType="end"/>
      </w:r>
      <w:bookmarkEnd w:id="756"/>
      <w:r>
        <w:t xml:space="preserve">: </w:t>
      </w:r>
      <w:r w:rsidR="0096393A" w:rsidRPr="00C7465E">
        <w:t>Foreign currency exposure</w:t>
      </w:r>
    </w:p>
    <w:tbl>
      <w:tblPr>
        <w:tblW w:w="0" w:type="auto"/>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37"/>
        <w:gridCol w:w="4338"/>
      </w:tblGrid>
      <w:tr w:rsidR="0096393A" w:rsidRPr="00A3493C" w:rsidTr="0096393A">
        <w:tc>
          <w:tcPr>
            <w:tcW w:w="4337" w:type="dxa"/>
          </w:tcPr>
          <w:p w:rsidR="0096393A" w:rsidRPr="00A3493C" w:rsidRDefault="0096393A" w:rsidP="0096393A">
            <w:pPr>
              <w:pStyle w:val="OutlineNumbered1"/>
              <w:keepNext/>
              <w:numPr>
                <w:ilvl w:val="0"/>
                <w:numId w:val="0"/>
              </w:numPr>
              <w:spacing w:after="0"/>
              <w:jc w:val="center"/>
              <w:rPr>
                <w:b/>
                <w:sz w:val="22"/>
                <w:szCs w:val="22"/>
              </w:rPr>
            </w:pPr>
            <w:r w:rsidRPr="00A3493C">
              <w:rPr>
                <w:b/>
                <w:sz w:val="22"/>
                <w:szCs w:val="22"/>
              </w:rPr>
              <w:t>Gross foreign currency exposure by sector</w:t>
            </w:r>
          </w:p>
          <w:p w:rsidR="0096393A" w:rsidRPr="00A3493C" w:rsidRDefault="0096393A" w:rsidP="0096393A">
            <w:pPr>
              <w:keepNext/>
              <w:spacing w:after="0" w:line="240" w:lineRule="auto"/>
              <w:jc w:val="center"/>
              <w:rPr>
                <w:rFonts w:eastAsia="Times New Roman"/>
                <w:szCs w:val="20"/>
                <w:lang w:eastAsia="en-AU"/>
              </w:rPr>
            </w:pPr>
            <w:r w:rsidRPr="00A3493C">
              <w:rPr>
                <w:rFonts w:eastAsia="Times New Roman"/>
                <w:sz w:val="22"/>
                <w:lang w:eastAsia="en-AU"/>
              </w:rPr>
              <w:t>Per cent of GDP</w:t>
            </w:r>
          </w:p>
        </w:tc>
        <w:tc>
          <w:tcPr>
            <w:tcW w:w="4338" w:type="dxa"/>
          </w:tcPr>
          <w:p w:rsidR="0096393A" w:rsidRPr="00A3493C" w:rsidRDefault="0096393A" w:rsidP="0096393A">
            <w:pPr>
              <w:keepNext/>
              <w:spacing w:after="0" w:line="240" w:lineRule="auto"/>
              <w:jc w:val="center"/>
              <w:rPr>
                <w:rFonts w:eastAsia="Times New Roman"/>
                <w:b/>
                <w:sz w:val="22"/>
                <w:lang w:eastAsia="en-AU"/>
              </w:rPr>
            </w:pPr>
            <w:r w:rsidRPr="00A3493C">
              <w:rPr>
                <w:rFonts w:eastAsia="Times New Roman"/>
                <w:b/>
                <w:sz w:val="22"/>
                <w:lang w:eastAsia="en-AU"/>
              </w:rPr>
              <w:t>Net foreign currency exposure by sector</w:t>
            </w:r>
          </w:p>
          <w:p w:rsidR="0096393A" w:rsidRPr="00A3493C" w:rsidRDefault="0096393A" w:rsidP="0096393A">
            <w:pPr>
              <w:keepNext/>
              <w:spacing w:after="0" w:line="240" w:lineRule="auto"/>
              <w:jc w:val="center"/>
              <w:rPr>
                <w:rFonts w:eastAsia="Times New Roman"/>
                <w:szCs w:val="20"/>
                <w:lang w:eastAsia="en-AU"/>
              </w:rPr>
            </w:pPr>
            <w:r w:rsidRPr="00A3493C">
              <w:rPr>
                <w:rFonts w:eastAsia="Times New Roman"/>
                <w:sz w:val="22"/>
                <w:lang w:eastAsia="en-AU"/>
              </w:rPr>
              <w:t>Per cent of GDP</w:t>
            </w:r>
          </w:p>
        </w:tc>
      </w:tr>
      <w:tr w:rsidR="0096393A" w:rsidRPr="00A3493C" w:rsidTr="0096393A">
        <w:tc>
          <w:tcPr>
            <w:tcW w:w="4337" w:type="dxa"/>
          </w:tcPr>
          <w:p w:rsidR="0096393A" w:rsidRPr="00A3493C" w:rsidRDefault="0096393A" w:rsidP="0096393A">
            <w:pPr>
              <w:spacing w:after="0" w:line="240" w:lineRule="auto"/>
              <w:rPr>
                <w:rFonts w:eastAsia="Times New Roman"/>
                <w:szCs w:val="20"/>
                <w:lang w:eastAsia="en-AU"/>
              </w:rPr>
            </w:pPr>
            <w:r w:rsidRPr="00070E21">
              <w:rPr>
                <w:rFonts w:eastAsia="Times New Roman"/>
                <w:noProof/>
                <w:lang w:val="en-US"/>
              </w:rPr>
              <w:drawing>
                <wp:inline distT="0" distB="0" distL="0" distR="0" wp14:anchorId="0A36DDA8" wp14:editId="75E232A5">
                  <wp:extent cx="2651587"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587" cy="3371850"/>
                          </a:xfrm>
                          <a:prstGeom prst="rect">
                            <a:avLst/>
                          </a:prstGeom>
                          <a:noFill/>
                          <a:ln>
                            <a:noFill/>
                          </a:ln>
                        </pic:spPr>
                      </pic:pic>
                    </a:graphicData>
                  </a:graphic>
                </wp:inline>
              </w:drawing>
            </w:r>
          </w:p>
        </w:tc>
        <w:tc>
          <w:tcPr>
            <w:tcW w:w="4338" w:type="dxa"/>
          </w:tcPr>
          <w:p w:rsidR="0096393A" w:rsidRPr="00A3493C" w:rsidRDefault="0096393A" w:rsidP="0096393A">
            <w:pPr>
              <w:spacing w:after="0" w:line="240" w:lineRule="auto"/>
              <w:rPr>
                <w:rFonts w:eastAsia="Times New Roman"/>
                <w:szCs w:val="20"/>
                <w:lang w:eastAsia="en-AU"/>
              </w:rPr>
            </w:pPr>
            <w:r w:rsidRPr="00070E21">
              <w:rPr>
                <w:rFonts w:eastAsia="Times New Roman"/>
                <w:noProof/>
                <w:lang w:val="en-US"/>
              </w:rPr>
              <w:drawing>
                <wp:inline distT="0" distB="0" distL="0" distR="0" wp14:anchorId="01BDE220" wp14:editId="6C98949A">
                  <wp:extent cx="2630268"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268" cy="3352800"/>
                          </a:xfrm>
                          <a:prstGeom prst="rect">
                            <a:avLst/>
                          </a:prstGeom>
                          <a:noFill/>
                          <a:ln>
                            <a:noFill/>
                          </a:ln>
                        </pic:spPr>
                      </pic:pic>
                    </a:graphicData>
                  </a:graphic>
                </wp:inline>
              </w:drawing>
            </w:r>
          </w:p>
        </w:tc>
      </w:tr>
    </w:tbl>
    <w:p w:rsidR="0096393A" w:rsidRPr="00070E21" w:rsidRDefault="0096393A" w:rsidP="0096393A">
      <w:pPr>
        <w:pStyle w:val="OutlineNumbered1"/>
        <w:numPr>
          <w:ilvl w:val="0"/>
          <w:numId w:val="0"/>
        </w:numPr>
        <w:ind w:left="567"/>
        <w:rPr>
          <w:sz w:val="20"/>
        </w:rPr>
      </w:pPr>
      <w:r w:rsidRPr="00070E21">
        <w:rPr>
          <w:sz w:val="20"/>
        </w:rPr>
        <w:t xml:space="preserve">Source: ABS </w:t>
      </w:r>
      <w:r w:rsidR="00623276">
        <w:rPr>
          <w:sz w:val="20"/>
        </w:rPr>
        <w:t xml:space="preserve">cat. no. </w:t>
      </w:r>
      <w:r w:rsidRPr="00070E21">
        <w:rPr>
          <w:sz w:val="20"/>
        </w:rPr>
        <w:t>5302.</w:t>
      </w:r>
    </w:p>
    <w:p w:rsidR="0096393A" w:rsidRDefault="0096393A" w:rsidP="0096393A">
      <w:pPr>
        <w:pStyle w:val="OutlineNumbered1"/>
      </w:pPr>
      <w:r>
        <w:t xml:space="preserve">Despite borrowing in foreign currency, as a result of this hedging Australian banks effectively borrow in Australian dollars, meaning there is no currency mismatch between their assets and liabilities.  </w:t>
      </w:r>
    </w:p>
    <w:p w:rsidR="0096393A" w:rsidRDefault="0096393A" w:rsidP="0096393A">
      <w:pPr>
        <w:pStyle w:val="OutlineNumbered1"/>
      </w:pPr>
      <w:r>
        <w:t xml:space="preserve">As such, in the event of a liquidity crisis, Australian banks would not be in a position where they have to roll over a funding position in which they cannot access central bank liquidity, as the Reserve Bank can provide Australian dollar liquidity.  This is in </w:t>
      </w:r>
      <w:r>
        <w:lastRenderedPageBreak/>
        <w:t>contrast to many banks in the euro area during the global financial crisis, which had to meet US dollar liabilities with support from the European Central Bank.</w:t>
      </w:r>
      <w:r>
        <w:rPr>
          <w:rStyle w:val="FootnoteReference"/>
          <w:rFonts w:eastAsia="Calibri"/>
        </w:rPr>
        <w:footnoteReference w:id="97"/>
      </w:r>
    </w:p>
    <w:p w:rsidR="0096393A" w:rsidRDefault="0096393A" w:rsidP="0096393A">
      <w:pPr>
        <w:pStyle w:val="OutlineNumbered1"/>
      </w:pPr>
      <w:r>
        <w:t xml:space="preserve">Further, when considering the risks associated with offshore funding it is important to consider the composition and tenor of the funding.  For instance, </w:t>
      </w:r>
      <w:r w:rsidRPr="00F56CE4">
        <w:t>a 5-year medium term note placed offshore</w:t>
      </w:r>
      <w:r>
        <w:t xml:space="preserve"> has less rollover risk than a domestic 90-day bank bill</w:t>
      </w:r>
      <w:r w:rsidRPr="00F56CE4">
        <w:t>.</w:t>
      </w:r>
      <w:r>
        <w:t xml:space="preserve">  </w:t>
      </w:r>
    </w:p>
    <w:p w:rsidR="0096393A" w:rsidRDefault="0096393A" w:rsidP="0096393A">
      <w:pPr>
        <w:pStyle w:val="OutlineNumbered1"/>
      </w:pPr>
      <w:r>
        <w:t>Following the global financial crisis, Australia’s use of long-term debt with a maturity greater than 5 years rose, primarily at the expense of short</w:t>
      </w:r>
      <w:r w:rsidR="00C7465E">
        <w:t xml:space="preserve"> term wholesale funding (see </w:t>
      </w:r>
      <w:r w:rsidR="00C7465E">
        <w:fldChar w:fldCharType="begin"/>
      </w:r>
      <w:r w:rsidR="00C7465E">
        <w:instrText xml:space="preserve"> REF _Ref383720608 \h </w:instrText>
      </w:r>
      <w:r w:rsidR="00C7465E">
        <w:fldChar w:fldCharType="separate"/>
      </w:r>
      <w:r w:rsidR="0050148E">
        <w:t xml:space="preserve">Chart </w:t>
      </w:r>
      <w:r w:rsidR="0050148E">
        <w:rPr>
          <w:noProof/>
        </w:rPr>
        <w:t>15</w:t>
      </w:r>
      <w:r w:rsidR="00C7465E">
        <w:fldChar w:fldCharType="end"/>
      </w:r>
      <w:r>
        <w:t xml:space="preserve">).  This has occurred in response to pressure from regulators and markets as disruptions to global financial markets made rolling over short term foreign debt difficult during the global financial crisis.  </w:t>
      </w:r>
    </w:p>
    <w:p w:rsidR="0096393A" w:rsidRPr="00C7465E" w:rsidRDefault="00C7465E" w:rsidP="00C7465E">
      <w:pPr>
        <w:pStyle w:val="Caption"/>
        <w:keepNext/>
        <w:jc w:val="center"/>
      </w:pPr>
      <w:bookmarkStart w:id="757" w:name="_Ref383720608"/>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15</w:t>
      </w:r>
      <w:r w:rsidR="000A480B">
        <w:rPr>
          <w:noProof/>
        </w:rPr>
        <w:fldChar w:fldCharType="end"/>
      </w:r>
      <w:bookmarkEnd w:id="757"/>
      <w:r>
        <w:t xml:space="preserve">: </w:t>
      </w:r>
      <w:r w:rsidR="0096393A" w:rsidRPr="00C7465E">
        <w:t>Maturity of Australia’s foreign debt</w:t>
      </w:r>
    </w:p>
    <w:p w:rsidR="0096393A" w:rsidRDefault="0096393A" w:rsidP="0096393A">
      <w:pPr>
        <w:pStyle w:val="ChartGraphic"/>
      </w:pPr>
      <w:r>
        <w:rPr>
          <w:noProof/>
          <w:lang w:val="en-US" w:eastAsia="en-US"/>
        </w:rPr>
        <w:drawing>
          <wp:inline distT="0" distB="0" distL="0" distR="0" wp14:anchorId="3489D3E1" wp14:editId="269239C7">
            <wp:extent cx="5608955" cy="2993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955" cy="2993390"/>
                    </a:xfrm>
                    <a:prstGeom prst="rect">
                      <a:avLst/>
                    </a:prstGeom>
                    <a:noFill/>
                  </pic:spPr>
                </pic:pic>
              </a:graphicData>
            </a:graphic>
          </wp:inline>
        </w:drawing>
      </w:r>
    </w:p>
    <w:p w:rsidR="0096393A" w:rsidRPr="00070E21" w:rsidRDefault="0096393A" w:rsidP="0096393A">
      <w:pPr>
        <w:rPr>
          <w:sz w:val="20"/>
          <w:szCs w:val="20"/>
          <w:lang w:eastAsia="en-AU"/>
        </w:rPr>
      </w:pPr>
      <w:r w:rsidRPr="00070E21">
        <w:rPr>
          <w:sz w:val="20"/>
          <w:szCs w:val="20"/>
          <w:lang w:eastAsia="en-AU"/>
        </w:rPr>
        <w:t xml:space="preserve">Source: ABS </w:t>
      </w:r>
      <w:r w:rsidR="00623276">
        <w:rPr>
          <w:sz w:val="20"/>
          <w:szCs w:val="20"/>
          <w:lang w:eastAsia="en-AU"/>
        </w:rPr>
        <w:t xml:space="preserve">cat. no. </w:t>
      </w:r>
      <w:r w:rsidRPr="00070E21">
        <w:rPr>
          <w:sz w:val="20"/>
          <w:szCs w:val="20"/>
          <w:lang w:eastAsia="en-AU"/>
        </w:rPr>
        <w:t>5302</w:t>
      </w:r>
      <w:r>
        <w:rPr>
          <w:sz w:val="20"/>
          <w:szCs w:val="20"/>
          <w:lang w:eastAsia="en-AU"/>
        </w:rPr>
        <w:t>.</w:t>
      </w:r>
    </w:p>
    <w:p w:rsidR="0096393A" w:rsidRPr="00F56CE4" w:rsidRDefault="0096393A" w:rsidP="0096393A">
      <w:pPr>
        <w:pStyle w:val="OutlineNumbered1"/>
      </w:pPr>
      <w:r>
        <w:t xml:space="preserve">Offshore funding can also reduce overall bank funding costs.  Australia’s robust prudential regulatory framework plays an important role in lowering the cost at which Australian banks can borrow offshore by lowering the risk premium that foreign investors attach to Australia.  </w:t>
      </w:r>
      <w:r w:rsidRPr="00F56CE4">
        <w:t>This makes offshore funding cost-effective.</w:t>
      </w:r>
    </w:p>
    <w:p w:rsidR="0096393A" w:rsidRDefault="0096393A" w:rsidP="0096393A">
      <w:pPr>
        <w:pStyle w:val="OutlineNumbered1"/>
      </w:pPr>
      <w:r w:rsidRPr="00F56CE4">
        <w:t xml:space="preserve">Obtaining offshore funding </w:t>
      </w:r>
      <w:r>
        <w:t>diversifies</w:t>
      </w:r>
      <w:r w:rsidRPr="00F56CE4">
        <w:t xml:space="preserve"> Australian bank</w:t>
      </w:r>
      <w:r>
        <w:t>’</w:t>
      </w:r>
      <w:r w:rsidRPr="00F56CE4">
        <w:t xml:space="preserve">s </w:t>
      </w:r>
      <w:r>
        <w:t>funding base</w:t>
      </w:r>
      <w:r w:rsidRPr="00F56CE4">
        <w:t xml:space="preserve"> by increasing their exposures over a greater number of investors, markets, products, and currencies. </w:t>
      </w:r>
      <w:r w:rsidR="007E2AB6">
        <w:t xml:space="preserve"> </w:t>
      </w:r>
      <w:r w:rsidRPr="00F56CE4">
        <w:t>This helps guard against liquidity stress and significant funding cost increases.</w:t>
      </w:r>
    </w:p>
    <w:p w:rsidR="0096393A" w:rsidRDefault="0096393A" w:rsidP="0096393A">
      <w:pPr>
        <w:pStyle w:val="OutlineNumbered1"/>
      </w:pPr>
      <w:r>
        <w:lastRenderedPageBreak/>
        <w:t xml:space="preserve">In addition, since around 2010 the Australian banking system has been a net repayer of its </w:t>
      </w:r>
      <w:r w:rsidR="00240731">
        <w:t xml:space="preserve">offshore liabilities (see </w:t>
      </w:r>
      <w:r w:rsidR="00240731">
        <w:fldChar w:fldCharType="begin"/>
      </w:r>
      <w:r w:rsidR="00240731">
        <w:instrText xml:space="preserve"> REF _Ref383720662 \h </w:instrText>
      </w:r>
      <w:r w:rsidR="00240731">
        <w:fldChar w:fldCharType="separate"/>
      </w:r>
      <w:r w:rsidR="0050148E">
        <w:t xml:space="preserve">Chart </w:t>
      </w:r>
      <w:r w:rsidR="0050148E">
        <w:rPr>
          <w:noProof/>
        </w:rPr>
        <w:t>16</w:t>
      </w:r>
      <w:r w:rsidR="00240731">
        <w:fldChar w:fldCharType="end"/>
      </w:r>
      <w:r>
        <w:t>).  This is mainly a result of a push by regulators and rating agencies for banks to increase their use of deposit funding at the expense of wholesale funding</w:t>
      </w:r>
      <w:r w:rsidR="00170449">
        <w:t>, rather than a</w:t>
      </w:r>
      <w:r>
        <w:t xml:space="preserve"> </w:t>
      </w:r>
      <w:r w:rsidR="00C721E5">
        <w:t xml:space="preserve">fall </w:t>
      </w:r>
      <w:r>
        <w:t>in demand for Australian bank debt</w:t>
      </w:r>
      <w:r w:rsidDel="00170449">
        <w:t>.</w:t>
      </w:r>
      <w:r>
        <w:t xml:space="preserve"> </w:t>
      </w:r>
    </w:p>
    <w:p w:rsidR="0096393A" w:rsidRDefault="0096393A" w:rsidP="0096393A">
      <w:pPr>
        <w:pStyle w:val="OutlineNumbered1"/>
      </w:pPr>
      <w:r>
        <w:t>Since around 2010 the key driver of the CAD has been resources investment, which has primarily been financed through internal resources such as retained earnings.</w:t>
      </w:r>
      <w:r>
        <w:rPr>
          <w:rStyle w:val="FootnoteReference"/>
        </w:rPr>
        <w:footnoteReference w:id="98"/>
      </w:r>
      <w:r>
        <w:t xml:space="preserve">  Thus, </w:t>
      </w:r>
      <w:r w:rsidR="00170449">
        <w:t>equity flows to the mining sector have effectively</w:t>
      </w:r>
      <w:r>
        <w:t xml:space="preserve"> ‘funded the CAD’, rather than the banking sector. </w:t>
      </w:r>
    </w:p>
    <w:p w:rsidR="0096393A" w:rsidRPr="00C7465E" w:rsidRDefault="00C7465E" w:rsidP="00C7465E">
      <w:pPr>
        <w:pStyle w:val="Caption"/>
        <w:keepNext/>
        <w:jc w:val="center"/>
      </w:pPr>
      <w:bookmarkStart w:id="758" w:name="_Ref383720662"/>
      <w:r>
        <w:t xml:space="preserve">Chart </w:t>
      </w:r>
      <w:r w:rsidR="000A480B">
        <w:rPr>
          <w:noProof/>
        </w:rPr>
        <w:fldChar w:fldCharType="begin"/>
      </w:r>
      <w:r w:rsidR="000A480B">
        <w:rPr>
          <w:noProof/>
        </w:rPr>
        <w:instrText xml:space="preserve"> SEQ Chart \* ARABIC </w:instrText>
      </w:r>
      <w:r w:rsidR="000A480B">
        <w:rPr>
          <w:noProof/>
        </w:rPr>
        <w:fldChar w:fldCharType="separate"/>
      </w:r>
      <w:r w:rsidR="0050148E">
        <w:rPr>
          <w:noProof/>
        </w:rPr>
        <w:t>16</w:t>
      </w:r>
      <w:r w:rsidR="000A480B">
        <w:rPr>
          <w:noProof/>
        </w:rPr>
        <w:fldChar w:fldCharType="end"/>
      </w:r>
      <w:bookmarkEnd w:id="758"/>
      <w:r>
        <w:t xml:space="preserve">: </w:t>
      </w:r>
      <w:r w:rsidR="0096393A" w:rsidRPr="00C7465E">
        <w:t>Banks offshore liabilities</w:t>
      </w:r>
    </w:p>
    <w:p w:rsidR="0096393A" w:rsidRDefault="0096393A" w:rsidP="0096393A">
      <w:pPr>
        <w:pStyle w:val="ChartGraphic"/>
      </w:pPr>
      <w:r>
        <w:rPr>
          <w:noProof/>
          <w:lang w:val="en-US" w:eastAsia="en-US"/>
        </w:rPr>
        <w:drawing>
          <wp:inline distT="0" distB="0" distL="0" distR="0" wp14:anchorId="52BF555E" wp14:editId="113ADB55">
            <wp:extent cx="5575300" cy="28797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5300" cy="2879725"/>
                    </a:xfrm>
                    <a:prstGeom prst="rect">
                      <a:avLst/>
                    </a:prstGeom>
                    <a:noFill/>
                    <a:ln>
                      <a:noFill/>
                    </a:ln>
                  </pic:spPr>
                </pic:pic>
              </a:graphicData>
            </a:graphic>
          </wp:inline>
        </w:drawing>
      </w:r>
    </w:p>
    <w:p w:rsidR="00B927D3" w:rsidRDefault="0096393A" w:rsidP="0096393A">
      <w:pPr>
        <w:pStyle w:val="OutlineNumbered1"/>
        <w:numPr>
          <w:ilvl w:val="0"/>
          <w:numId w:val="0"/>
        </w:numPr>
        <w:rPr>
          <w:sz w:val="20"/>
        </w:rPr>
      </w:pPr>
      <w:r w:rsidRPr="00381BB9">
        <w:rPr>
          <w:sz w:val="20"/>
        </w:rPr>
        <w:t xml:space="preserve">Source: ABS </w:t>
      </w:r>
      <w:r w:rsidR="00623276">
        <w:rPr>
          <w:sz w:val="20"/>
        </w:rPr>
        <w:t>cat. no.</w:t>
      </w:r>
      <w:r w:rsidRPr="00381BB9">
        <w:rPr>
          <w:sz w:val="20"/>
        </w:rPr>
        <w:t xml:space="preserve"> 5232.</w:t>
      </w:r>
    </w:p>
    <w:bookmarkEnd w:id="652"/>
    <w:p w:rsidR="0096393A" w:rsidRDefault="0096393A">
      <w:pPr>
        <w:spacing w:after="0" w:line="240" w:lineRule="auto"/>
        <w:rPr>
          <w:rFonts w:eastAsia="Times New Roman"/>
          <w:sz w:val="20"/>
          <w:szCs w:val="20"/>
          <w:lang w:eastAsia="en-AU"/>
        </w:rPr>
      </w:pPr>
      <w:r>
        <w:rPr>
          <w:sz w:val="20"/>
        </w:rPr>
        <w:br w:type="page"/>
      </w:r>
    </w:p>
    <w:p w:rsidR="0096393A" w:rsidRPr="00B927D3" w:rsidRDefault="0096393A" w:rsidP="0096393A">
      <w:pPr>
        <w:pStyle w:val="OutlineNumbered1"/>
        <w:numPr>
          <w:ilvl w:val="0"/>
          <w:numId w:val="0"/>
        </w:numPr>
        <w:sectPr w:rsidR="0096393A" w:rsidRPr="00B927D3" w:rsidSect="00D33323">
          <w:headerReference w:type="default" r:id="rId37"/>
          <w:pgSz w:w="11906" w:h="16838"/>
          <w:pgMar w:top="1440" w:right="1440" w:bottom="1440" w:left="1440" w:header="708" w:footer="708" w:gutter="0"/>
          <w:pgNumType w:chapStyle="1"/>
          <w:cols w:space="708"/>
          <w:docGrid w:linePitch="360"/>
        </w:sectPr>
      </w:pPr>
    </w:p>
    <w:p w:rsidR="00020BCE" w:rsidRPr="000A79B5" w:rsidRDefault="00020BCE" w:rsidP="000A79B5">
      <w:pPr>
        <w:pStyle w:val="Heading1"/>
        <w:numPr>
          <w:ilvl w:val="0"/>
          <w:numId w:val="0"/>
        </w:numPr>
      </w:pPr>
      <w:bookmarkStart w:id="759" w:name="_Toc381951969"/>
      <w:bookmarkStart w:id="760" w:name="_Toc381956560"/>
      <w:bookmarkStart w:id="761" w:name="_Toc383531541"/>
      <w:bookmarkStart w:id="762" w:name="_Toc383703328"/>
      <w:bookmarkStart w:id="763" w:name="_Toc383704212"/>
      <w:bookmarkStart w:id="764" w:name="_Toc383783872"/>
      <w:bookmarkStart w:id="765" w:name="_Toc383784676"/>
      <w:bookmarkStart w:id="766" w:name="_Toc384121531"/>
      <w:bookmarkStart w:id="767" w:name="_Toc384123757"/>
      <w:bookmarkStart w:id="768" w:name="_Toc384132443"/>
      <w:bookmarkStart w:id="769" w:name="_Toc384205201"/>
      <w:bookmarkStart w:id="770" w:name="_Toc384278537"/>
      <w:bookmarkStart w:id="771" w:name="References"/>
      <w:bookmarkEnd w:id="593"/>
      <w:bookmarkEnd w:id="594"/>
      <w:bookmarkEnd w:id="595"/>
      <w:r w:rsidRPr="000A79B5">
        <w:lastRenderedPageBreak/>
        <w:t>References</w:t>
      </w:r>
      <w:bookmarkEnd w:id="144"/>
      <w:bookmarkEnd w:id="759"/>
      <w:bookmarkEnd w:id="760"/>
      <w:bookmarkEnd w:id="761"/>
      <w:bookmarkEnd w:id="762"/>
      <w:bookmarkEnd w:id="763"/>
      <w:bookmarkEnd w:id="764"/>
      <w:bookmarkEnd w:id="765"/>
      <w:bookmarkEnd w:id="766"/>
      <w:bookmarkEnd w:id="767"/>
      <w:bookmarkEnd w:id="768"/>
      <w:bookmarkEnd w:id="769"/>
      <w:bookmarkEnd w:id="770"/>
    </w:p>
    <w:p w:rsidR="00637F6D" w:rsidRDefault="00637F6D" w:rsidP="000A79B5">
      <w:r>
        <w:t>ABACUS</w:t>
      </w:r>
      <w:r>
        <w:rPr>
          <w:lang w:val="en-US"/>
        </w:rPr>
        <w:t xml:space="preserve">, 2013, </w:t>
      </w:r>
      <w:r w:rsidR="00A53EFC">
        <w:rPr>
          <w:lang w:val="en-US"/>
        </w:rPr>
        <w:t>‘</w:t>
      </w:r>
      <w:r>
        <w:rPr>
          <w:lang w:val="en-US"/>
        </w:rPr>
        <w:t>Submission to APRA on Banking Act Exemptions</w:t>
      </w:r>
      <w:r w:rsidR="00A53EFC">
        <w:rPr>
          <w:lang w:val="en-US"/>
        </w:rPr>
        <w:t>’</w:t>
      </w:r>
      <w:r>
        <w:rPr>
          <w:lang w:val="en-US"/>
        </w:rPr>
        <w:t xml:space="preserve">, available at: </w:t>
      </w:r>
      <w:hyperlink r:id="rId38" w:history="1">
        <w:r w:rsidRPr="00787AD0">
          <w:rPr>
            <w:rStyle w:val="Hyperlink"/>
            <w:lang w:val="en-US"/>
          </w:rPr>
          <w:t>http://www.apra.gov.au/adi/PrudentialFramework/Documents/Abacus-Submission-Banking-Act-Exemptions-May-2013-Redacted.pdf</w:t>
        </w:r>
      </w:hyperlink>
      <w:r>
        <w:rPr>
          <w:rStyle w:val="Hyperlink"/>
          <w:lang w:val="en-US"/>
        </w:rPr>
        <w:t>.</w:t>
      </w:r>
    </w:p>
    <w:p w:rsidR="003C28A5" w:rsidRDefault="003C28A5" w:rsidP="003C28A5">
      <w:pPr>
        <w:pStyle w:val="OutlineNumbered1"/>
        <w:numPr>
          <w:ilvl w:val="0"/>
          <w:numId w:val="0"/>
        </w:numPr>
      </w:pPr>
      <w:r>
        <w:t>Australian Financial Markets Association (AFMA)</w:t>
      </w:r>
      <w:r w:rsidR="00A53EFC">
        <w:t>, 2013,</w:t>
      </w:r>
      <w:r>
        <w:t xml:space="preserve"> ‘2013 Australian Financial Markets Report’</w:t>
      </w:r>
      <w:r w:rsidR="00A53EFC">
        <w:t xml:space="preserve">, available at: </w:t>
      </w:r>
      <w:hyperlink r:id="rId39" w:history="1">
        <w:r w:rsidR="00A53EFC" w:rsidRPr="00680494">
          <w:rPr>
            <w:rStyle w:val="Hyperlink"/>
          </w:rPr>
          <w:t>https://www.afma.com.au/afmawr/_assets/main/lib90013/2013%20afmr.pdf</w:t>
        </w:r>
      </w:hyperlink>
      <w:r w:rsidR="00A53EFC">
        <w:t xml:space="preserve">. </w:t>
      </w:r>
      <w:r>
        <w:t xml:space="preserve"> </w:t>
      </w:r>
    </w:p>
    <w:p w:rsidR="00A22478" w:rsidRDefault="00A22478" w:rsidP="000A79B5">
      <w:r>
        <w:t xml:space="preserve">Australia’s Future Tax System </w:t>
      </w:r>
      <w:r w:rsidR="00D115C2">
        <w:t xml:space="preserve">(AFTS) </w:t>
      </w:r>
      <w:r>
        <w:t>Review</w:t>
      </w:r>
      <w:r w:rsidR="00D115C2">
        <w:t>,</w:t>
      </w:r>
      <w:r>
        <w:t xml:space="preserve"> 2009, </w:t>
      </w:r>
      <w:r w:rsidR="00D115C2">
        <w:t>‘</w:t>
      </w:r>
      <w:r>
        <w:t>Australia’s future tax system: report to the Treasurer</w:t>
      </w:r>
      <w:r w:rsidR="00D115C2">
        <w:t>’</w:t>
      </w:r>
      <w:r>
        <w:t>, Commonwealth of Australia, December 2009.</w:t>
      </w:r>
    </w:p>
    <w:p w:rsidR="000A79B5" w:rsidRDefault="000A79B5" w:rsidP="000A79B5">
      <w:r>
        <w:t>Australian Government, 2013-14 Budget, Budget Statem</w:t>
      </w:r>
      <w:r w:rsidR="00637F6D">
        <w:t xml:space="preserve">ent 4, Commonwealth of Australia, available at: </w:t>
      </w:r>
      <w:hyperlink r:id="rId40" w:history="1">
        <w:r>
          <w:rPr>
            <w:rStyle w:val="Hyperlink"/>
          </w:rPr>
          <w:t>http://www.budget.gov.au/2013-14/content/bp1/html/bp1_bst4-01.htm</w:t>
        </w:r>
      </w:hyperlink>
      <w:r w:rsidR="00637F6D">
        <w:t>.</w:t>
      </w:r>
    </w:p>
    <w:p w:rsidR="00A53EFC" w:rsidRDefault="00A53EFC" w:rsidP="000A79B5">
      <w:r>
        <w:t xml:space="preserve">Australian Government, 2013, ‘2013-14 Mid-year Economic and Fiscal Outlook’, Commonwealth of Australia, available at: </w:t>
      </w:r>
      <w:hyperlink r:id="rId41" w:history="1">
        <w:r w:rsidRPr="00680494">
          <w:rPr>
            <w:rStyle w:val="Hyperlink"/>
          </w:rPr>
          <w:t>http://budget.gov.au/2013-14/content/myefo/download/2013_14_MYEFO.pdf</w:t>
        </w:r>
      </w:hyperlink>
      <w:r>
        <w:t xml:space="preserve">. </w:t>
      </w:r>
    </w:p>
    <w:p w:rsidR="0084047D" w:rsidRDefault="0084047D" w:rsidP="000A79B5">
      <w:r>
        <w:t xml:space="preserve">Australian Government Actuary, 2012, ‘Report on Investigation into Strata Title Insurance Price Rises in North Queensland’, available at: </w:t>
      </w:r>
      <w:hyperlink r:id="rId42" w:history="1">
        <w:r w:rsidRPr="00B359C9">
          <w:rPr>
            <w:rStyle w:val="Hyperlink"/>
          </w:rPr>
          <w:t>http://www.aga.gov.au/publications/strata_title_insurance_price_rises/downloads/Strata_QLD.pdf</w:t>
        </w:r>
      </w:hyperlink>
      <w:r>
        <w:t xml:space="preserve">. </w:t>
      </w:r>
    </w:p>
    <w:p w:rsidR="009E6425" w:rsidRPr="009E6425" w:rsidRDefault="009E6425" w:rsidP="009E6425">
      <w:pPr>
        <w:rPr>
          <w:color w:val="1F497D"/>
        </w:rPr>
      </w:pPr>
      <w:r>
        <w:t>Australian Prudential Regulation Authority (</w:t>
      </w:r>
      <w:r w:rsidRPr="009E6425">
        <w:t>APRA</w:t>
      </w:r>
      <w:r>
        <w:t>)</w:t>
      </w:r>
      <w:r w:rsidRPr="009E6425">
        <w:t xml:space="preserve">, 2011, ‘Statistics: Annual Superannuation Bulletin’, June 2011, available at: </w:t>
      </w:r>
      <w:hyperlink r:id="rId43" w:history="1">
        <w:r>
          <w:rPr>
            <w:rStyle w:val="Hyperlink"/>
          </w:rPr>
          <w:t>http://www.apra.gov.au/super/publications/pages/annual-superannuation-publication.aspx</w:t>
        </w:r>
      </w:hyperlink>
      <w:r>
        <w:rPr>
          <w:color w:val="1F497D"/>
        </w:rPr>
        <w:t xml:space="preserve">. </w:t>
      </w:r>
    </w:p>
    <w:p w:rsidR="0084047D" w:rsidRDefault="00CD0320" w:rsidP="00020BCE">
      <w:pPr>
        <w:pStyle w:val="OutlineNumbered1"/>
        <w:numPr>
          <w:ilvl w:val="0"/>
          <w:numId w:val="0"/>
        </w:numPr>
      </w:pPr>
      <w:r>
        <w:t>APRA</w:t>
      </w:r>
      <w:r w:rsidR="009E6425">
        <w:t>,</w:t>
      </w:r>
      <w:r w:rsidR="00020BCE">
        <w:t xml:space="preserve"> 2013</w:t>
      </w:r>
      <w:r w:rsidR="00D115C2">
        <w:t>,</w:t>
      </w:r>
      <w:r w:rsidR="00020BCE">
        <w:t xml:space="preserve"> ‘</w:t>
      </w:r>
      <w:r w:rsidR="00D115C2">
        <w:t>Banking Act Exemptions and S</w:t>
      </w:r>
      <w:r w:rsidR="00020BCE" w:rsidRPr="00D115C2">
        <w:t>ection 66 guidelines’</w:t>
      </w:r>
      <w:r w:rsidR="00020BCE">
        <w:t>, Discussion Paper, April</w:t>
      </w:r>
      <w:r w:rsidR="00D115C2">
        <w:t xml:space="preserve"> 2013</w:t>
      </w:r>
      <w:r w:rsidR="00020BCE">
        <w:t>.</w:t>
      </w:r>
    </w:p>
    <w:p w:rsidR="00523A64" w:rsidRDefault="00047832" w:rsidP="00020BCE">
      <w:pPr>
        <w:pStyle w:val="OutlineNumbered1"/>
        <w:numPr>
          <w:ilvl w:val="0"/>
          <w:numId w:val="0"/>
        </w:numPr>
      </w:pPr>
      <w:r>
        <w:t>A</w:t>
      </w:r>
      <w:r w:rsidR="001D6117">
        <w:t>tkinson, T.</w:t>
      </w:r>
      <w:r>
        <w:t xml:space="preserve"> Luttrell, D</w:t>
      </w:r>
      <w:r w:rsidR="001D6117">
        <w:t>.</w:t>
      </w:r>
      <w:r>
        <w:t xml:space="preserve"> and Rosenblum, H</w:t>
      </w:r>
      <w:r w:rsidR="001D6117">
        <w:t>.</w:t>
      </w:r>
      <w:r>
        <w:t xml:space="preserve"> 2013, </w:t>
      </w:r>
      <w:r w:rsidRPr="001D6117">
        <w:t>‘How bad was it? The costs and consequences of the 2007-09 Financial Crisis’</w:t>
      </w:r>
      <w:r>
        <w:t>, Staff Papers, No.20</w:t>
      </w:r>
      <w:r w:rsidR="001D6117">
        <w:t>,</w:t>
      </w:r>
      <w:r>
        <w:t xml:space="preserve"> July 2013.</w:t>
      </w:r>
    </w:p>
    <w:p w:rsidR="001D6117" w:rsidRDefault="001D6117" w:rsidP="00020BCE">
      <w:pPr>
        <w:pStyle w:val="OutlineNumbered1"/>
        <w:numPr>
          <w:ilvl w:val="0"/>
          <w:numId w:val="0"/>
        </w:numPr>
      </w:pPr>
      <w:r>
        <w:t>Australian Securities and Investment Commission (ASIC), 201</w:t>
      </w:r>
      <w:r w:rsidR="00DC60F6">
        <w:t>1</w:t>
      </w:r>
      <w:r>
        <w:t xml:space="preserve">, </w:t>
      </w:r>
      <w:r w:rsidR="00DC60F6">
        <w:t>Financial Literacy and behavioural change</w:t>
      </w:r>
      <w:r>
        <w:t xml:space="preserve">, </w:t>
      </w:r>
      <w:r w:rsidR="00DC60F6">
        <w:t>Report 230</w:t>
      </w:r>
      <w:r>
        <w:t xml:space="preserve">, </w:t>
      </w:r>
      <w:r w:rsidR="00DC60F6">
        <w:t>March 2011</w:t>
      </w:r>
      <w:r>
        <w:t>.</w:t>
      </w:r>
    </w:p>
    <w:p w:rsidR="00020BCE" w:rsidRDefault="001D6117" w:rsidP="00020BCE">
      <w:r>
        <w:t>Bailey, O.</w:t>
      </w:r>
      <w:r w:rsidR="00020BCE">
        <w:t xml:space="preserve"> Van Uffelen, L</w:t>
      </w:r>
      <w:r>
        <w:t>.</w:t>
      </w:r>
      <w:r w:rsidR="00020BCE">
        <w:t xml:space="preserve"> </w:t>
      </w:r>
      <w:r w:rsidR="00020BCE" w:rsidRPr="002D5F81">
        <w:t>and Wood</w:t>
      </w:r>
      <w:r>
        <w:t>, K.</w:t>
      </w:r>
      <w:r w:rsidR="00020BCE">
        <w:t xml:space="preserve"> 2012, </w:t>
      </w:r>
      <w:r w:rsidR="00020BCE" w:rsidRPr="001D6117">
        <w:t>‘International Activities of Australian Banks’,</w:t>
      </w:r>
      <w:r w:rsidR="00020BCE">
        <w:t xml:space="preserve"> Reserve Bank of Australia Bulletin, December.</w:t>
      </w:r>
    </w:p>
    <w:p w:rsidR="000A79B5" w:rsidRDefault="000A79B5" w:rsidP="000A79B5">
      <w:r>
        <w:t>Ban</w:t>
      </w:r>
      <w:r w:rsidR="001D6117">
        <w:t>k for International Settlements (BIS),</w:t>
      </w:r>
      <w:r>
        <w:t xml:space="preserve"> 2012 ‘Financial sector regulation for growth, equity and stability’, Proceedings of a conference, BIS Papers No 62, January 2012.</w:t>
      </w:r>
    </w:p>
    <w:p w:rsidR="0084047D" w:rsidRDefault="0084047D" w:rsidP="000A79B5">
      <w:r>
        <w:lastRenderedPageBreak/>
        <w:t xml:space="preserve">Bateman, H. and Piggott, J. 2010, ‘To Much Risk to Insure? The Australian (Non-) Market for Annuities’, Discussion Paper, Centre for Pensions and Superannuation, January 2010. </w:t>
      </w:r>
    </w:p>
    <w:p w:rsidR="005E150E" w:rsidRDefault="005E150E" w:rsidP="00020BCE">
      <w:pPr>
        <w:pStyle w:val="OutlineNumbered1"/>
        <w:numPr>
          <w:ilvl w:val="0"/>
          <w:numId w:val="0"/>
        </w:numPr>
      </w:pPr>
      <w:r>
        <w:t xml:space="preserve">Ben-Shahar, O. and Schneider, C. 2011, ‘The Failure of Mandated Disclosure’, </w:t>
      </w:r>
      <w:r w:rsidRPr="005E150E">
        <w:rPr>
          <w:i/>
        </w:rPr>
        <w:t>University of Pennsylvania Law Review</w:t>
      </w:r>
      <w:r w:rsidR="001D6117">
        <w:t>, v</w:t>
      </w:r>
      <w:r>
        <w:t>159, pp101-204.</w:t>
      </w:r>
    </w:p>
    <w:p w:rsidR="00FB55B6" w:rsidRDefault="001D6117" w:rsidP="00020BCE">
      <w:pPr>
        <w:pStyle w:val="OutlineNumbered1"/>
        <w:numPr>
          <w:ilvl w:val="0"/>
          <w:numId w:val="0"/>
        </w:numPr>
      </w:pPr>
      <w:r>
        <w:t>Belkar, R. Cockerell, L. and Kent, C.</w:t>
      </w:r>
      <w:r w:rsidR="00FB55B6">
        <w:t xml:space="preserve"> 2007 ‘Current Account Deficits: The Australian Debate’, Reserve Bank of Australia Research Discussion paper.</w:t>
      </w:r>
    </w:p>
    <w:p w:rsidR="003C28A5" w:rsidRDefault="003C28A5" w:rsidP="003C28A5">
      <w:pPr>
        <w:pStyle w:val="OutlineNumbered1"/>
        <w:numPr>
          <w:ilvl w:val="0"/>
          <w:numId w:val="0"/>
        </w:numPr>
      </w:pPr>
      <w:r>
        <w:t>Black, S</w:t>
      </w:r>
      <w:r w:rsidR="001D6117">
        <w:t>.</w:t>
      </w:r>
      <w:r>
        <w:t xml:space="preserve"> Kirkwood, J</w:t>
      </w:r>
      <w:r w:rsidR="001D6117">
        <w:t>. 2010 ‘Ownership of Australian Equities and Corporate B</w:t>
      </w:r>
      <w:r>
        <w:t>onds</w:t>
      </w:r>
      <w:r w:rsidR="001D6117">
        <w:t>’</w:t>
      </w:r>
      <w:r>
        <w:t xml:space="preserve">, RBA </w:t>
      </w:r>
      <w:r w:rsidRPr="001D6117">
        <w:t>Bulletin</w:t>
      </w:r>
      <w:r>
        <w:t xml:space="preserve">, September 2010. </w:t>
      </w:r>
    </w:p>
    <w:p w:rsidR="003546DE" w:rsidRDefault="003546DE" w:rsidP="003546DE">
      <w:r>
        <w:t>Campbell, K. 1981, ‘Australian Financial System: Final Report of the Committee of Inquiry into the Australian Financial System’, AGPS, Canberra.</w:t>
      </w:r>
    </w:p>
    <w:p w:rsidR="00E03E03" w:rsidRDefault="00E03E03" w:rsidP="00020BCE">
      <w:pPr>
        <w:pStyle w:val="OutlineNumbered1"/>
        <w:numPr>
          <w:ilvl w:val="0"/>
          <w:numId w:val="0"/>
        </w:numPr>
      </w:pPr>
      <w:r>
        <w:t>Carmichael, J. 1999,</w:t>
      </w:r>
      <w:r w:rsidRPr="00E03E03">
        <w:t xml:space="preserve"> </w:t>
      </w:r>
      <w:r w:rsidR="00D10348">
        <w:t>‘</w:t>
      </w:r>
      <w:r w:rsidRPr="00D10348">
        <w:t>Regulation as an Exercise in Risk Management</w:t>
      </w:r>
      <w:r w:rsidR="00D10348">
        <w:t>’</w:t>
      </w:r>
      <w:r w:rsidRPr="00E03E03">
        <w:t>,</w:t>
      </w:r>
      <w:r w:rsidR="00D10348">
        <w:t xml:space="preserve"> </w:t>
      </w:r>
      <w:r w:rsidR="00D10348" w:rsidRPr="00D10348">
        <w:rPr>
          <w:i/>
        </w:rPr>
        <w:t>Speech to the</w:t>
      </w:r>
      <w:r w:rsidRPr="00E03E03">
        <w:t xml:space="preserve"> </w:t>
      </w:r>
      <w:r w:rsidRPr="00D10348">
        <w:rPr>
          <w:i/>
        </w:rPr>
        <w:t>Institute of Actuaries of Australia</w:t>
      </w:r>
      <w:r w:rsidRPr="00E03E03">
        <w:t>, 8 November 1999.</w:t>
      </w:r>
    </w:p>
    <w:p w:rsidR="00507B0E" w:rsidRDefault="00507B0E" w:rsidP="00020BCE">
      <w:pPr>
        <w:pStyle w:val="OutlineNumbered1"/>
        <w:numPr>
          <w:ilvl w:val="0"/>
          <w:numId w:val="0"/>
        </w:numPr>
      </w:pPr>
      <w:r>
        <w:t xml:space="preserve">Commonwealth of </w:t>
      </w:r>
      <w:r>
        <w:rPr>
          <w:lang w:val="en"/>
        </w:rPr>
        <w:t xml:space="preserve">Australia, House of Representatives, </w:t>
      </w:r>
      <w:r w:rsidR="00637F6D">
        <w:rPr>
          <w:lang w:val="en"/>
        </w:rPr>
        <w:t>‘</w:t>
      </w:r>
      <w:r w:rsidRPr="00637F6D">
        <w:rPr>
          <w:rStyle w:val="Emphasis"/>
          <w:i w:val="0"/>
          <w:lang w:val="en"/>
        </w:rPr>
        <w:t>Parliamentary</w:t>
      </w:r>
      <w:r w:rsidRPr="00637F6D">
        <w:rPr>
          <w:i/>
          <w:lang w:val="en"/>
        </w:rPr>
        <w:t xml:space="preserve"> </w:t>
      </w:r>
      <w:r w:rsidRPr="00637F6D">
        <w:rPr>
          <w:rStyle w:val="Emphasis"/>
          <w:i w:val="0"/>
          <w:lang w:val="en"/>
        </w:rPr>
        <w:t xml:space="preserve">Debates 2 April 1992 </w:t>
      </w:r>
      <w:r w:rsidRPr="00637F6D">
        <w:t>Second reading speech on the Superannuation Guarantee (Administration) Bill 1992</w:t>
      </w:r>
      <w:r w:rsidR="00225A30">
        <w:t>’, available at:</w:t>
      </w:r>
      <w:r w:rsidRPr="00637F6D">
        <w:rPr>
          <w:i/>
        </w:rPr>
        <w:t xml:space="preserve"> </w:t>
      </w:r>
      <w:hyperlink r:id="rId44" w:history="1">
        <w:r w:rsidRPr="007D6072">
          <w:rPr>
            <w:rStyle w:val="Hyperlink"/>
          </w:rPr>
          <w:t>http://parlinfo.aph.gov.au/parlInfo/search/display/display.w3p;query=Id%3A%22chamber%2Fhansardr%2F1992-04-02%2F0154%22</w:t>
        </w:r>
      </w:hyperlink>
      <w:r w:rsidR="00225A30">
        <w:t xml:space="preserve">. </w:t>
      </w:r>
    </w:p>
    <w:p w:rsidR="008C5342" w:rsidRDefault="002E2829" w:rsidP="000A79B5">
      <w:r>
        <w:t xml:space="preserve">Connelly, E. 2007, </w:t>
      </w:r>
      <w:r w:rsidR="008C5342">
        <w:t>‘The Effect of the Australian Superannuation Guarantee on Household Saving Behaviour’</w:t>
      </w:r>
      <w:r>
        <w:t>,</w:t>
      </w:r>
      <w:r w:rsidR="008C5342">
        <w:t xml:space="preserve"> Research Discussion Paper 2007-08</w:t>
      </w:r>
      <w:r>
        <w:t>,</w:t>
      </w:r>
      <w:r w:rsidR="008C5342">
        <w:t xml:space="preserve"> Reserve Bank of Australia</w:t>
      </w:r>
      <w:r w:rsidR="00A53EFC">
        <w:t>.</w:t>
      </w:r>
      <w:r w:rsidR="008C5342">
        <w:t xml:space="preserve"> </w:t>
      </w:r>
    </w:p>
    <w:p w:rsidR="007B7AC5" w:rsidRDefault="007B7AC5" w:rsidP="007B7AC5">
      <w:pPr>
        <w:pStyle w:val="OutlineNumbered1"/>
        <w:numPr>
          <w:ilvl w:val="0"/>
          <w:numId w:val="0"/>
        </w:numPr>
      </w:pPr>
      <w:r w:rsidRPr="007B7AC5">
        <w:t>Council of Financial Regulators</w:t>
      </w:r>
      <w:r w:rsidR="002E2829">
        <w:t xml:space="preserve"> (CFR)</w:t>
      </w:r>
      <w:r w:rsidRPr="007B7AC5">
        <w:t xml:space="preserve">, 2012, ‘Ensuring Appropriate Influence for Australian Regulators over Cross-border Clearing and Settlement Facilities’, A report by the </w:t>
      </w:r>
      <w:r w:rsidR="002E2829">
        <w:t>CFR</w:t>
      </w:r>
      <w:r w:rsidRPr="007B7AC5">
        <w:t>, July 2012.</w:t>
      </w:r>
    </w:p>
    <w:p w:rsidR="00D3714A" w:rsidRDefault="00CD0320" w:rsidP="007B7AC5">
      <w:pPr>
        <w:pStyle w:val="OutlineNumbered1"/>
        <w:numPr>
          <w:ilvl w:val="0"/>
          <w:numId w:val="0"/>
        </w:numPr>
      </w:pPr>
      <w:r w:rsidRPr="007B7AC5">
        <w:t>Council of Financial Regulators</w:t>
      </w:r>
      <w:r>
        <w:t xml:space="preserve"> (CFR)</w:t>
      </w:r>
      <w:r w:rsidR="00D3714A">
        <w:t xml:space="preserve">, 2014, ‘Application of the Regulatory Influence Framework for Cross-border Central Counterparties’, A report by the </w:t>
      </w:r>
      <w:r w:rsidR="002E2829">
        <w:t>CFR</w:t>
      </w:r>
      <w:r w:rsidR="00D3714A">
        <w:t>, March 2014.</w:t>
      </w:r>
    </w:p>
    <w:p w:rsidR="00A67468" w:rsidRDefault="00A67468" w:rsidP="007B7AC5">
      <w:pPr>
        <w:pStyle w:val="OutlineNumbered1"/>
        <w:numPr>
          <w:ilvl w:val="0"/>
          <w:numId w:val="0"/>
        </w:numPr>
      </w:pPr>
      <w:r>
        <w:t xml:space="preserve">Classens, S. and Laeven, L. 2003, ‘What Drives Bank Competition? Some International Evidence’, Journal of Money, Credit and Banking, 36(3). </w:t>
      </w:r>
    </w:p>
    <w:p w:rsidR="00C57D85" w:rsidRDefault="00C57D85" w:rsidP="000A79B5">
      <w:r>
        <w:t>Council of Small Business of Australia and Australian Banker’s Association</w:t>
      </w:r>
      <w:r w:rsidR="002E2829">
        <w:t xml:space="preserve"> (COSBOA)</w:t>
      </w:r>
      <w:r>
        <w:t>, 2013 ‘Small Business Access to Finance – Year to March 2013’</w:t>
      </w:r>
      <w:r w:rsidR="002E2829">
        <w:t xml:space="preserve">, available at: </w:t>
      </w:r>
      <w:hyperlink r:id="rId45" w:history="1">
        <w:r w:rsidR="002E2829" w:rsidRPr="00680494">
          <w:rPr>
            <w:rStyle w:val="Hyperlink"/>
          </w:rPr>
          <w:t>http://www.bankers.asn.au/Media/Media-Releases/Media-Release-2013/Small-Business-Access-To-Finance</w:t>
        </w:r>
      </w:hyperlink>
      <w:r w:rsidR="002E2829">
        <w:t xml:space="preserve">. </w:t>
      </w:r>
    </w:p>
    <w:p w:rsidR="0084047D" w:rsidRDefault="0084047D" w:rsidP="000A79B5">
      <w:r>
        <w:t xml:space="preserve">Cumbo, J. 2014, ‘Budget 2014: Australians Dismiss Fear of Pension Profligacy’, Financial Times, available at: </w:t>
      </w:r>
      <w:hyperlink r:id="rId46" w:anchor="axzz2xEDyLtdy" w:history="1">
        <w:r w:rsidRPr="00B359C9">
          <w:rPr>
            <w:rStyle w:val="Hyperlink"/>
          </w:rPr>
          <w:t>http://www.ft.com/intl/cms/s/0/bdcea5a6-b028-11e3-8efc-00144feab7de.html#axzz2xEDyLtdy</w:t>
        </w:r>
      </w:hyperlink>
      <w:r>
        <w:t xml:space="preserve">.  </w:t>
      </w:r>
    </w:p>
    <w:p w:rsidR="00D54926" w:rsidRDefault="002E2829" w:rsidP="000A79B5">
      <w:r>
        <w:lastRenderedPageBreak/>
        <w:t>Cummings J</w:t>
      </w:r>
      <w:r>
        <w:rPr>
          <w:bCs/>
        </w:rPr>
        <w:t>. 2012, ‘Effect of Fund S</w:t>
      </w:r>
      <w:r w:rsidR="00D54926" w:rsidRPr="00D0660E">
        <w:rPr>
          <w:bCs/>
        </w:rPr>
        <w:t>ize on</w:t>
      </w:r>
      <w:r w:rsidR="00D54926">
        <w:rPr>
          <w:bCs/>
        </w:rPr>
        <w:t xml:space="preserve"> </w:t>
      </w:r>
      <w:r>
        <w:rPr>
          <w:bCs/>
        </w:rPr>
        <w:t>the Performance of Australian Superannuation F</w:t>
      </w:r>
      <w:r w:rsidR="00D54926" w:rsidRPr="00D0660E">
        <w:rPr>
          <w:bCs/>
        </w:rPr>
        <w:t>unds</w:t>
      </w:r>
      <w:r>
        <w:rPr>
          <w:bCs/>
        </w:rPr>
        <w:t>’,</w:t>
      </w:r>
      <w:r w:rsidR="00D54926">
        <w:t xml:space="preserve"> </w:t>
      </w:r>
      <w:r>
        <w:t xml:space="preserve">APRA working paper, </w:t>
      </w:r>
      <w:r w:rsidR="00D54926" w:rsidRPr="00D0660E">
        <w:t>March 2012</w:t>
      </w:r>
      <w:r w:rsidR="00D54926">
        <w:t>.</w:t>
      </w:r>
    </w:p>
    <w:p w:rsidR="003C28A5" w:rsidRDefault="002E2829" w:rsidP="003C28A5">
      <w:pPr>
        <w:pStyle w:val="OutlineNumbered1"/>
        <w:numPr>
          <w:ilvl w:val="0"/>
          <w:numId w:val="0"/>
        </w:numPr>
      </w:pPr>
      <w:r>
        <w:t>Davis, K. Ralston, D. 2013,</w:t>
      </w:r>
      <w:r w:rsidR="003C28A5">
        <w:t xml:space="preserve"> ‘Corporate bond market: Prospectus for growth’, The Magazine for Financial Professionals, June 2013 127(2). </w:t>
      </w:r>
    </w:p>
    <w:p w:rsidR="003C28A5" w:rsidRDefault="003C28A5" w:rsidP="003C28A5">
      <w:r>
        <w:t>Davis, K</w:t>
      </w:r>
      <w:r w:rsidR="002E2829">
        <w:t>.</w:t>
      </w:r>
      <w:r>
        <w:t xml:space="preserve"> Jenkinson, M</w:t>
      </w:r>
      <w:r w:rsidR="002E2829">
        <w:t>. 2014,</w:t>
      </w:r>
      <w:r>
        <w:t xml:space="preserve"> ‘Australian Debt Securities and Corporate Bonds: Trends and Prospects’, Australian Centre for Financial Studies.</w:t>
      </w:r>
    </w:p>
    <w:p w:rsidR="000A79B5" w:rsidRDefault="000A79B5" w:rsidP="000A79B5">
      <w:r>
        <w:t>Davis, K. 2011 ‘The Australian Financial System in the 2000s: Dodging the Bullet’, in RBA Conference Volume</w:t>
      </w:r>
      <w:r w:rsidR="001B18C3">
        <w:t xml:space="preserve"> 2011</w:t>
      </w:r>
      <w:r>
        <w:t>.</w:t>
      </w:r>
    </w:p>
    <w:p w:rsidR="00020BCE" w:rsidRDefault="00020BCE" w:rsidP="00020BCE">
      <w:pPr>
        <w:pStyle w:val="OutlineNumbered1"/>
        <w:numPr>
          <w:ilvl w:val="0"/>
          <w:numId w:val="0"/>
        </w:numPr>
      </w:pPr>
      <w:r>
        <w:t>Davis, K, 2011 ‘</w:t>
      </w:r>
      <w:r w:rsidRPr="001B18C3">
        <w:t>Getting the Financial Claims Scheme Settled’,</w:t>
      </w:r>
      <w:r>
        <w:t xml:space="preserve"> Financial Regulation Discussions Paper Series,</w:t>
      </w:r>
      <w:r w:rsidR="001B18C3">
        <w:t xml:space="preserve"> Australian Centre for Financial Studies,</w:t>
      </w:r>
      <w:r>
        <w:t xml:space="preserve"> June</w:t>
      </w:r>
      <w:r w:rsidR="001B18C3">
        <w:t xml:space="preserve"> 2011</w:t>
      </w:r>
      <w:r>
        <w:t>.</w:t>
      </w:r>
    </w:p>
    <w:p w:rsidR="000A79B5" w:rsidRDefault="001B18C3" w:rsidP="000A79B5">
      <w:pPr>
        <w:pStyle w:val="OutlineNumbered1"/>
        <w:numPr>
          <w:ilvl w:val="0"/>
          <w:numId w:val="0"/>
        </w:numPr>
      </w:pPr>
      <w:r>
        <w:t>Debelle, G.</w:t>
      </w:r>
      <w:r w:rsidR="000A79B5">
        <w:t xml:space="preserve"> 2011</w:t>
      </w:r>
      <w:r>
        <w:t>,</w:t>
      </w:r>
      <w:r w:rsidR="000A79B5">
        <w:t xml:space="preserve"> ‘</w:t>
      </w:r>
      <w:r w:rsidR="000A79B5" w:rsidRPr="00E51435">
        <w:rPr>
          <w:i/>
        </w:rPr>
        <w:t>In Defence of Current Account Deficits</w:t>
      </w:r>
      <w:r w:rsidR="000A79B5">
        <w:t>’, Address at ADBI/UniSA Workshop on Growth and Integration in Asia.</w:t>
      </w:r>
    </w:p>
    <w:p w:rsidR="000A79B5" w:rsidRDefault="000A79B5" w:rsidP="000A79B5">
      <w:r>
        <w:t>Debelle, G. 2012</w:t>
      </w:r>
      <w:r w:rsidR="001B18C3">
        <w:t>,</w:t>
      </w:r>
      <w:r>
        <w:t xml:space="preserve"> ‘Credo et Fido: Credit and Trust’, Speech to the Deakin University's 2012 Richard Searby Oration, Melbourne,25 September 2012</w:t>
      </w:r>
      <w:r w:rsidR="00A53EFC">
        <w:t>.</w:t>
      </w:r>
    </w:p>
    <w:p w:rsidR="00573981" w:rsidRDefault="001B18C3" w:rsidP="000A79B5">
      <w:r>
        <w:t>Debelle, G.</w:t>
      </w:r>
      <w:r w:rsidR="00573981">
        <w:t xml:space="preserve"> 2013</w:t>
      </w:r>
      <w:r>
        <w:t>,</w:t>
      </w:r>
      <w:r w:rsidR="00573981">
        <w:t xml:space="preserve"> ‘</w:t>
      </w:r>
      <w:r w:rsidR="00573981">
        <w:rPr>
          <w:i/>
        </w:rPr>
        <w:t>Funding the Resource Investment Boom</w:t>
      </w:r>
      <w:r w:rsidR="00573981">
        <w:t>’, Address to the Melbourne Institute Public Economic Forum, April</w:t>
      </w:r>
      <w:r>
        <w:t xml:space="preserve"> 2013</w:t>
      </w:r>
      <w:r w:rsidR="00573981">
        <w:t xml:space="preserve">. </w:t>
      </w:r>
    </w:p>
    <w:p w:rsidR="003762BA" w:rsidRDefault="003762BA" w:rsidP="00020BCE">
      <w:r>
        <w:t xml:space="preserve">Edey, M. 2012, ‘Inertia and Coordination Problems in Payment Networks’, Remarks to a panel session on Public Policy and Innovation at the Federal Reserve Bank of Kansas City Payments Conference, 31 March 2012.  </w:t>
      </w:r>
    </w:p>
    <w:p w:rsidR="000A79B5" w:rsidRDefault="000A79B5" w:rsidP="00020BCE">
      <w:r>
        <w:t>Fernandes,</w:t>
      </w:r>
      <w:r w:rsidR="00B57D7D">
        <w:t xml:space="preserve"> D.</w:t>
      </w:r>
      <w:r>
        <w:t xml:space="preserve"> Lynch,</w:t>
      </w:r>
      <w:r w:rsidR="00B57D7D">
        <w:t xml:space="preserve"> J.</w:t>
      </w:r>
      <w:r>
        <w:t xml:space="preserve"> Netemeyer</w:t>
      </w:r>
      <w:r w:rsidR="00B57D7D">
        <w:t>, R. 2014,</w:t>
      </w:r>
      <w:r>
        <w:t xml:space="preserve"> ‘Financial Literacy, Financial Education and Downstream Financial Behaviours’, forthcoming in Management Science.</w:t>
      </w:r>
    </w:p>
    <w:p w:rsidR="00B57D7D" w:rsidRDefault="00B57D7D" w:rsidP="000A79B5">
      <w:r>
        <w:t>Freestone, O. Gaudry, D.</w:t>
      </w:r>
      <w:r w:rsidR="00020BCE">
        <w:t xml:space="preserve"> </w:t>
      </w:r>
      <w:r w:rsidR="00020BCE" w:rsidRPr="00905FA2">
        <w:t>Obeyesekere</w:t>
      </w:r>
      <w:r w:rsidR="00020BCE">
        <w:t>, A</w:t>
      </w:r>
      <w:r>
        <w:t>.</w:t>
      </w:r>
      <w:r w:rsidR="00020BCE" w:rsidRPr="00905FA2">
        <w:t xml:space="preserve"> and </w:t>
      </w:r>
      <w:r>
        <w:t>Sedgwick, M.</w:t>
      </w:r>
      <w:r w:rsidR="00020BCE">
        <w:t xml:space="preserve"> 2011</w:t>
      </w:r>
      <w:r>
        <w:t>,</w:t>
      </w:r>
      <w:r w:rsidR="00020BCE">
        <w:t xml:space="preserve"> ‘</w:t>
      </w:r>
      <w:r>
        <w:t>The Rise in H</w:t>
      </w:r>
      <w:r w:rsidR="00020BCE" w:rsidRPr="00905FA2">
        <w:t>ousehold</w:t>
      </w:r>
      <w:r>
        <w:t xml:space="preserve"> Saving and its Implications for the Australian E</w:t>
      </w:r>
      <w:r w:rsidR="00020BCE" w:rsidRPr="00905FA2">
        <w:t>conomy</w:t>
      </w:r>
      <w:r w:rsidR="00020BCE">
        <w:t>’, Economic Roundup Issue 2</w:t>
      </w:r>
      <w:r>
        <w:t>, 2011</w:t>
      </w:r>
      <w:r w:rsidR="00020BCE">
        <w:t>.</w:t>
      </w:r>
    </w:p>
    <w:p w:rsidR="00020BCE" w:rsidRDefault="00020BCE" w:rsidP="00020BCE">
      <w:r w:rsidRPr="002D5F81">
        <w:t>Garton,</w:t>
      </w:r>
      <w:r w:rsidR="00B57D7D">
        <w:t xml:space="preserve"> P.</w:t>
      </w:r>
      <w:r>
        <w:t xml:space="preserve"> Sedgwick, M</w:t>
      </w:r>
      <w:r w:rsidR="00B57D7D">
        <w:t>.</w:t>
      </w:r>
      <w:r>
        <w:t xml:space="preserve"> </w:t>
      </w:r>
      <w:r w:rsidRPr="002D5F81">
        <w:t xml:space="preserve">and </w:t>
      </w:r>
      <w:r w:rsidR="00B57D7D">
        <w:t>Shirodkar S.</w:t>
      </w:r>
      <w:r>
        <w:t xml:space="preserve"> 2010 ‘</w:t>
      </w:r>
      <w:r w:rsidR="00B57D7D">
        <w:t>Australia’s Current Account Deficit in a Global Imbalances C</w:t>
      </w:r>
      <w:r w:rsidRPr="00B57D7D">
        <w:t>ontext</w:t>
      </w:r>
      <w:r>
        <w:t>’, Economic Roundup Issue 1</w:t>
      </w:r>
      <w:r w:rsidR="00B57D7D">
        <w:t>, 2010</w:t>
      </w:r>
      <w:r>
        <w:t>.</w:t>
      </w:r>
    </w:p>
    <w:p w:rsidR="000A79B5" w:rsidRDefault="000A79B5" w:rsidP="000A79B5">
      <w:r>
        <w:t>Gizycki, M. and Lowe, P. 2000</w:t>
      </w:r>
      <w:r w:rsidR="00B57D7D">
        <w:t>,</w:t>
      </w:r>
      <w:r>
        <w:t xml:space="preserve"> ‘The Australian Fi</w:t>
      </w:r>
      <w:r w:rsidR="00B57D7D">
        <w:t>nancial System in the 1990s’,</w:t>
      </w:r>
      <w:r w:rsidRPr="00B57D7D">
        <w:t xml:space="preserve"> Deregulation of Financial Intermediaries, </w:t>
      </w:r>
      <w:r>
        <w:t>Proceedings of an RBA Conference, Sydney, 1991.</w:t>
      </w:r>
    </w:p>
    <w:p w:rsidR="00AC4FB1" w:rsidRDefault="00AC4FB1" w:rsidP="00AC4FB1">
      <w:pPr>
        <w:rPr>
          <w:color w:val="000000" w:themeColor="text1"/>
        </w:rPr>
      </w:pPr>
      <w:r>
        <w:rPr>
          <w:color w:val="000000" w:themeColor="text1"/>
        </w:rPr>
        <w:t xml:space="preserve">Group of Thirty (G30), 2008, The Structure of Financial Supervision, available at: </w:t>
      </w:r>
      <w:hyperlink r:id="rId47" w:history="1">
        <w:r w:rsidRPr="00D20EEC">
          <w:rPr>
            <w:rStyle w:val="Hyperlink"/>
          </w:rPr>
          <w:t>http://www.group30.org/images/PDF/The%20Structure%20of%20Financial%20Supervision.pdf</w:t>
        </w:r>
      </w:hyperlink>
    </w:p>
    <w:p w:rsidR="00AC4FB1" w:rsidRDefault="00AC4FB1" w:rsidP="000A79B5">
      <w:r>
        <w:rPr>
          <w:color w:val="000000" w:themeColor="text1"/>
        </w:rPr>
        <w:t xml:space="preserve">Group of Twenty (G20), </w:t>
      </w:r>
      <w:r w:rsidRPr="008F12A8">
        <w:rPr>
          <w:color w:val="000000" w:themeColor="text1"/>
        </w:rPr>
        <w:t xml:space="preserve">2014, </w:t>
      </w:r>
      <w:r>
        <w:rPr>
          <w:color w:val="000000" w:themeColor="text1"/>
        </w:rPr>
        <w:t>‘</w:t>
      </w:r>
      <w:r w:rsidRPr="00B57D7D">
        <w:rPr>
          <w:color w:val="000000" w:themeColor="text1"/>
        </w:rPr>
        <w:t xml:space="preserve">Communique of the </w:t>
      </w:r>
      <w:r w:rsidRPr="00B57D7D">
        <w:rPr>
          <w:rFonts w:asciiTheme="minorHAnsi" w:eastAsia="Times New Roman" w:hAnsiTheme="minorHAnsi"/>
          <w:color w:val="000000" w:themeColor="text1"/>
          <w:szCs w:val="24"/>
        </w:rPr>
        <w:t>Meeting of Finance Ministers and Central Bank Governors</w:t>
      </w:r>
      <w:r>
        <w:rPr>
          <w:rFonts w:asciiTheme="minorHAnsi" w:eastAsia="Times New Roman" w:hAnsiTheme="minorHAnsi"/>
          <w:color w:val="000000" w:themeColor="text1"/>
          <w:szCs w:val="24"/>
        </w:rPr>
        <w:t>’</w:t>
      </w:r>
      <w:r w:rsidRPr="008F12A8">
        <w:rPr>
          <w:rFonts w:asciiTheme="minorHAnsi" w:eastAsia="Times New Roman" w:hAnsiTheme="minorHAnsi"/>
          <w:color w:val="000000" w:themeColor="text1"/>
          <w:szCs w:val="24"/>
        </w:rPr>
        <w:t xml:space="preserve">, </w:t>
      </w:r>
      <w:r>
        <w:rPr>
          <w:rFonts w:asciiTheme="minorHAnsi" w:eastAsia="Times New Roman" w:hAnsiTheme="minorHAnsi"/>
          <w:color w:val="000000" w:themeColor="text1"/>
          <w:szCs w:val="24"/>
        </w:rPr>
        <w:t xml:space="preserve">Sydney, </w:t>
      </w:r>
      <w:r w:rsidRPr="008F12A8">
        <w:rPr>
          <w:rFonts w:asciiTheme="minorHAnsi" w:eastAsia="Times New Roman" w:hAnsiTheme="minorHAnsi"/>
          <w:color w:val="000000" w:themeColor="text1"/>
          <w:szCs w:val="24"/>
        </w:rPr>
        <w:t>22-23 February 2014</w:t>
      </w:r>
      <w:r>
        <w:rPr>
          <w:rFonts w:asciiTheme="minorHAnsi" w:eastAsia="Times New Roman" w:hAnsiTheme="minorHAnsi"/>
          <w:color w:val="000000" w:themeColor="text1"/>
          <w:szCs w:val="24"/>
        </w:rPr>
        <w:t>.</w:t>
      </w:r>
    </w:p>
    <w:p w:rsidR="00681D3B" w:rsidRDefault="00681D3B" w:rsidP="000A79B5">
      <w:r>
        <w:lastRenderedPageBreak/>
        <w:t>Gruen, D. 2005, ‘Perspectives on Australia’s current account deficit’, Keynote Address to the Australian Business Economists Forecasting Conference, 13 December.</w:t>
      </w:r>
    </w:p>
    <w:p w:rsidR="008C5342" w:rsidRDefault="008C5342" w:rsidP="000A79B5">
      <w:r>
        <w:t>Gruen, D. and Soding, L. 2011</w:t>
      </w:r>
      <w:r w:rsidR="00B57D7D">
        <w:t>,</w:t>
      </w:r>
      <w:r>
        <w:t xml:space="preserve"> ‘Compulsory Superannuation and National Saving’</w:t>
      </w:r>
      <w:r w:rsidR="00B57D7D">
        <w:t>,</w:t>
      </w:r>
      <w:r>
        <w:t xml:space="preserve"> </w:t>
      </w:r>
      <w:r w:rsidRPr="00E6448B">
        <w:t>Address by the first author to the Melbourne Institute/The Australian 2011 Economic and Social Outlook Conference</w:t>
      </w:r>
      <w:r w:rsidR="00B57D7D">
        <w:t>,</w:t>
      </w:r>
      <w:r>
        <w:t xml:space="preserve"> July 2011</w:t>
      </w:r>
      <w:r w:rsidR="00A53EFC">
        <w:t>.</w:t>
      </w:r>
    </w:p>
    <w:p w:rsidR="000A79B5" w:rsidRDefault="000A79B5" w:rsidP="000A79B5">
      <w:r>
        <w:t>HIH Royal Commission, 2003</w:t>
      </w:r>
      <w:r w:rsidR="00B57D7D">
        <w:t>,</w:t>
      </w:r>
      <w:r>
        <w:t xml:space="preserve"> </w:t>
      </w:r>
      <w:r w:rsidR="00B57D7D">
        <w:t>‘</w:t>
      </w:r>
      <w:r w:rsidRPr="00B57D7D">
        <w:t>The Failure of HIH</w:t>
      </w:r>
      <w:r w:rsidR="00B57D7D">
        <w:t>’</w:t>
      </w:r>
      <w:r>
        <w:t>, Volume 3, Commonwealth of Australia.</w:t>
      </w:r>
    </w:p>
    <w:p w:rsidR="000A79B5" w:rsidRDefault="00B57D7D" w:rsidP="000A79B5">
      <w:r>
        <w:t xml:space="preserve">IMF, </w:t>
      </w:r>
      <w:r w:rsidR="000A79B5">
        <w:t xml:space="preserve">2009 ‘Fiscal Implications of the Global Economic and Financial Crisis’, </w:t>
      </w:r>
      <w:r w:rsidR="000A79B5" w:rsidRPr="00B57D7D">
        <w:t>Staff Position Note</w:t>
      </w:r>
      <w:r>
        <w:t xml:space="preserve">, </w:t>
      </w:r>
      <w:r w:rsidR="000A79B5">
        <w:t>SPN/09/13.</w:t>
      </w:r>
    </w:p>
    <w:p w:rsidR="000A79B5" w:rsidRDefault="00595DDE" w:rsidP="000A79B5">
      <w:r>
        <w:t xml:space="preserve">IMF, </w:t>
      </w:r>
      <w:r w:rsidR="000A79B5">
        <w:t>2010</w:t>
      </w:r>
      <w:r>
        <w:t>,</w:t>
      </w:r>
      <w:r w:rsidR="000A79B5">
        <w:t xml:space="preserve"> ‘The Making of Good Supervision: Learning to Say “No”’</w:t>
      </w:r>
      <w:r>
        <w:t xml:space="preserve">, IMF Staff Position Note, SPN/10/08. </w:t>
      </w:r>
    </w:p>
    <w:p w:rsidR="00D01ADE" w:rsidRDefault="00D01ADE" w:rsidP="000A79B5">
      <w:r w:rsidRPr="00D01ADE">
        <w:t>IMF, 2011, 'Kingdom of the Netherlands: Publication of Financial Sector Assessment Program Documentation</w:t>
      </w:r>
      <w:r w:rsidR="0027181A">
        <w:t xml:space="preserve"> — </w:t>
      </w:r>
      <w:r w:rsidRPr="00D01ADE">
        <w:t>Technical Note on Financial Sector Supervision: The Twin Peaks Model', IMF Country Report No. 11/208, July 2011.</w:t>
      </w:r>
    </w:p>
    <w:p w:rsidR="000A79B5" w:rsidRDefault="00595DDE" w:rsidP="000A79B5">
      <w:r>
        <w:t xml:space="preserve">IMF, </w:t>
      </w:r>
      <w:r w:rsidR="000A79B5">
        <w:t>2012a</w:t>
      </w:r>
      <w:r>
        <w:t>,</w:t>
      </w:r>
      <w:r w:rsidR="000A79B5">
        <w:t xml:space="preserve"> ‘Australia: Basel Core Principles for Effective Banking Supervision – Det</w:t>
      </w:r>
      <w:r>
        <w:t xml:space="preserve">ailed Assessment of Observance’, IMF Country Report No. 12/313. </w:t>
      </w:r>
    </w:p>
    <w:p w:rsidR="000A79B5" w:rsidRDefault="00595DDE" w:rsidP="000A79B5">
      <w:pPr>
        <w:rPr>
          <w:i/>
        </w:rPr>
      </w:pPr>
      <w:r>
        <w:t xml:space="preserve">IMF, </w:t>
      </w:r>
      <w:r w:rsidR="000A79B5">
        <w:t>2012b</w:t>
      </w:r>
      <w:r>
        <w:t>,</w:t>
      </w:r>
      <w:r w:rsidR="000A79B5">
        <w:t xml:space="preserve"> ‘</w:t>
      </w:r>
      <w:r w:rsidR="000A79B5" w:rsidRPr="00DC6506">
        <w:t>Systemic Banking Crises Database: An Update</w:t>
      </w:r>
      <w:r w:rsidR="000A79B5">
        <w:t xml:space="preserve">’, </w:t>
      </w:r>
      <w:r w:rsidRPr="00595DDE">
        <w:t>IMF Working Paper WP/12/16</w:t>
      </w:r>
      <w:r>
        <w:rPr>
          <w:i/>
        </w:rPr>
        <w:t xml:space="preserve">. </w:t>
      </w:r>
    </w:p>
    <w:p w:rsidR="00020BCE" w:rsidRPr="000A79B5" w:rsidRDefault="00595DDE" w:rsidP="00020BCE">
      <w:pPr>
        <w:rPr>
          <w:szCs w:val="24"/>
        </w:rPr>
      </w:pPr>
      <w:r>
        <w:rPr>
          <w:szCs w:val="24"/>
        </w:rPr>
        <w:t xml:space="preserve">IMF, </w:t>
      </w:r>
      <w:r w:rsidR="00020BCE" w:rsidRPr="000A79B5">
        <w:rPr>
          <w:szCs w:val="24"/>
        </w:rPr>
        <w:t>2014</w:t>
      </w:r>
      <w:r>
        <w:rPr>
          <w:szCs w:val="24"/>
        </w:rPr>
        <w:t>,</w:t>
      </w:r>
      <w:r w:rsidR="00020BCE" w:rsidRPr="000A79B5">
        <w:rPr>
          <w:rStyle w:val="FootnoteReference"/>
          <w:szCs w:val="24"/>
          <w:vertAlign w:val="baseline"/>
        </w:rPr>
        <w:t xml:space="preserve"> ‘</w:t>
      </w:r>
      <w:r w:rsidR="000F7B1D">
        <w:rPr>
          <w:szCs w:val="24"/>
        </w:rPr>
        <w:t xml:space="preserve">2013 </w:t>
      </w:r>
      <w:r w:rsidR="00020BCE" w:rsidRPr="00595DDE">
        <w:rPr>
          <w:rStyle w:val="FootnoteReference"/>
          <w:szCs w:val="24"/>
          <w:vertAlign w:val="baseline"/>
        </w:rPr>
        <w:t>A</w:t>
      </w:r>
      <w:r w:rsidR="00020BCE" w:rsidRPr="00595DDE">
        <w:rPr>
          <w:szCs w:val="24"/>
        </w:rPr>
        <w:t>rticle IV Consultation report’</w:t>
      </w:r>
      <w:r w:rsidR="000F7B1D">
        <w:rPr>
          <w:szCs w:val="24"/>
        </w:rPr>
        <w:t>, February 2014.</w:t>
      </w:r>
    </w:p>
    <w:p w:rsidR="00180447" w:rsidRDefault="003762BA" w:rsidP="000A79B5">
      <w:r>
        <w:t>Ingves, S.</w:t>
      </w:r>
      <w:r w:rsidR="00180447">
        <w:t xml:space="preserve"> 2014 ‘</w:t>
      </w:r>
      <w:r w:rsidR="00180447" w:rsidRPr="003762BA">
        <w:t>Restoring confidence in banks’</w:t>
      </w:r>
      <w:r w:rsidR="00180447">
        <w:t>, Address to 15</w:t>
      </w:r>
      <w:r w:rsidR="00180447" w:rsidRPr="00180447">
        <w:rPr>
          <w:vertAlign w:val="superscript"/>
        </w:rPr>
        <w:t>th</w:t>
      </w:r>
      <w:r w:rsidR="00180447">
        <w:t xml:space="preserve"> Annual Convention of the Global Association of Risk Professionals, New York, 4 March.</w:t>
      </w:r>
    </w:p>
    <w:p w:rsidR="0084047D" w:rsidRPr="0084047D" w:rsidRDefault="0084047D" w:rsidP="000A79B5">
      <w:pPr>
        <w:rPr>
          <w:color w:val="0000FF" w:themeColor="hyperlink"/>
          <w:u w:val="single"/>
        </w:rPr>
      </w:pPr>
      <w:r>
        <w:t>Insurance Council of Australia, 2013, ‘</w:t>
      </w:r>
      <w:r w:rsidRPr="002E213B">
        <w:t>Historical Disaster Statistics</w:t>
      </w:r>
      <w:r>
        <w:t>’</w:t>
      </w:r>
      <w:r>
        <w:rPr>
          <w:i/>
        </w:rPr>
        <w:t xml:space="preserve">, </w:t>
      </w:r>
      <w:r>
        <w:t xml:space="preserve">available at: </w:t>
      </w:r>
      <w:hyperlink r:id="rId48" w:history="1">
        <w:r w:rsidRPr="002E3B62">
          <w:rPr>
            <w:rStyle w:val="Hyperlink"/>
          </w:rPr>
          <w:t>http://www.insurancecouncil.com.au/industry-statistics-data/disaster-statistics/historical-disaster-statistics</w:t>
        </w:r>
      </w:hyperlink>
      <w:r>
        <w:rPr>
          <w:rStyle w:val="Hyperlink"/>
        </w:rPr>
        <w:t>.</w:t>
      </w:r>
    </w:p>
    <w:p w:rsidR="00A67468" w:rsidRDefault="00A67468" w:rsidP="000A79B5">
      <w:r>
        <w:t xml:space="preserve">Keeley, M. 1990, ‘Deposit Insurance, Risk and Market Power in Banking’, The American Economic Review, 80(5) pp1183-1200. </w:t>
      </w:r>
    </w:p>
    <w:p w:rsidR="0084047D" w:rsidRDefault="0084047D" w:rsidP="000A79B5">
      <w:r>
        <w:t>Keenan, M. and Hockey, J. 2013, ‘Government to Introduce New Inquiry into National Disaster Funding Arrangements’, Media Release, 20 December 2013.</w:t>
      </w:r>
    </w:p>
    <w:p w:rsidR="000A79B5" w:rsidRDefault="000A79B5" w:rsidP="000A79B5">
      <w:r>
        <w:t>Laker, J. 2010</w:t>
      </w:r>
      <w:r w:rsidR="00561565">
        <w:t>,</w:t>
      </w:r>
      <w:r>
        <w:t xml:space="preserve"> ‘Supervisory Lessons from the Global Financial Crisis’, Address to the AB+F Leaders Lecture Lunch 2010, Sydney, 8 December 2010.</w:t>
      </w:r>
    </w:p>
    <w:p w:rsidR="00254F3B" w:rsidRDefault="00254F3B" w:rsidP="003C28A5">
      <w:r>
        <w:t>Lowe, P</w:t>
      </w:r>
      <w:r w:rsidR="005351EC">
        <w:t>.</w:t>
      </w:r>
      <w:r>
        <w:t xml:space="preserve"> 2012</w:t>
      </w:r>
      <w:r w:rsidR="00561565">
        <w:t>,</w:t>
      </w:r>
      <w:r>
        <w:t xml:space="preserve"> ‘</w:t>
      </w:r>
      <w:r w:rsidRPr="003762BA">
        <w:t>What is Normal?’</w:t>
      </w:r>
      <w:r>
        <w:t>, Address to the Australian Business Economists Annual Dinner, December</w:t>
      </w:r>
      <w:r w:rsidR="003762BA">
        <w:t xml:space="preserve"> 2012</w:t>
      </w:r>
      <w:r>
        <w:t>.</w:t>
      </w:r>
    </w:p>
    <w:p w:rsidR="003C28A5" w:rsidRDefault="003762BA" w:rsidP="003C28A5">
      <w:pPr>
        <w:pStyle w:val="Bullet"/>
        <w:numPr>
          <w:ilvl w:val="0"/>
          <w:numId w:val="0"/>
        </w:numPr>
      </w:pPr>
      <w:r>
        <w:lastRenderedPageBreak/>
        <w:t>Maddock, R.</w:t>
      </w:r>
      <w:r w:rsidR="005351EC">
        <w:t xml:space="preserve"> and Munckton, P.</w:t>
      </w:r>
      <w:r>
        <w:t xml:space="preserve"> 2013</w:t>
      </w:r>
      <w:r w:rsidR="00561565">
        <w:t>,</w:t>
      </w:r>
      <w:r w:rsidR="003C28A5">
        <w:t xml:space="preserve"> </w:t>
      </w:r>
      <w:r w:rsidR="003C28A5" w:rsidRPr="00F941B9">
        <w:t>‘</w:t>
      </w:r>
      <w:r w:rsidR="005351EC">
        <w:t>Funding Australia’s Future: the Future Demand and Supply of Finance’, The Funding Australia’s Future Project by the Australian Centre for Financial Studies</w:t>
      </w:r>
      <w:r w:rsidR="003C28A5">
        <w:t>.</w:t>
      </w:r>
    </w:p>
    <w:p w:rsidR="00561565" w:rsidRDefault="00561565" w:rsidP="003C28A5">
      <w:pPr>
        <w:pStyle w:val="Bullet"/>
        <w:numPr>
          <w:ilvl w:val="0"/>
          <w:numId w:val="0"/>
        </w:numPr>
      </w:pPr>
      <w:r>
        <w:t>Mandell, L. 2006, ‘Financial Literacy: If It’s So Important, Why Isn’t It Improving?’, Policy Brief for the Networks Financial Institute at Indiana State University, 2006</w:t>
      </w:r>
      <w:r>
        <w:noBreakHyphen/>
        <w:t>PB</w:t>
      </w:r>
      <w:r>
        <w:noBreakHyphen/>
        <w:t xml:space="preserve">08, April 2006. </w:t>
      </w:r>
    </w:p>
    <w:p w:rsidR="003C28A5" w:rsidRDefault="003C28A5" w:rsidP="003C28A5">
      <w:r>
        <w:t>Mulino, D. 2013, ‘Improving Australia’s Financial Infrastructure’, Australian Centre For Financial Studies.</w:t>
      </w:r>
    </w:p>
    <w:p w:rsidR="0084047D" w:rsidRDefault="0084047D" w:rsidP="003C28A5">
      <w:r>
        <w:t xml:space="preserve">Natural Disaster Insurance Review, 2011, ‘Inquiry into Flood Insurance and Related Matters’, September 2011. </w:t>
      </w:r>
    </w:p>
    <w:p w:rsidR="003C28A5" w:rsidRDefault="003C28A5" w:rsidP="003C28A5">
      <w:r>
        <w:t xml:space="preserve">Organisation for Economic </w:t>
      </w:r>
      <w:r w:rsidR="00107EAB">
        <w:t>Cooperation and Development (OECD),</w:t>
      </w:r>
      <w:r>
        <w:t xml:space="preserve"> 2009</w:t>
      </w:r>
      <w:r w:rsidR="00107EAB">
        <w:t>,</w:t>
      </w:r>
      <w:r>
        <w:t xml:space="preserve"> </w:t>
      </w:r>
      <w:r w:rsidR="00107EAB">
        <w:t>‘</w:t>
      </w:r>
      <w:r w:rsidRPr="00107EAB">
        <w:t>OECD Reviews of Regulatory Reform: Australia</w:t>
      </w:r>
      <w:r w:rsidR="00107EAB">
        <w:t>’</w:t>
      </w:r>
      <w:r>
        <w:t>.</w:t>
      </w:r>
    </w:p>
    <w:p w:rsidR="0059120E" w:rsidRDefault="003C28A5" w:rsidP="003C28A5">
      <w:r w:rsidRPr="00340ABE">
        <w:t>OECD</w:t>
      </w:r>
      <w:r w:rsidR="00107EAB" w:rsidRPr="00340ABE">
        <w:t>,</w:t>
      </w:r>
      <w:r w:rsidRPr="00340ABE">
        <w:t xml:space="preserve"> </w:t>
      </w:r>
      <w:r w:rsidR="0059120E" w:rsidRPr="00340ABE">
        <w:t>2010</w:t>
      </w:r>
      <w:r w:rsidR="00107EAB" w:rsidRPr="00340ABE">
        <w:t>,</w:t>
      </w:r>
      <w:r w:rsidR="0059120E" w:rsidRPr="00340ABE">
        <w:t xml:space="preserve"> ‘Bank Competition and Financial Stability’, report </w:t>
      </w:r>
      <w:r w:rsidR="002C0D7E" w:rsidRPr="00340ABE">
        <w:t xml:space="preserve">prepared for the G20 Workshop </w:t>
      </w:r>
      <w:r w:rsidR="0059120E" w:rsidRPr="00340ABE">
        <w:t>The New Financial Landscape.</w:t>
      </w:r>
    </w:p>
    <w:p w:rsidR="0084047D" w:rsidRDefault="0084047D" w:rsidP="003C28A5">
      <w:r>
        <w:t xml:space="preserve">OECD, 2013, ‘Survey of Annuity Products and their Guarantees’, DAF/AS/WD(2013)22. </w:t>
      </w:r>
    </w:p>
    <w:p w:rsidR="003C28A5" w:rsidRDefault="003C28A5" w:rsidP="003C28A5">
      <w:r>
        <w:t xml:space="preserve">Parliamentary Joint Committee on Corporations and Financial </w:t>
      </w:r>
      <w:r w:rsidR="00107EAB">
        <w:t>Services (PJCCFS)</w:t>
      </w:r>
      <w:r w:rsidR="002C0D7E">
        <w:t>,</w:t>
      </w:r>
      <w:r>
        <w:t xml:space="preserve"> 2009, ‘Inquiry into ﬁnancial products and services in Australia’ Parliament of Australia, November 2009.</w:t>
      </w:r>
    </w:p>
    <w:p w:rsidR="0084047D" w:rsidRDefault="0084047D" w:rsidP="003C28A5">
      <w:r>
        <w:t xml:space="preserve">Productivity Commission, 2012, ‘Barriers to Effective Climate Change Adaptation’, Productivity Inquiry Report No. 59, September 2012. </w:t>
      </w:r>
    </w:p>
    <w:p w:rsidR="00020BCE" w:rsidRDefault="00020BCE" w:rsidP="00020BCE">
      <w:pPr>
        <w:pStyle w:val="OutlineNumbered1"/>
        <w:numPr>
          <w:ilvl w:val="0"/>
          <w:numId w:val="0"/>
        </w:numPr>
      </w:pPr>
      <w:r w:rsidRPr="002D5F81">
        <w:t>Reinhart, C</w:t>
      </w:r>
      <w:r w:rsidR="002C0D7E">
        <w:t>.</w:t>
      </w:r>
      <w:r w:rsidRPr="002D5F81">
        <w:t xml:space="preserve"> and Calvo, G</w:t>
      </w:r>
      <w:r w:rsidR="002C0D7E">
        <w:t>.</w:t>
      </w:r>
      <w:r>
        <w:t xml:space="preserve"> </w:t>
      </w:r>
      <w:r w:rsidRPr="002D5F81">
        <w:t>2000</w:t>
      </w:r>
      <w:r w:rsidR="002C0D7E">
        <w:t>,</w:t>
      </w:r>
      <w:r w:rsidRPr="002D5F81">
        <w:t xml:space="preserve"> </w:t>
      </w:r>
      <w:r w:rsidRPr="002C0D7E">
        <w:t>‘When Capital Inflows Come to a Sudden Stop: Consequences and Policy Options’</w:t>
      </w:r>
      <w:r>
        <w:t>,</w:t>
      </w:r>
      <w:r w:rsidRPr="002D5F81">
        <w:t xml:space="preserve"> </w:t>
      </w:r>
      <w:r>
        <w:t>p</w:t>
      </w:r>
      <w:r w:rsidRPr="002D5F81">
        <w:t>ublished in: in Peter Kenen and Alexandre Swoboda, eds. Reforming the International Monetary and Financial System</w:t>
      </w:r>
      <w:r>
        <w:t>,</w:t>
      </w:r>
      <w:r w:rsidRPr="002D5F81">
        <w:t xml:space="preserve"> pp. 175-201.</w:t>
      </w:r>
    </w:p>
    <w:p w:rsidR="00020BCE" w:rsidRDefault="00020BCE" w:rsidP="00020BCE">
      <w:pPr>
        <w:pStyle w:val="OutlineNumbered1"/>
        <w:numPr>
          <w:ilvl w:val="0"/>
          <w:numId w:val="0"/>
        </w:numPr>
      </w:pPr>
      <w:r>
        <w:t>Reserve Bank of Australia</w:t>
      </w:r>
      <w:r w:rsidR="002C0D7E">
        <w:t xml:space="preserve"> (RBA),</w:t>
      </w:r>
      <w:r>
        <w:t xml:space="preserve"> 2006, </w:t>
      </w:r>
      <w:r w:rsidRPr="002C0D7E">
        <w:t>‘Financial Stability Review’</w:t>
      </w:r>
      <w:r>
        <w:t>, Table 14, March</w:t>
      </w:r>
      <w:r w:rsidR="002C0D7E">
        <w:t xml:space="preserve"> 2006</w:t>
      </w:r>
      <w:r>
        <w:t>.</w:t>
      </w:r>
    </w:p>
    <w:p w:rsidR="00020BCE" w:rsidRDefault="002C0D7E" w:rsidP="00020BCE">
      <w:r>
        <w:t>RBA,</w:t>
      </w:r>
      <w:r w:rsidR="00020BCE">
        <w:t xml:space="preserve"> 2013, ‘</w:t>
      </w:r>
      <w:r w:rsidR="00020BCE" w:rsidRPr="002C0D7E">
        <w:t>Statement on Monetary Policy’</w:t>
      </w:r>
      <w:r w:rsidR="00020BCE">
        <w:t>, November</w:t>
      </w:r>
      <w:r>
        <w:t xml:space="preserve"> 2013</w:t>
      </w:r>
      <w:r w:rsidR="00020BCE">
        <w:t>.</w:t>
      </w:r>
    </w:p>
    <w:p w:rsidR="00635530" w:rsidRDefault="00635530" w:rsidP="00635530">
      <w:pPr>
        <w:rPr>
          <w:lang w:eastAsia="en-AU"/>
        </w:rPr>
      </w:pPr>
      <w:r>
        <w:rPr>
          <w:lang w:eastAsia="en-AU"/>
        </w:rPr>
        <w:t>Rice Warner Actuaries</w:t>
      </w:r>
      <w:r w:rsidR="002C0D7E">
        <w:rPr>
          <w:lang w:eastAsia="en-AU"/>
        </w:rPr>
        <w:t>, 2012,</w:t>
      </w:r>
      <w:r>
        <w:rPr>
          <w:lang w:eastAsia="en-AU"/>
        </w:rPr>
        <w:t xml:space="preserve"> </w:t>
      </w:r>
      <w:r w:rsidR="002C0D7E">
        <w:rPr>
          <w:lang w:eastAsia="en-AU"/>
        </w:rPr>
        <w:t>‘</w:t>
      </w:r>
      <w:r>
        <w:rPr>
          <w:lang w:eastAsia="en-AU"/>
        </w:rPr>
        <w:t>Superannuation Fees Research</w:t>
      </w:r>
      <w:r w:rsidR="002C0D7E">
        <w:rPr>
          <w:lang w:eastAsia="en-AU"/>
        </w:rPr>
        <w:t>’</w:t>
      </w:r>
      <w:r>
        <w:rPr>
          <w:lang w:eastAsia="en-AU"/>
        </w:rPr>
        <w:t>, June 2012</w:t>
      </w:r>
      <w:r w:rsidR="002C0D7E">
        <w:rPr>
          <w:lang w:eastAsia="en-AU"/>
        </w:rPr>
        <w:t>.</w:t>
      </w:r>
    </w:p>
    <w:p w:rsidR="008F3FB7" w:rsidRPr="00BC1619" w:rsidRDefault="008F3FB7" w:rsidP="00A7602C">
      <w:pPr>
        <w:rPr>
          <w:rFonts w:eastAsia="Times New Roman"/>
          <w:lang w:eastAsia="en-AU"/>
        </w:rPr>
      </w:pPr>
      <w:r w:rsidRPr="00BC1619">
        <w:rPr>
          <w:rFonts w:eastAsia="Times New Roman"/>
          <w:lang w:eastAsia="en-AU"/>
        </w:rPr>
        <w:t>Roy Morgan</w:t>
      </w:r>
      <w:r>
        <w:rPr>
          <w:rFonts w:eastAsia="Times New Roman"/>
          <w:szCs w:val="20"/>
          <w:lang w:eastAsia="en-AU"/>
        </w:rPr>
        <w:t>,</w:t>
      </w:r>
      <w:r w:rsidRPr="00BC1619">
        <w:rPr>
          <w:rFonts w:eastAsia="Times New Roman"/>
          <w:lang w:eastAsia="en-AU"/>
        </w:rPr>
        <w:t xml:space="preserve"> </w:t>
      </w:r>
      <w:r>
        <w:rPr>
          <w:rFonts w:eastAsia="Times New Roman"/>
          <w:szCs w:val="20"/>
          <w:lang w:eastAsia="en-AU"/>
        </w:rPr>
        <w:t>2014</w:t>
      </w:r>
      <w:r w:rsidR="002C0D7E">
        <w:rPr>
          <w:rFonts w:eastAsia="Times New Roman"/>
          <w:szCs w:val="20"/>
          <w:lang w:eastAsia="en-AU"/>
        </w:rPr>
        <w:t>,</w:t>
      </w:r>
      <w:r>
        <w:rPr>
          <w:rFonts w:eastAsia="Times New Roman"/>
          <w:szCs w:val="20"/>
          <w:lang w:eastAsia="en-AU"/>
        </w:rPr>
        <w:t xml:space="preserve"> ‘</w:t>
      </w:r>
      <w:r w:rsidRPr="002C0D7E">
        <w:rPr>
          <w:rFonts w:eastAsia="Times New Roman"/>
          <w:lang w:eastAsia="en-AU"/>
        </w:rPr>
        <w:t>Research Consumer Banking Satisfaction Report</w:t>
      </w:r>
      <w:r w:rsidRPr="002C0D7E">
        <w:rPr>
          <w:rFonts w:eastAsia="Times New Roman"/>
          <w:szCs w:val="20"/>
          <w:lang w:eastAsia="en-AU"/>
        </w:rPr>
        <w:t>’</w:t>
      </w:r>
      <w:r>
        <w:rPr>
          <w:rFonts w:eastAsia="Times New Roman"/>
          <w:szCs w:val="20"/>
          <w:lang w:eastAsia="en-AU"/>
        </w:rPr>
        <w:t>,</w:t>
      </w:r>
      <w:r w:rsidRPr="00BC1619">
        <w:rPr>
          <w:rFonts w:eastAsia="Times New Roman"/>
          <w:lang w:eastAsia="en-AU"/>
        </w:rPr>
        <w:t xml:space="preserve"> January</w:t>
      </w:r>
      <w:r w:rsidR="002C0D7E">
        <w:rPr>
          <w:rFonts w:eastAsia="Times New Roman"/>
          <w:lang w:eastAsia="en-AU"/>
        </w:rPr>
        <w:t xml:space="preserve"> 2014</w:t>
      </w:r>
      <w:r>
        <w:rPr>
          <w:rFonts w:eastAsia="Times New Roman"/>
          <w:szCs w:val="20"/>
          <w:lang w:eastAsia="en-AU"/>
        </w:rPr>
        <w:t>.</w:t>
      </w:r>
    </w:p>
    <w:p w:rsidR="00A67468" w:rsidRDefault="00A67468" w:rsidP="00A7602C">
      <w:r w:rsidRPr="001F7341">
        <w:t>Schaeck, L. and</w:t>
      </w:r>
      <w:r>
        <w:t xml:space="preserve"> Cihak, M. 2013, ‘Competition, Efficiency, and Stability in Banking’, Financial Management (forthcoming). </w:t>
      </w:r>
    </w:p>
    <w:p w:rsidR="00A7602C" w:rsidRDefault="00A7602C" w:rsidP="00A7602C">
      <w:r>
        <w:t>Schwartz, C. 2013</w:t>
      </w:r>
      <w:r w:rsidR="002C0D7E">
        <w:t>,</w:t>
      </w:r>
      <w:r>
        <w:t xml:space="preserve"> ‘</w:t>
      </w:r>
      <w:r w:rsidRPr="002C0D7E">
        <w:t>G20 Financial Regulatory Reforms and Australia</w:t>
      </w:r>
      <w:r>
        <w:t xml:space="preserve">’, </w:t>
      </w:r>
      <w:r w:rsidRPr="002C0D7E">
        <w:t>RBA Bulletin</w:t>
      </w:r>
      <w:r w:rsidR="002C0D7E">
        <w:t>, September Quarter</w:t>
      </w:r>
      <w:r>
        <w:t xml:space="preserve"> 2013.</w:t>
      </w:r>
    </w:p>
    <w:p w:rsidR="001F7341" w:rsidRDefault="001F7341" w:rsidP="00A7602C">
      <w:r>
        <w:lastRenderedPageBreak/>
        <w:t xml:space="preserve">Senate Standing Committee on Economics, 2009, ‘Inquiry into Aspects of Banking Mergers’, available at: </w:t>
      </w:r>
      <w:hyperlink r:id="rId49" w:history="1">
        <w:r w:rsidRPr="00B359C9">
          <w:rPr>
            <w:rStyle w:val="Hyperlink"/>
          </w:rPr>
          <w:t>http://www.aph.gov.au/Parliamentary_Business/Committees/Senate/Economics/Completed%20inquiries/2008-10/bank_mergers_08/report/index</w:t>
        </w:r>
      </w:hyperlink>
      <w:r>
        <w:t xml:space="preserve">. </w:t>
      </w:r>
    </w:p>
    <w:p w:rsidR="001F7341" w:rsidRDefault="001F7341" w:rsidP="00A7602C">
      <w:r>
        <w:t xml:space="preserve">Senate Standing Committees on Economics, 2011, ‘Competition within the Australian Banking Sector, available at: </w:t>
      </w:r>
      <w:hyperlink r:id="rId50" w:history="1">
        <w:r w:rsidRPr="00B359C9">
          <w:rPr>
            <w:rStyle w:val="Hyperlink"/>
          </w:rPr>
          <w:t>http://www.aph.gov.au/Parliamentary_Business/Committees/Senate/Economics/Completed%20inquiries/2010-13/bankingcomp2010/index</w:t>
        </w:r>
      </w:hyperlink>
      <w:r>
        <w:t xml:space="preserve">. </w:t>
      </w:r>
    </w:p>
    <w:p w:rsidR="0066226B" w:rsidRDefault="0066226B" w:rsidP="00A7602C">
      <w:pPr>
        <w:rPr>
          <w:rStyle w:val="Hyperlink"/>
        </w:rPr>
      </w:pPr>
      <w:r w:rsidRPr="00340ABE">
        <w:t>Standard and Poors</w:t>
      </w:r>
      <w:r w:rsidR="003237FF" w:rsidRPr="00340ABE">
        <w:t>,</w:t>
      </w:r>
      <w:r w:rsidRPr="00340ABE">
        <w:t xml:space="preserve"> 2013</w:t>
      </w:r>
      <w:r w:rsidR="003237FF" w:rsidRPr="00340ABE">
        <w:t>,</w:t>
      </w:r>
      <w:r w:rsidRPr="00340ABE">
        <w:t xml:space="preserve"> ‘Australia and New Zealand Banking Group Ltd’</w:t>
      </w:r>
      <w:r w:rsidR="003237FF" w:rsidRPr="00340ABE">
        <w:t xml:space="preserve">, available at: </w:t>
      </w:r>
      <w:hyperlink r:id="rId51" w:history="1">
        <w:r w:rsidR="003C28A5" w:rsidRPr="00340ABE">
          <w:rPr>
            <w:rStyle w:val="Hyperlink"/>
          </w:rPr>
          <w:t>www.standardandpoors.com/ratingsdirect 18 December 2013</w:t>
        </w:r>
      </w:hyperlink>
      <w:r w:rsidR="003237FF" w:rsidRPr="00340ABE">
        <w:rPr>
          <w:rStyle w:val="Hyperlink"/>
        </w:rPr>
        <w:t xml:space="preserve">. </w:t>
      </w:r>
    </w:p>
    <w:p w:rsidR="001F7341" w:rsidRDefault="001F7341" w:rsidP="00A7602C">
      <w:r>
        <w:t>Standing Committee on Economics, 2008, ‘Inquiry into competition in the banking and non</w:t>
      </w:r>
      <w:r>
        <w:noBreakHyphen/>
        <w:t xml:space="preserve">banking sectors’, available at: </w:t>
      </w:r>
      <w:hyperlink r:id="rId52" w:history="1">
        <w:r w:rsidRPr="00B359C9">
          <w:rPr>
            <w:rStyle w:val="Hyperlink"/>
          </w:rPr>
          <w:t>http://www.aph.gov.au/Parliamentary_Business/Committees/House_of_Representatives_Committees?url=economics/banking08/index.htm/</w:t>
        </w:r>
      </w:hyperlink>
      <w:r>
        <w:t>.</w:t>
      </w:r>
    </w:p>
    <w:p w:rsidR="001F7341" w:rsidRDefault="001F7341" w:rsidP="00A7602C">
      <w:r>
        <w:t xml:space="preserve">Standing Committee on Economics, 2009, ‘Inquiry into the Bank Funding Guarantees’, available at: </w:t>
      </w:r>
      <w:hyperlink r:id="rId53" w:history="1">
        <w:r w:rsidRPr="00B359C9">
          <w:rPr>
            <w:rStyle w:val="Hyperlink"/>
          </w:rPr>
          <w:t>http://www.aph.gov.au/Parliamentary_Business/Committees/Senate/Economics/Completed_inquiries/2008-10/bank_funding_guarantees_09/report/index</w:t>
        </w:r>
      </w:hyperlink>
      <w:r>
        <w:t xml:space="preserve">. </w:t>
      </w:r>
    </w:p>
    <w:p w:rsidR="00A7602C" w:rsidRDefault="00A7602C" w:rsidP="00A7602C">
      <w:r>
        <w:t>Stevens, G. 2007, ‘The Asian Crisis: A Retrospective’, Address to The Anika Foundation Luncheon, Sydney, 18 July 2007</w:t>
      </w:r>
      <w:r w:rsidR="003237FF">
        <w:t>.</w:t>
      </w:r>
    </w:p>
    <w:p w:rsidR="00A7602C" w:rsidRDefault="00A7602C" w:rsidP="00A7602C">
      <w:r>
        <w:t>Stevens, G. 2010, ‘Some Longer-run Consequences of the Financial Crisis’, Address to The Anika Foundation Luncheon, Sydney, 20 July 2010.</w:t>
      </w:r>
    </w:p>
    <w:p w:rsidR="00A7602C" w:rsidRDefault="00A7602C" w:rsidP="00A7602C">
      <w:r>
        <w:t xml:space="preserve">Stevens, G. 2013 </w:t>
      </w:r>
      <w:r w:rsidRPr="003237FF">
        <w:t>‘</w:t>
      </w:r>
      <w:hyperlink r:id="rId54" w:history="1">
        <w:r w:rsidRPr="003237FF">
          <w:rPr>
            <w:rStyle w:val="Hyperlink"/>
            <w:color w:val="000000" w:themeColor="text1"/>
            <w:u w:val="none"/>
          </w:rPr>
          <w:t>Financial regulation – Australia in the global landscape’</w:t>
        </w:r>
      </w:hyperlink>
      <w:r>
        <w:t>, Address to the Australian Securities and Investments Commission Annual Forum, Sydney, March 2013.</w:t>
      </w:r>
    </w:p>
    <w:p w:rsidR="0084047D" w:rsidRDefault="0084047D" w:rsidP="00A7602C">
      <w:r>
        <w:t xml:space="preserve">Suncorp Group, 2014, ‘Suncorp Cuts Cost of Insurance Premiums as Flood Risk Drops in Regional QLD’, Suncorp Group Media Release, 14 March 2014. </w:t>
      </w:r>
    </w:p>
    <w:p w:rsidR="00A67468" w:rsidRPr="00A67468" w:rsidRDefault="00A67468" w:rsidP="00A7602C">
      <w:pPr>
        <w:rPr>
          <w:i/>
        </w:rPr>
      </w:pPr>
      <w:r>
        <w:t xml:space="preserve">Sunstein, C. 2011, ‘Empirically Informed Regulation’, </w:t>
      </w:r>
      <w:r w:rsidRPr="003237FF">
        <w:t>The University of Chicago Law Review</w:t>
      </w:r>
      <w:r>
        <w:rPr>
          <w:i/>
        </w:rPr>
        <w:t xml:space="preserve">, </w:t>
      </w:r>
      <w:r>
        <w:t>no.78, pp1349.</w:t>
      </w:r>
    </w:p>
    <w:p w:rsidR="00826954" w:rsidRDefault="00826954" w:rsidP="00A7602C">
      <w:r>
        <w:t xml:space="preserve">Super Ratings, 2014, </w:t>
      </w:r>
      <w:r w:rsidRPr="00826954">
        <w:t>‘MySuper sees fees reduce by 30% but not before Australians set to pay an extra $2 billion due to delays’</w:t>
      </w:r>
      <w:r>
        <w:t>,</w:t>
      </w:r>
      <w:r w:rsidRPr="00C865DA">
        <w:rPr>
          <w:i/>
        </w:rPr>
        <w:t xml:space="preserve"> </w:t>
      </w:r>
      <w:r>
        <w:t xml:space="preserve">Media Release of 5 February 2014, available at: </w:t>
      </w:r>
      <w:hyperlink r:id="rId55" w:history="1">
        <w:r w:rsidRPr="00D01ADA">
          <w:rPr>
            <w:rStyle w:val="Hyperlink"/>
          </w:rPr>
          <w:t>http://www.superratings.com.au/media/mediarelease/05022014</w:t>
        </w:r>
      </w:hyperlink>
      <w:r>
        <w:t xml:space="preserve">. </w:t>
      </w:r>
    </w:p>
    <w:p w:rsidR="00B85774" w:rsidRDefault="00B85774" w:rsidP="00A7602C">
      <w:r>
        <w:t>Thomson Reuters, 2014, ‘Australia-New Zealand Debt Summary’.</w:t>
      </w:r>
    </w:p>
    <w:p w:rsidR="007B7AC5" w:rsidRDefault="003237FF" w:rsidP="00A7602C">
      <w:r>
        <w:t>Treasury, 2012a</w:t>
      </w:r>
      <w:r w:rsidR="007B7AC5" w:rsidRPr="007B7AC5">
        <w:t>, ‘Australia’s Financial Market Licencing Regime: Addressing Market Evolution’, Options Paper, November 2012.</w:t>
      </w:r>
    </w:p>
    <w:p w:rsidR="00A7602C" w:rsidRDefault="00A7602C" w:rsidP="00A7602C">
      <w:r w:rsidRPr="0004714F">
        <w:lastRenderedPageBreak/>
        <w:t>Treasury, 2012</w:t>
      </w:r>
      <w:r w:rsidR="003237FF" w:rsidRPr="0004714F">
        <w:t>b</w:t>
      </w:r>
      <w:r w:rsidRPr="0004714F">
        <w:t xml:space="preserve">, </w:t>
      </w:r>
      <w:r w:rsidR="003237FF" w:rsidRPr="0004714F">
        <w:t>‘</w:t>
      </w:r>
      <w:r w:rsidRPr="0004714F">
        <w:t>Post Implementation Review — Financial Claims Scheme for General Insurance Policyholders</w:t>
      </w:r>
      <w:r w:rsidR="003237FF" w:rsidRPr="0004714F">
        <w:t>’</w:t>
      </w:r>
      <w:r w:rsidRPr="0004714F">
        <w:t>, Commonwealth of Australia, October 2012</w:t>
      </w:r>
      <w:r w:rsidR="003237FF" w:rsidRPr="0004714F">
        <w:t>.</w:t>
      </w:r>
    </w:p>
    <w:p w:rsidR="00A7602C" w:rsidRDefault="00A7602C" w:rsidP="00A7602C">
      <w:r>
        <w:t>Trowbridge, J. 2011</w:t>
      </w:r>
      <w:r w:rsidR="003237FF">
        <w:t>,</w:t>
      </w:r>
      <w:r>
        <w:t xml:space="preserve"> </w:t>
      </w:r>
      <w:r w:rsidR="003237FF">
        <w:t>‘</w:t>
      </w:r>
      <w:r w:rsidRPr="003237FF">
        <w:t>Natural Disaster Insurance Review: Inquiry into flood insurance and related matters</w:t>
      </w:r>
      <w:r w:rsidR="003237FF">
        <w:t>’</w:t>
      </w:r>
      <w:r>
        <w:t>, Commonwealth of Australia.</w:t>
      </w:r>
    </w:p>
    <w:p w:rsidR="00A7602C" w:rsidRDefault="00A7602C" w:rsidP="00A7602C">
      <w:r>
        <w:t>Valentine, T. 1991, ‘What the Campbell Committee Expected’, in RBA conference volume The Deregulation of Financial Intermediaries, Reserve Bank of Australia.</w:t>
      </w:r>
    </w:p>
    <w:p w:rsidR="00A7602C" w:rsidRDefault="00A7602C" w:rsidP="00A7602C">
      <w:r>
        <w:t>Uhrig, J. 2003</w:t>
      </w:r>
      <w:r w:rsidR="003237FF">
        <w:t>,</w:t>
      </w:r>
      <w:r>
        <w:t xml:space="preserve"> </w:t>
      </w:r>
      <w:r w:rsidR="003237FF">
        <w:t>‘</w:t>
      </w:r>
      <w:hyperlink r:id="rId56" w:history="1">
        <w:r w:rsidRPr="003237FF">
          <w:rPr>
            <w:rStyle w:val="Hyperlink"/>
            <w:color w:val="000000" w:themeColor="text1"/>
            <w:u w:val="none"/>
          </w:rPr>
          <w:t>Review of the Corporate Governance of Statutory Authorities and Office Holders</w:t>
        </w:r>
      </w:hyperlink>
      <w:r w:rsidR="003237FF">
        <w:rPr>
          <w:rStyle w:val="Hyperlink"/>
          <w:color w:val="000000" w:themeColor="text1"/>
          <w:u w:val="none"/>
        </w:rPr>
        <w:t>’</w:t>
      </w:r>
      <w:r w:rsidRPr="003237FF">
        <w:t>,</w:t>
      </w:r>
      <w:r>
        <w:t xml:space="preserve"> Commonwealth of Australia.</w:t>
      </w:r>
    </w:p>
    <w:p w:rsidR="00A7602C" w:rsidRDefault="00A7602C" w:rsidP="00A7602C">
      <w:r>
        <w:t>Valentine, T.</w:t>
      </w:r>
      <w:r w:rsidR="003237FF">
        <w:t xml:space="preserve"> 2008, The Problems with Investment</w:t>
      </w:r>
      <w:r>
        <w:t xml:space="preserve"> Advice</w:t>
      </w:r>
      <w:r w:rsidR="003237FF">
        <w:t xml:space="preserve">, Australian Centre for Financial Studies. </w:t>
      </w:r>
    </w:p>
    <w:p w:rsidR="003546DE" w:rsidRDefault="003546DE" w:rsidP="00A7602C">
      <w:r>
        <w:t xml:space="preserve">Wallis, S. 1997, ‘Financial System Inquiry: Final Report’, AGP, Canberra. </w:t>
      </w:r>
    </w:p>
    <w:p w:rsidR="00A7602C" w:rsidRDefault="00A7602C" w:rsidP="00A7602C">
      <w:r>
        <w:t>World Bank</w:t>
      </w:r>
      <w:r w:rsidR="003237FF">
        <w:t>,</w:t>
      </w:r>
      <w:r>
        <w:t xml:space="preserve"> 2011, </w:t>
      </w:r>
      <w:r w:rsidR="007F1A02">
        <w:t>‘</w:t>
      </w:r>
      <w:r>
        <w:t>The MGDs after the Crisis</w:t>
      </w:r>
      <w:r w:rsidR="007F1A02">
        <w:t>’,</w:t>
      </w:r>
      <w:r w:rsidR="007F1A02" w:rsidRPr="007F1A02">
        <w:t xml:space="preserve"> </w:t>
      </w:r>
      <w:r w:rsidR="007F1A02">
        <w:t>Global Monitoring Report 2010</w:t>
      </w:r>
      <w:r>
        <w:t xml:space="preserve">. </w:t>
      </w:r>
      <w:bookmarkEnd w:id="771"/>
    </w:p>
    <w:p w:rsidR="00AC353F" w:rsidRDefault="00AC353F" w:rsidP="00A7602C"/>
    <w:p w:rsidR="005A6ECF" w:rsidRDefault="005A6ECF" w:rsidP="00AC353F"/>
    <w:p w:rsidR="005A6ECF" w:rsidRDefault="005A6ECF" w:rsidP="00AC353F"/>
    <w:p w:rsidR="00AC353F" w:rsidRDefault="00AC353F" w:rsidP="00AC353F"/>
    <w:sectPr w:rsidR="00AC353F" w:rsidSect="00FD7165">
      <w:headerReference w:type="default" r:id="rId57"/>
      <w:footerReference w:type="default" r:id="rId58"/>
      <w:head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80B" w:rsidRDefault="000A480B" w:rsidP="00020BCE">
      <w:pPr>
        <w:spacing w:after="0" w:line="240" w:lineRule="auto"/>
      </w:pPr>
      <w:r>
        <w:separator/>
      </w:r>
    </w:p>
  </w:endnote>
  <w:endnote w:type="continuationSeparator" w:id="0">
    <w:p w:rsidR="000A480B" w:rsidRDefault="000A480B" w:rsidP="00020BCE">
      <w:pPr>
        <w:spacing w:after="0" w:line="240" w:lineRule="auto"/>
      </w:pPr>
      <w:r>
        <w:continuationSeparator/>
      </w:r>
    </w:p>
  </w:endnote>
  <w:endnote w:type="continuationNotice" w:id="1">
    <w:p w:rsidR="000A480B" w:rsidRDefault="000A4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302573"/>
      <w:docPartObj>
        <w:docPartGallery w:val="Page Numbers (Bottom of Page)"/>
        <w:docPartUnique/>
      </w:docPartObj>
    </w:sdtPr>
    <w:sdtEndPr>
      <w:rPr>
        <w:noProof/>
      </w:rPr>
    </w:sdtEndPr>
    <w:sdtContent>
      <w:p w:rsidR="0050148E" w:rsidRDefault="0050148E">
        <w:pPr>
          <w:pStyle w:val="Footer"/>
          <w:jc w:val="center"/>
        </w:pPr>
        <w:r>
          <w:fldChar w:fldCharType="begin"/>
        </w:r>
        <w:r>
          <w:instrText xml:space="preserve"> PAGE   \* MERGEFORMAT </w:instrText>
        </w:r>
        <w:r>
          <w:fldChar w:fldCharType="separate"/>
        </w:r>
        <w:r w:rsidR="003D1367">
          <w:rPr>
            <w:noProof/>
          </w:rPr>
          <w:t>1</w:t>
        </w:r>
        <w:r>
          <w:rPr>
            <w:noProof/>
          </w:rPr>
          <w:fldChar w:fldCharType="end"/>
        </w:r>
      </w:p>
    </w:sdtContent>
  </w:sdt>
  <w:p w:rsidR="0050148E" w:rsidRDefault="005014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73037"/>
      <w:docPartObj>
        <w:docPartGallery w:val="Page Numbers (Bottom of Page)"/>
        <w:docPartUnique/>
      </w:docPartObj>
    </w:sdtPr>
    <w:sdtEndPr>
      <w:rPr>
        <w:noProof/>
      </w:rPr>
    </w:sdtEndPr>
    <w:sdtContent>
      <w:p w:rsidR="0050148E" w:rsidRDefault="0050148E">
        <w:pPr>
          <w:pStyle w:val="Footer"/>
          <w:jc w:val="center"/>
        </w:pPr>
        <w:r>
          <w:fldChar w:fldCharType="begin"/>
        </w:r>
        <w:r>
          <w:instrText xml:space="preserve"> PAGE   \* MERGEFORMAT </w:instrText>
        </w:r>
        <w:r>
          <w:fldChar w:fldCharType="separate"/>
        </w:r>
        <w:r w:rsidR="003D1367">
          <w:rPr>
            <w:noProof/>
          </w:rPr>
          <w:t>90</w:t>
        </w:r>
        <w:r>
          <w:rPr>
            <w:noProof/>
          </w:rPr>
          <w:fldChar w:fldCharType="end"/>
        </w:r>
      </w:p>
    </w:sdtContent>
  </w:sdt>
  <w:p w:rsidR="0050148E" w:rsidRDefault="00501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80B" w:rsidRDefault="000A480B" w:rsidP="00020BCE">
      <w:pPr>
        <w:spacing w:after="0" w:line="240" w:lineRule="auto"/>
      </w:pPr>
      <w:r>
        <w:separator/>
      </w:r>
    </w:p>
  </w:footnote>
  <w:footnote w:type="continuationSeparator" w:id="0">
    <w:p w:rsidR="000A480B" w:rsidRDefault="000A480B" w:rsidP="00020BCE">
      <w:pPr>
        <w:spacing w:after="0" w:line="240" w:lineRule="auto"/>
      </w:pPr>
      <w:r>
        <w:continuationSeparator/>
      </w:r>
    </w:p>
  </w:footnote>
  <w:footnote w:type="continuationNotice" w:id="1">
    <w:p w:rsidR="000A480B" w:rsidRDefault="000A480B">
      <w:pPr>
        <w:spacing w:after="0" w:line="240" w:lineRule="auto"/>
      </w:pPr>
    </w:p>
  </w:footnote>
  <w:footnote w:id="2">
    <w:p w:rsidR="0050148E" w:rsidRPr="009A3368" w:rsidRDefault="0050148E" w:rsidP="008B77EC">
      <w:pPr>
        <w:pStyle w:val="FootnoteText"/>
        <w:rPr>
          <w:lang w:val="en-US"/>
        </w:rPr>
      </w:pPr>
      <w:r>
        <w:rPr>
          <w:rStyle w:val="FootnoteReference"/>
        </w:rPr>
        <w:footnoteRef/>
      </w:r>
      <w:r>
        <w:t xml:space="preserve"> Maddock and Munckton, 2013, 55</w:t>
      </w:r>
    </w:p>
  </w:footnote>
  <w:footnote w:id="3">
    <w:p w:rsidR="0050148E" w:rsidRPr="009A3368" w:rsidRDefault="0050148E" w:rsidP="008B77EC">
      <w:pPr>
        <w:pStyle w:val="FootnoteText"/>
        <w:rPr>
          <w:lang w:val="en-US"/>
        </w:rPr>
      </w:pPr>
      <w:r>
        <w:rPr>
          <w:rStyle w:val="FootnoteReference"/>
        </w:rPr>
        <w:footnoteRef/>
      </w:r>
      <w:r>
        <w:t xml:space="preserve"> </w:t>
      </w:r>
      <w:r w:rsidRPr="009A3368">
        <w:rPr>
          <w:lang w:val="en-US"/>
        </w:rPr>
        <w:t>Debelle, 2012</w:t>
      </w:r>
    </w:p>
  </w:footnote>
  <w:footnote w:id="4">
    <w:p w:rsidR="0050148E" w:rsidRPr="009A3368" w:rsidRDefault="0050148E" w:rsidP="00DA6D50">
      <w:pPr>
        <w:pStyle w:val="FootnoteText"/>
        <w:rPr>
          <w:lang w:val="en-US"/>
        </w:rPr>
      </w:pPr>
      <w:r w:rsidRPr="009A3368">
        <w:rPr>
          <w:rStyle w:val="FootnoteReference"/>
        </w:rPr>
        <w:footnoteRef/>
      </w:r>
      <w:r w:rsidRPr="009A3368">
        <w:t xml:space="preserve"> </w:t>
      </w:r>
      <w:hyperlink r:id="rId1" w:history="1">
        <w:r w:rsidRPr="009A3368">
          <w:rPr>
            <w:rStyle w:val="Hyperlink"/>
            <w:color w:val="000000" w:themeColor="text1"/>
            <w:u w:val="none"/>
          </w:rPr>
          <w:t>BIS</w:t>
        </w:r>
      </w:hyperlink>
      <w:r w:rsidRPr="009A3368">
        <w:rPr>
          <w:rStyle w:val="Hyperlink"/>
          <w:color w:val="000000" w:themeColor="text1"/>
          <w:u w:val="none"/>
        </w:rPr>
        <w:t>, 2012</w:t>
      </w:r>
    </w:p>
  </w:footnote>
  <w:footnote w:id="5">
    <w:p w:rsidR="0050148E" w:rsidRDefault="0050148E">
      <w:pPr>
        <w:pStyle w:val="FootnoteText"/>
      </w:pPr>
      <w:r>
        <w:rPr>
          <w:rStyle w:val="FootnoteReference"/>
        </w:rPr>
        <w:footnoteRef/>
      </w:r>
      <w:r>
        <w:t xml:space="preserve"> OECD Main Economic Indicators, 2014</w:t>
      </w:r>
    </w:p>
  </w:footnote>
  <w:footnote w:id="6">
    <w:p w:rsidR="0050148E" w:rsidRDefault="0050148E" w:rsidP="008B77EC">
      <w:pPr>
        <w:pStyle w:val="FootnoteText"/>
      </w:pPr>
      <w:r>
        <w:rPr>
          <w:rStyle w:val="FootnoteReference"/>
        </w:rPr>
        <w:footnoteRef/>
      </w:r>
      <w:r>
        <w:t xml:space="preserve"> Atkinson et al, 2013</w:t>
      </w:r>
    </w:p>
  </w:footnote>
  <w:footnote w:id="7">
    <w:p w:rsidR="0050148E" w:rsidRPr="009A3368" w:rsidRDefault="0050148E" w:rsidP="008B77EC">
      <w:pPr>
        <w:pStyle w:val="FootnoteText"/>
        <w:rPr>
          <w:lang w:val="en-US"/>
        </w:rPr>
      </w:pPr>
      <w:r>
        <w:rPr>
          <w:rStyle w:val="FootnoteReference"/>
        </w:rPr>
        <w:footnoteRef/>
      </w:r>
      <w:r>
        <w:t xml:space="preserve"> World Bank, 2011</w:t>
      </w:r>
    </w:p>
  </w:footnote>
  <w:footnote w:id="8">
    <w:p w:rsidR="0050148E" w:rsidRPr="009A3368" w:rsidRDefault="0050148E" w:rsidP="003D74D4">
      <w:pPr>
        <w:pStyle w:val="FootnoteText"/>
        <w:rPr>
          <w:lang w:val="en-US"/>
        </w:rPr>
      </w:pPr>
      <w:r>
        <w:rPr>
          <w:rStyle w:val="FootnoteReference"/>
        </w:rPr>
        <w:footnoteRef/>
      </w:r>
      <w:r>
        <w:t xml:space="preserve"> Paraphrased from </w:t>
      </w:r>
      <w:r w:rsidRPr="0088631A">
        <w:rPr>
          <w:color w:val="000000" w:themeColor="text1"/>
          <w:shd w:val="clear" w:color="auto" w:fill="FFFFFF" w:themeFill="background1"/>
        </w:rPr>
        <w:t>PJCCFS, 2009</w:t>
      </w:r>
    </w:p>
  </w:footnote>
  <w:footnote w:id="9">
    <w:p w:rsidR="0050148E" w:rsidRPr="009A3368" w:rsidRDefault="0050148E" w:rsidP="008B77EC">
      <w:pPr>
        <w:pStyle w:val="FootnoteText"/>
        <w:rPr>
          <w:lang w:val="en-US"/>
        </w:rPr>
      </w:pPr>
      <w:r>
        <w:rPr>
          <w:rStyle w:val="FootnoteReference"/>
        </w:rPr>
        <w:footnoteRef/>
      </w:r>
      <w:r>
        <w:t xml:space="preserve"> IMF 2012b; </w:t>
      </w:r>
      <w:hyperlink r:id="rId2" w:history="1">
        <w:r w:rsidRPr="009A3368">
          <w:rPr>
            <w:rStyle w:val="Hyperlink"/>
            <w:color w:val="000000" w:themeColor="text1"/>
            <w:u w:val="none"/>
          </w:rPr>
          <w:t>Stevens, 2010</w:t>
        </w:r>
      </w:hyperlink>
    </w:p>
  </w:footnote>
  <w:footnote w:id="10">
    <w:p w:rsidR="0050148E" w:rsidRDefault="0050148E">
      <w:pPr>
        <w:pStyle w:val="FootnoteText"/>
      </w:pPr>
      <w:r>
        <w:rPr>
          <w:rStyle w:val="FootnoteReference"/>
        </w:rPr>
        <w:footnoteRef/>
      </w:r>
      <w:r>
        <w:t xml:space="preserve"> IMF, 2009</w:t>
      </w:r>
    </w:p>
  </w:footnote>
  <w:footnote w:id="11">
    <w:p w:rsidR="0050148E" w:rsidRPr="009A3368" w:rsidRDefault="0050148E" w:rsidP="0050148E">
      <w:pPr>
        <w:pStyle w:val="FootnoteText"/>
        <w:rPr>
          <w:lang w:val="en-US"/>
        </w:rPr>
      </w:pPr>
      <w:r>
        <w:rPr>
          <w:rStyle w:val="FootnoteReference"/>
        </w:rPr>
        <w:footnoteRef/>
      </w:r>
      <w:r>
        <w:t xml:space="preserve"> Treasury, 2012b</w:t>
      </w:r>
    </w:p>
  </w:footnote>
  <w:footnote w:id="12">
    <w:p w:rsidR="0050148E" w:rsidRPr="009A3368" w:rsidRDefault="0050148E" w:rsidP="0050148E">
      <w:pPr>
        <w:pStyle w:val="FootnoteText"/>
        <w:rPr>
          <w:lang w:val="en-US"/>
        </w:rPr>
      </w:pPr>
      <w:r>
        <w:rPr>
          <w:rStyle w:val="FootnoteReference"/>
        </w:rPr>
        <w:footnoteRef/>
      </w:r>
      <w:r>
        <w:t xml:space="preserve"> </w:t>
      </w:r>
      <w:r w:rsidRPr="00C739D0">
        <w:t>IMF, 2012</w:t>
      </w:r>
      <w:r>
        <w:t>b</w:t>
      </w:r>
      <w:r w:rsidRPr="00C739D0">
        <w:t>, Figure 8</w:t>
      </w:r>
    </w:p>
  </w:footnote>
  <w:footnote w:id="13">
    <w:p w:rsidR="0050148E" w:rsidRPr="000430B4" w:rsidRDefault="0050148E" w:rsidP="005E4524">
      <w:pPr>
        <w:pStyle w:val="FootnoteText"/>
        <w:rPr>
          <w:lang w:val="en-US"/>
        </w:rPr>
      </w:pPr>
      <w:r>
        <w:rPr>
          <w:rStyle w:val="FootnoteReference"/>
        </w:rPr>
        <w:footnoteRef/>
      </w:r>
      <w:r>
        <w:t xml:space="preserve"> Gizycki and Lowe, 2000, 180</w:t>
      </w:r>
    </w:p>
  </w:footnote>
  <w:footnote w:id="14">
    <w:p w:rsidR="0050148E" w:rsidRPr="000430B4" w:rsidRDefault="0050148E">
      <w:pPr>
        <w:pStyle w:val="FootnoteText"/>
        <w:rPr>
          <w:lang w:val="en-US"/>
        </w:rPr>
      </w:pPr>
      <w:r>
        <w:rPr>
          <w:rStyle w:val="FootnoteReference"/>
        </w:rPr>
        <w:footnoteRef/>
      </w:r>
      <w:r>
        <w:t xml:space="preserve"> </w:t>
      </w:r>
      <w:r w:rsidRPr="00EE0D4C">
        <w:t>Gizycki and Lowe, 2000, 181</w:t>
      </w:r>
    </w:p>
  </w:footnote>
  <w:footnote w:id="15">
    <w:p w:rsidR="0050148E" w:rsidRPr="000430B4" w:rsidRDefault="0050148E">
      <w:pPr>
        <w:pStyle w:val="FootnoteText"/>
        <w:rPr>
          <w:lang w:val="en-US"/>
        </w:rPr>
      </w:pPr>
      <w:r>
        <w:rPr>
          <w:rStyle w:val="FootnoteReference"/>
        </w:rPr>
        <w:footnoteRef/>
      </w:r>
      <w:r>
        <w:t xml:space="preserve"> </w:t>
      </w:r>
      <w:r w:rsidRPr="0009661E">
        <w:rPr>
          <w:rFonts w:asciiTheme="minorHAnsi" w:hAnsiTheme="minorHAnsi"/>
        </w:rPr>
        <w:t>Carmichael</w:t>
      </w:r>
      <w:r>
        <w:rPr>
          <w:rFonts w:asciiTheme="minorHAnsi" w:hAnsiTheme="minorHAnsi"/>
        </w:rPr>
        <w:t>,</w:t>
      </w:r>
      <w:r w:rsidRPr="0009661E">
        <w:rPr>
          <w:rFonts w:asciiTheme="minorHAnsi" w:hAnsiTheme="minorHAnsi"/>
        </w:rPr>
        <w:t xml:space="preserve"> 1999</w:t>
      </w:r>
    </w:p>
  </w:footnote>
  <w:footnote w:id="16">
    <w:p w:rsidR="0050148E" w:rsidRPr="000430B4" w:rsidRDefault="0050148E" w:rsidP="005E423B">
      <w:pPr>
        <w:pStyle w:val="FootnoteText"/>
        <w:rPr>
          <w:lang w:val="en-US"/>
        </w:rPr>
      </w:pPr>
      <w:r>
        <w:rPr>
          <w:rStyle w:val="FootnoteReference"/>
        </w:rPr>
        <w:footnoteRef/>
      </w:r>
      <w:r>
        <w:t xml:space="preserve"> </w:t>
      </w:r>
      <w:r w:rsidRPr="00216722">
        <w:rPr>
          <w:rFonts w:asciiTheme="minorHAnsi" w:hAnsiTheme="minorHAnsi"/>
          <w:szCs w:val="24"/>
          <w:lang w:val="en"/>
        </w:rPr>
        <w:t>HIH Royal Commission, 2003, 442</w:t>
      </w:r>
    </w:p>
  </w:footnote>
  <w:footnote w:id="17">
    <w:p w:rsidR="0050148E" w:rsidRPr="00E84353" w:rsidRDefault="0050148E">
      <w:pPr>
        <w:pStyle w:val="FootnoteText"/>
        <w:rPr>
          <w:lang w:val="en-US"/>
        </w:rPr>
      </w:pPr>
      <w:r>
        <w:rPr>
          <w:rStyle w:val="FootnoteReference"/>
        </w:rPr>
        <w:footnoteRef/>
      </w:r>
      <w:r>
        <w:t xml:space="preserve"> </w:t>
      </w:r>
      <w:r w:rsidRPr="00E84353">
        <w:t>Laker, 2010</w:t>
      </w:r>
    </w:p>
  </w:footnote>
  <w:footnote w:id="18">
    <w:p w:rsidR="0050148E" w:rsidRPr="00C01A46" w:rsidRDefault="0050148E" w:rsidP="00DA6D50">
      <w:pPr>
        <w:pStyle w:val="FootnoteText"/>
        <w:rPr>
          <w:lang w:val="en-US"/>
        </w:rPr>
      </w:pPr>
      <w:r>
        <w:rPr>
          <w:rStyle w:val="FootnoteReference"/>
        </w:rPr>
        <w:footnoteRef/>
      </w:r>
      <w:r>
        <w:t xml:space="preserve"> </w:t>
      </w:r>
      <w:r>
        <w:rPr>
          <w:lang w:val="en-US"/>
        </w:rPr>
        <w:t>IMF, 2010, 4</w:t>
      </w:r>
    </w:p>
  </w:footnote>
  <w:footnote w:id="19">
    <w:p w:rsidR="0050148E" w:rsidRPr="001B3746" w:rsidRDefault="0050148E" w:rsidP="00EB63A8">
      <w:pPr>
        <w:pStyle w:val="FootnoteText"/>
        <w:rPr>
          <w:lang w:val="en-US"/>
        </w:rPr>
      </w:pPr>
      <w:r>
        <w:rPr>
          <w:rStyle w:val="FootnoteReference"/>
        </w:rPr>
        <w:footnoteRef/>
      </w:r>
      <w:r>
        <w:t xml:space="preserve"> </w:t>
      </w:r>
      <w:r>
        <w:rPr>
          <w:lang w:val="en-US"/>
        </w:rPr>
        <w:t>FSB Peer Review of Australia, 2011</w:t>
      </w:r>
    </w:p>
  </w:footnote>
  <w:footnote w:id="20">
    <w:p w:rsidR="0050148E" w:rsidRPr="0069327D" w:rsidRDefault="0050148E" w:rsidP="00247B6E">
      <w:pPr>
        <w:pStyle w:val="FootnoteText"/>
        <w:rPr>
          <w:lang w:val="en-US"/>
        </w:rPr>
      </w:pPr>
      <w:r>
        <w:rPr>
          <w:rStyle w:val="FootnoteReference"/>
        </w:rPr>
        <w:footnoteRef/>
      </w:r>
      <w:r>
        <w:t xml:space="preserve"> Laker, 2010</w:t>
      </w:r>
    </w:p>
  </w:footnote>
  <w:footnote w:id="21">
    <w:p w:rsidR="0050148E" w:rsidRPr="0069327D" w:rsidRDefault="0050148E" w:rsidP="005D12BE">
      <w:pPr>
        <w:pStyle w:val="FootnoteText"/>
        <w:rPr>
          <w:lang w:val="en-US"/>
        </w:rPr>
      </w:pPr>
      <w:r>
        <w:rPr>
          <w:rStyle w:val="FootnoteReference"/>
        </w:rPr>
        <w:footnoteRef/>
      </w:r>
      <w:r>
        <w:t xml:space="preserve"> </w:t>
      </w:r>
      <w:r w:rsidRPr="008F12A8">
        <w:t>Stevens</w:t>
      </w:r>
      <w:r>
        <w:t>,</w:t>
      </w:r>
      <w:r w:rsidRPr="008F12A8">
        <w:t xml:space="preserve"> 2013</w:t>
      </w:r>
    </w:p>
  </w:footnote>
  <w:footnote w:id="22">
    <w:p w:rsidR="0050148E" w:rsidRPr="0069327D" w:rsidRDefault="0050148E" w:rsidP="00247B6E">
      <w:pPr>
        <w:pStyle w:val="FootnoteText"/>
        <w:rPr>
          <w:lang w:val="en-US"/>
        </w:rPr>
      </w:pPr>
      <w:r>
        <w:rPr>
          <w:rStyle w:val="FootnoteReference"/>
        </w:rPr>
        <w:footnoteRef/>
      </w:r>
      <w:r>
        <w:t xml:space="preserve"> Schwartz, 2013.  For example, Australia is one of a minority of countries that have depositor preference, with most countries instead relying solely on deposit insurance.  </w:t>
      </w:r>
    </w:p>
  </w:footnote>
  <w:footnote w:id="23">
    <w:p w:rsidR="0050148E" w:rsidRPr="0069327D" w:rsidRDefault="0050148E" w:rsidP="005D12BE">
      <w:pPr>
        <w:pStyle w:val="FootnoteText"/>
        <w:rPr>
          <w:lang w:val="en-US"/>
        </w:rPr>
      </w:pPr>
      <w:r>
        <w:rPr>
          <w:rStyle w:val="FootnoteReference"/>
        </w:rPr>
        <w:footnoteRef/>
      </w:r>
      <w:r>
        <w:t xml:space="preserve"> </w:t>
      </w:r>
      <w:r w:rsidRPr="00347F7D">
        <w:rPr>
          <w:rFonts w:asciiTheme="minorHAnsi" w:eastAsia="Times New Roman" w:hAnsiTheme="minorHAnsi"/>
          <w:szCs w:val="24"/>
        </w:rPr>
        <w:t>G20, 2014</w:t>
      </w:r>
    </w:p>
  </w:footnote>
  <w:footnote w:id="24">
    <w:p w:rsidR="0050148E" w:rsidRPr="0069327D" w:rsidRDefault="0050148E" w:rsidP="00D82358">
      <w:pPr>
        <w:pStyle w:val="FootnoteText"/>
        <w:rPr>
          <w:lang w:val="en-US"/>
        </w:rPr>
      </w:pPr>
      <w:r>
        <w:rPr>
          <w:rStyle w:val="FootnoteReference"/>
        </w:rPr>
        <w:footnoteRef/>
      </w:r>
      <w:r>
        <w:t xml:space="preserve"> </w:t>
      </w:r>
      <w:hyperlink r:id="rId3" w:history="1">
        <w:r w:rsidRPr="0069327D">
          <w:rPr>
            <w:rStyle w:val="Hyperlink"/>
            <w:color w:val="auto"/>
            <w:u w:val="none"/>
          </w:rPr>
          <w:t>Stevens, 2010</w:t>
        </w:r>
      </w:hyperlink>
    </w:p>
  </w:footnote>
  <w:footnote w:id="25">
    <w:p w:rsidR="0050148E" w:rsidRDefault="0050148E" w:rsidP="000E7FE9">
      <w:pPr>
        <w:pStyle w:val="FootnoteText"/>
      </w:pPr>
      <w:r>
        <w:rPr>
          <w:rStyle w:val="FootnoteReference"/>
        </w:rPr>
        <w:footnoteRef/>
      </w:r>
      <w:r>
        <w:t xml:space="preserve"> ABS, 2013, Cat. </w:t>
      </w:r>
      <w:r w:rsidRPr="00C9750C">
        <w:t>4228.0</w:t>
      </w:r>
    </w:p>
  </w:footnote>
  <w:footnote w:id="26">
    <w:p w:rsidR="0050148E" w:rsidRPr="00123CD5" w:rsidRDefault="0050148E" w:rsidP="0081009B">
      <w:pPr>
        <w:pStyle w:val="FootnoteText"/>
        <w:rPr>
          <w:lang w:val="en-US"/>
        </w:rPr>
      </w:pPr>
      <w:r>
        <w:rPr>
          <w:rStyle w:val="FootnoteReference"/>
        </w:rPr>
        <w:footnoteRef/>
      </w:r>
      <w:r>
        <w:t xml:space="preserve"> Valentine, 2008; Ben-Shahar and Schneider 2011; </w:t>
      </w:r>
      <w:r w:rsidRPr="00F31218">
        <w:t>Trowbridge, 2011</w:t>
      </w:r>
    </w:p>
  </w:footnote>
  <w:footnote w:id="27">
    <w:p w:rsidR="0050148E" w:rsidRDefault="0050148E" w:rsidP="0081009B">
      <w:pPr>
        <w:pStyle w:val="FootnoteText"/>
      </w:pPr>
      <w:r>
        <w:rPr>
          <w:rStyle w:val="FootnoteReference"/>
        </w:rPr>
        <w:footnoteRef/>
      </w:r>
      <w:r>
        <w:t xml:space="preserve"> Mandell 2006; </w:t>
      </w:r>
      <w:r w:rsidRPr="00D115C2">
        <w:t>Fernandes</w:t>
      </w:r>
      <w:r>
        <w:t xml:space="preserve"> et al 2014</w:t>
      </w:r>
      <w:r w:rsidRPr="00D115C2">
        <w:t>; ASIC 201</w:t>
      </w:r>
      <w:r>
        <w:t>1</w:t>
      </w:r>
      <w:r w:rsidRPr="00D115C2">
        <w:t>.</w:t>
      </w:r>
    </w:p>
  </w:footnote>
  <w:footnote w:id="28">
    <w:p w:rsidR="0050148E" w:rsidRDefault="0050148E" w:rsidP="00466700">
      <w:pPr>
        <w:pStyle w:val="FootnoteText"/>
      </w:pPr>
      <w:r>
        <w:rPr>
          <w:rStyle w:val="FootnoteReference"/>
        </w:rPr>
        <w:footnoteRef/>
      </w:r>
      <w:r>
        <w:t xml:space="preserve"> This goes beyond promoting standardised format for digitised information, and includes information technology that can aggregate quotes for a product or service in circumstances where consumers must first supply information service providers.</w:t>
      </w:r>
    </w:p>
  </w:footnote>
  <w:footnote w:id="29">
    <w:p w:rsidR="0050148E" w:rsidRPr="00927884" w:rsidRDefault="0050148E" w:rsidP="008C28FF">
      <w:pPr>
        <w:pStyle w:val="FootnoteText"/>
        <w:rPr>
          <w:lang w:val="en-US"/>
        </w:rPr>
      </w:pPr>
      <w:r>
        <w:rPr>
          <w:rStyle w:val="FootnoteReference"/>
        </w:rPr>
        <w:footnoteRef/>
      </w:r>
      <w:r>
        <w:t xml:space="preserve"> Sunstein, 2011, 1365</w:t>
      </w:r>
    </w:p>
  </w:footnote>
  <w:footnote w:id="30">
    <w:p w:rsidR="0050148E" w:rsidRDefault="0050148E">
      <w:pPr>
        <w:pStyle w:val="FootnoteText"/>
      </w:pPr>
      <w:r>
        <w:rPr>
          <w:rStyle w:val="FootnoteReference"/>
        </w:rPr>
        <w:footnoteRef/>
      </w:r>
      <w:r>
        <w:t xml:space="preserve"> </w:t>
      </w:r>
      <w:r w:rsidRPr="00F61DBF">
        <w:t>IMF</w:t>
      </w:r>
      <w:r>
        <w:t>,</w:t>
      </w:r>
      <w:r w:rsidRPr="00F61DBF">
        <w:t xml:space="preserve"> 2011</w:t>
      </w:r>
    </w:p>
  </w:footnote>
  <w:footnote w:id="31">
    <w:p w:rsidR="0050148E" w:rsidRDefault="0050148E" w:rsidP="00F61DBF">
      <w:pPr>
        <w:pStyle w:val="FootnoteText"/>
      </w:pPr>
      <w:r>
        <w:rPr>
          <w:rStyle w:val="FootnoteReference"/>
        </w:rPr>
        <w:footnoteRef/>
      </w:r>
      <w:r>
        <w:t xml:space="preserve"> Palmer, 2002, 138</w:t>
      </w:r>
    </w:p>
  </w:footnote>
  <w:footnote w:id="32">
    <w:p w:rsidR="0050148E" w:rsidRPr="0069327D" w:rsidRDefault="0050148E" w:rsidP="00F61DBF">
      <w:pPr>
        <w:pStyle w:val="FootnoteText"/>
        <w:rPr>
          <w:lang w:val="en-US"/>
        </w:rPr>
      </w:pPr>
      <w:r>
        <w:rPr>
          <w:rStyle w:val="FootnoteReference"/>
        </w:rPr>
        <w:footnoteRef/>
      </w:r>
      <w:r>
        <w:t xml:space="preserve"> Uhrig Review, 2003, 18</w:t>
      </w:r>
    </w:p>
  </w:footnote>
  <w:footnote w:id="33">
    <w:p w:rsidR="0050148E" w:rsidRPr="00927884" w:rsidRDefault="0050148E" w:rsidP="001D78C1">
      <w:pPr>
        <w:pStyle w:val="FootnoteText"/>
        <w:rPr>
          <w:lang w:val="en-US"/>
        </w:rPr>
      </w:pPr>
      <w:r w:rsidRPr="00927884">
        <w:rPr>
          <w:rStyle w:val="FootnoteReference"/>
        </w:rPr>
        <w:footnoteRef/>
      </w:r>
      <w:r w:rsidRPr="00927884">
        <w:t xml:space="preserve"> Wallis Inquiry, 1997, </w:t>
      </w:r>
      <w:r>
        <w:t>175</w:t>
      </w:r>
    </w:p>
  </w:footnote>
  <w:footnote w:id="34">
    <w:p w:rsidR="0050148E" w:rsidRPr="001B3746" w:rsidRDefault="0050148E" w:rsidP="00C55CEC">
      <w:pPr>
        <w:pStyle w:val="FootnoteText"/>
        <w:rPr>
          <w:lang w:val="en-US"/>
        </w:rPr>
      </w:pPr>
      <w:r>
        <w:rPr>
          <w:rStyle w:val="FootnoteReference"/>
        </w:rPr>
        <w:footnoteRef/>
      </w:r>
      <w:r>
        <w:t xml:space="preserve"> </w:t>
      </w:r>
      <w:r>
        <w:rPr>
          <w:lang w:val="en-US"/>
        </w:rPr>
        <w:t xml:space="preserve">ABACUS, 2013 </w:t>
      </w:r>
    </w:p>
  </w:footnote>
  <w:footnote w:id="35">
    <w:p w:rsidR="0050148E" w:rsidRDefault="0050148E">
      <w:pPr>
        <w:pStyle w:val="FootnoteText"/>
      </w:pPr>
      <w:r>
        <w:rPr>
          <w:rStyle w:val="FootnoteReference"/>
        </w:rPr>
        <w:footnoteRef/>
      </w:r>
      <w:r>
        <w:t xml:space="preserve"> Wallis Inquiry, 1997, 20</w:t>
      </w:r>
    </w:p>
  </w:footnote>
  <w:footnote w:id="36">
    <w:p w:rsidR="0050148E" w:rsidRDefault="0050148E" w:rsidP="00E8561D">
      <w:pPr>
        <w:pStyle w:val="FootnoteText"/>
      </w:pPr>
      <w:r>
        <w:rPr>
          <w:rStyle w:val="FootnoteReference"/>
        </w:rPr>
        <w:footnoteRef/>
      </w:r>
      <w:r>
        <w:t xml:space="preserve"> OECD, 2010</w:t>
      </w:r>
    </w:p>
  </w:footnote>
  <w:footnote w:id="37">
    <w:p w:rsidR="0050148E" w:rsidRDefault="0050148E">
      <w:pPr>
        <w:pStyle w:val="FootnoteText"/>
      </w:pPr>
      <w:r>
        <w:rPr>
          <w:rStyle w:val="FootnoteReference"/>
        </w:rPr>
        <w:footnoteRef/>
      </w:r>
      <w:r>
        <w:t xml:space="preserve"> Keeley, 1990</w:t>
      </w:r>
    </w:p>
  </w:footnote>
  <w:footnote w:id="38">
    <w:p w:rsidR="0050148E" w:rsidRDefault="0050148E">
      <w:pPr>
        <w:pStyle w:val="FootnoteText"/>
      </w:pPr>
      <w:r>
        <w:rPr>
          <w:rStyle w:val="FootnoteReference"/>
        </w:rPr>
        <w:footnoteRef/>
      </w:r>
      <w:r>
        <w:t xml:space="preserve"> Schaeck and Cihak 2013</w:t>
      </w:r>
    </w:p>
  </w:footnote>
  <w:footnote w:id="39">
    <w:p w:rsidR="0050148E" w:rsidRDefault="0050148E">
      <w:pPr>
        <w:pStyle w:val="FootnoteText"/>
      </w:pPr>
      <w:r>
        <w:rPr>
          <w:rStyle w:val="FootnoteReference"/>
        </w:rPr>
        <w:footnoteRef/>
      </w:r>
      <w:r>
        <w:t xml:space="preserve"> House of Representatives Standing Committee on Economics 2008; 2009; Senate Economics Committee 2009; 2010</w:t>
      </w:r>
    </w:p>
  </w:footnote>
  <w:footnote w:id="40">
    <w:p w:rsidR="0050148E" w:rsidRDefault="0050148E">
      <w:pPr>
        <w:pStyle w:val="FootnoteText"/>
      </w:pPr>
      <w:r>
        <w:rPr>
          <w:rStyle w:val="FootnoteReference"/>
        </w:rPr>
        <w:footnoteRef/>
      </w:r>
      <w:r>
        <w:t xml:space="preserve"> APRA Monthly Banking Statistics and RBA Financial Aggregates</w:t>
      </w:r>
    </w:p>
  </w:footnote>
  <w:footnote w:id="41">
    <w:p w:rsidR="0050148E" w:rsidRDefault="0050148E" w:rsidP="000B3DB5">
      <w:pPr>
        <w:pStyle w:val="FootnoteText"/>
      </w:pPr>
      <w:r>
        <w:rPr>
          <w:rStyle w:val="FootnoteReference"/>
        </w:rPr>
        <w:footnoteRef/>
      </w:r>
      <w:r>
        <w:t xml:space="preserve"> Claessens and Laeven 2003</w:t>
      </w:r>
    </w:p>
  </w:footnote>
  <w:footnote w:id="42">
    <w:p w:rsidR="0050148E" w:rsidRDefault="0050148E" w:rsidP="004A35E7">
      <w:pPr>
        <w:pStyle w:val="FootnoteText"/>
      </w:pPr>
      <w:r>
        <w:rPr>
          <w:rStyle w:val="FootnoteReference"/>
        </w:rPr>
        <w:footnoteRef/>
      </w:r>
      <w:r>
        <w:t xml:space="preserve"> Roy Morgan 2014.</w:t>
      </w:r>
    </w:p>
  </w:footnote>
  <w:footnote w:id="43">
    <w:p w:rsidR="0050148E" w:rsidRDefault="0050148E">
      <w:pPr>
        <w:pStyle w:val="FootnoteText"/>
      </w:pPr>
      <w:r>
        <w:rPr>
          <w:rStyle w:val="FootnoteReference"/>
        </w:rPr>
        <w:footnoteRef/>
      </w:r>
      <w:r>
        <w:t xml:space="preserve"> ABS cat.no. 8165.0 and 8155.0</w:t>
      </w:r>
    </w:p>
  </w:footnote>
  <w:footnote w:id="44">
    <w:p w:rsidR="0050148E" w:rsidRDefault="0050148E">
      <w:pPr>
        <w:pStyle w:val="FootnoteText"/>
      </w:pPr>
      <w:r>
        <w:rPr>
          <w:rStyle w:val="FootnoteReference"/>
        </w:rPr>
        <w:footnoteRef/>
      </w:r>
      <w:r>
        <w:t xml:space="preserve"> COSBOA, 2013.</w:t>
      </w:r>
    </w:p>
  </w:footnote>
  <w:footnote w:id="45">
    <w:p w:rsidR="0050148E" w:rsidRDefault="0050148E" w:rsidP="004A14C9">
      <w:pPr>
        <w:pStyle w:val="FootnoteText"/>
      </w:pPr>
      <w:r>
        <w:rPr>
          <w:rStyle w:val="FootnoteReference"/>
        </w:rPr>
        <w:footnoteRef/>
      </w:r>
      <w:r>
        <w:t xml:space="preserve"> RBA 2006.</w:t>
      </w:r>
    </w:p>
  </w:footnote>
  <w:footnote w:id="46">
    <w:p w:rsidR="0050148E" w:rsidRDefault="0050148E" w:rsidP="004A14C9">
      <w:pPr>
        <w:pStyle w:val="FootnoteText"/>
      </w:pPr>
      <w:r>
        <w:rPr>
          <w:rStyle w:val="FootnoteReference"/>
        </w:rPr>
        <w:footnoteRef/>
      </w:r>
      <w:r>
        <w:t xml:space="preserve"> Davis 2011.</w:t>
      </w:r>
    </w:p>
  </w:footnote>
  <w:footnote w:id="47">
    <w:p w:rsidR="0050148E" w:rsidRDefault="0050148E" w:rsidP="004A14C9">
      <w:pPr>
        <w:pStyle w:val="FootnoteText"/>
      </w:pPr>
      <w:r>
        <w:rPr>
          <w:rStyle w:val="FootnoteReference"/>
        </w:rPr>
        <w:footnoteRef/>
      </w:r>
      <w:r>
        <w:t xml:space="preserve"> 2013-14 MYEFO.</w:t>
      </w:r>
    </w:p>
  </w:footnote>
  <w:footnote w:id="48">
    <w:p w:rsidR="0050148E" w:rsidRDefault="0050148E">
      <w:pPr>
        <w:pStyle w:val="FootnoteText"/>
      </w:pPr>
      <w:r>
        <w:rPr>
          <w:rStyle w:val="FootnoteReference"/>
        </w:rPr>
        <w:footnoteRef/>
      </w:r>
      <w:r>
        <w:t xml:space="preserve"> Standard &amp; Poors 2013.</w:t>
      </w:r>
    </w:p>
  </w:footnote>
  <w:footnote w:id="49">
    <w:p w:rsidR="0050148E" w:rsidRDefault="0050148E">
      <w:pPr>
        <w:pStyle w:val="FootnoteText"/>
      </w:pPr>
      <w:r>
        <w:rPr>
          <w:rStyle w:val="FootnoteReference"/>
        </w:rPr>
        <w:footnoteRef/>
      </w:r>
      <w:r>
        <w:t xml:space="preserve"> AFTS Review, 2009</w:t>
      </w:r>
    </w:p>
  </w:footnote>
  <w:footnote w:id="50">
    <w:p w:rsidR="0050148E" w:rsidRDefault="0050148E" w:rsidP="0098133F">
      <w:pPr>
        <w:pStyle w:val="FootnoteText"/>
      </w:pPr>
      <w:r>
        <w:rPr>
          <w:rStyle w:val="FootnoteReference"/>
        </w:rPr>
        <w:footnoteRef/>
      </w:r>
      <w:r>
        <w:t xml:space="preserve"> AFTS Review, 2009 </w:t>
      </w:r>
    </w:p>
  </w:footnote>
  <w:footnote w:id="51">
    <w:p w:rsidR="0050148E" w:rsidRDefault="0050148E" w:rsidP="0098133F">
      <w:pPr>
        <w:pStyle w:val="FootnoteText"/>
      </w:pPr>
      <w:r>
        <w:rPr>
          <w:rStyle w:val="FootnoteReference"/>
        </w:rPr>
        <w:footnoteRef/>
      </w:r>
      <w:r>
        <w:t xml:space="preserve"> </w:t>
      </w:r>
      <w:r w:rsidRPr="006F4AA9">
        <w:t>Treasury estimate based on ABS cat.no.5673 and APRA Statistic</w:t>
      </w:r>
      <w:r>
        <w:t xml:space="preserve">s Annual Superannuation Bulletin. </w:t>
      </w:r>
    </w:p>
  </w:footnote>
  <w:footnote w:id="52">
    <w:p w:rsidR="0050148E" w:rsidRDefault="0050148E" w:rsidP="0098133F">
      <w:pPr>
        <w:pStyle w:val="FootnoteText"/>
      </w:pPr>
      <w:r>
        <w:rPr>
          <w:rStyle w:val="FootnoteReference"/>
        </w:rPr>
        <w:footnoteRef/>
      </w:r>
      <w:r>
        <w:t xml:space="preserve"> AFTS Review, 2009 </w:t>
      </w:r>
    </w:p>
  </w:footnote>
  <w:footnote w:id="53">
    <w:p w:rsidR="0050148E" w:rsidRDefault="0050148E">
      <w:pPr>
        <w:pStyle w:val="FootnoteText"/>
      </w:pPr>
      <w:r w:rsidRPr="00F86B6B">
        <w:rPr>
          <w:rStyle w:val="FootnoteReference"/>
        </w:rPr>
        <w:footnoteRef/>
      </w:r>
      <w:r w:rsidRPr="00F86B6B">
        <w:t xml:space="preserve"> APRA, 2014, Statistics Annual Superannuation Bulletin</w:t>
      </w:r>
    </w:p>
  </w:footnote>
  <w:footnote w:id="54">
    <w:p w:rsidR="0050148E" w:rsidRDefault="0050148E" w:rsidP="0098133F">
      <w:pPr>
        <w:pStyle w:val="FootnoteText"/>
      </w:pPr>
      <w:r>
        <w:rPr>
          <w:rStyle w:val="FootnoteReference"/>
        </w:rPr>
        <w:footnoteRef/>
      </w:r>
      <w:r>
        <w:t xml:space="preserve"> ABS, 2011-12 Cat. 6554.0</w:t>
      </w:r>
    </w:p>
  </w:footnote>
  <w:footnote w:id="55">
    <w:p w:rsidR="0050148E" w:rsidRPr="00A85EE4" w:rsidRDefault="0050148E" w:rsidP="007E54E6">
      <w:pPr>
        <w:pStyle w:val="FootnoteText"/>
      </w:pPr>
      <w:r w:rsidRPr="00A85EE4">
        <w:rPr>
          <w:rStyle w:val="FootnoteReference"/>
        </w:rPr>
        <w:footnoteRef/>
      </w:r>
      <w:r w:rsidRPr="00A85EE4">
        <w:t xml:space="preserve"> APRA Quarterly Superannuation Performance</w:t>
      </w:r>
      <w:r>
        <w:t>,</w:t>
      </w:r>
      <w:r w:rsidRPr="00A85EE4">
        <w:t xml:space="preserve"> December 2013</w:t>
      </w:r>
    </w:p>
  </w:footnote>
  <w:footnote w:id="56">
    <w:p w:rsidR="0050148E" w:rsidRDefault="0050148E" w:rsidP="007E54E6">
      <w:pPr>
        <w:pStyle w:val="FootnoteText"/>
      </w:pPr>
      <w:r w:rsidRPr="00A85EE4">
        <w:rPr>
          <w:rStyle w:val="FootnoteReference"/>
        </w:rPr>
        <w:footnoteRef/>
      </w:r>
      <w:r w:rsidRPr="00A85EE4">
        <w:t xml:space="preserve"> APRA Insight</w:t>
      </w:r>
      <w:r>
        <w:t>,</w:t>
      </w:r>
      <w:r w:rsidRPr="00A85EE4">
        <w:t xml:space="preserve"> Issue 2 2007 (Special Edition)</w:t>
      </w:r>
    </w:p>
  </w:footnote>
  <w:footnote w:id="57">
    <w:p w:rsidR="0050148E" w:rsidRDefault="0050148E" w:rsidP="007E54E6">
      <w:pPr>
        <w:pStyle w:val="FootnoteText"/>
      </w:pPr>
      <w:r>
        <w:rPr>
          <w:rStyle w:val="FootnoteReference"/>
        </w:rPr>
        <w:footnoteRef/>
      </w:r>
      <w:r>
        <w:t xml:space="preserve"> </w:t>
      </w:r>
      <w:r w:rsidRPr="0078645E">
        <w:t xml:space="preserve">Treasury analysis of ATO 2010-11 confidentialised sample file of Member Contribution Statements.  The data include all individuals with superannuation contributions in 2010-11.  A small group of people have superannuation contributions to both SMSF and APRA-regulated accounts. </w:t>
      </w:r>
      <w:r>
        <w:t xml:space="preserve"> </w:t>
      </w:r>
      <w:r w:rsidRPr="0078645E">
        <w:t>These people are classified with SMSFs</w:t>
      </w:r>
      <w:r>
        <w:t>.</w:t>
      </w:r>
    </w:p>
  </w:footnote>
  <w:footnote w:id="58">
    <w:p w:rsidR="0050148E" w:rsidRDefault="0050148E">
      <w:pPr>
        <w:pStyle w:val="FootnoteText"/>
      </w:pPr>
      <w:r>
        <w:rPr>
          <w:rStyle w:val="FootnoteReference"/>
        </w:rPr>
        <w:footnoteRef/>
      </w:r>
      <w:r>
        <w:t xml:space="preserve"> </w:t>
      </w:r>
      <w:r w:rsidRPr="002C3016">
        <w:t xml:space="preserve">Treasury projections using the RIMGROUP model.  Current superannuation policies are incorporated including the increase in the </w:t>
      </w:r>
      <w:r>
        <w:t>Superannuation Guarantee</w:t>
      </w:r>
      <w:r w:rsidRPr="002C3016">
        <w:t xml:space="preserve"> to 12%.  A steady (after fees) return for superannuation funds of around 6% is assumed.  The asset value from the model is in nominal dollars (2040 prices) and is converted to a proportion of GDP using Treasury projections of GDP.</w:t>
      </w:r>
    </w:p>
  </w:footnote>
  <w:footnote w:id="59">
    <w:p w:rsidR="0050148E" w:rsidRDefault="0050148E" w:rsidP="008F421E">
      <w:pPr>
        <w:pStyle w:val="FootnoteText"/>
      </w:pPr>
      <w:r>
        <w:rPr>
          <w:rStyle w:val="FootnoteReference"/>
        </w:rPr>
        <w:footnoteRef/>
      </w:r>
      <w:r>
        <w:t xml:space="preserve"> APRA, Annual Superannuation Bulletin, June 2013. Note: This figure only represents the share of investments held in default investment strategies.</w:t>
      </w:r>
    </w:p>
  </w:footnote>
  <w:footnote w:id="60">
    <w:p w:rsidR="0050148E" w:rsidRDefault="0050148E" w:rsidP="008F421E">
      <w:pPr>
        <w:pStyle w:val="FootnoteText"/>
      </w:pPr>
      <w:r>
        <w:rPr>
          <w:rStyle w:val="FootnoteReference"/>
        </w:rPr>
        <w:footnoteRef/>
      </w:r>
      <w:r>
        <w:t xml:space="preserve"> ATO </w:t>
      </w:r>
      <w:r w:rsidRPr="005D31D2">
        <w:rPr>
          <w:lang w:val="en"/>
        </w:rPr>
        <w:t xml:space="preserve">Self-managed </w:t>
      </w:r>
      <w:r>
        <w:rPr>
          <w:lang w:val="en"/>
        </w:rPr>
        <w:t xml:space="preserve">super fund statistical report, </w:t>
      </w:r>
      <w:r w:rsidRPr="005D31D2">
        <w:rPr>
          <w:lang w:val="en"/>
        </w:rPr>
        <w:t>December 2013</w:t>
      </w:r>
    </w:p>
  </w:footnote>
  <w:footnote w:id="61">
    <w:p w:rsidR="0050148E" w:rsidRPr="006B5AEB" w:rsidRDefault="0050148E" w:rsidP="0098133F">
      <w:pPr>
        <w:pStyle w:val="FootnoteText"/>
        <w:rPr>
          <w:lang w:val="en-US"/>
        </w:rPr>
      </w:pPr>
      <w:r>
        <w:rPr>
          <w:rStyle w:val="FootnoteReference"/>
        </w:rPr>
        <w:footnoteRef/>
      </w:r>
      <w:r>
        <w:t xml:space="preserve"> </w:t>
      </w:r>
      <w:r>
        <w:rPr>
          <w:lang w:val="en-US"/>
        </w:rPr>
        <w:t xml:space="preserve">Rice Warner, 2012 </w:t>
      </w:r>
    </w:p>
  </w:footnote>
  <w:footnote w:id="62">
    <w:p w:rsidR="0050148E" w:rsidRDefault="0050148E" w:rsidP="005E01C9">
      <w:pPr>
        <w:pStyle w:val="FootnoteText"/>
      </w:pPr>
      <w:r>
        <w:rPr>
          <w:rStyle w:val="FootnoteReference"/>
        </w:rPr>
        <w:footnoteRef/>
      </w:r>
      <w:r>
        <w:t xml:space="preserve"> </w:t>
      </w:r>
      <w:r>
        <w:rPr>
          <w:lang w:val="en-US"/>
        </w:rPr>
        <w:t>Rice Warner, 2012</w:t>
      </w:r>
    </w:p>
  </w:footnote>
  <w:footnote w:id="63">
    <w:p w:rsidR="0050148E" w:rsidRDefault="0050148E" w:rsidP="005E01C9">
      <w:pPr>
        <w:pStyle w:val="FootnoteText"/>
      </w:pPr>
      <w:r>
        <w:rPr>
          <w:rStyle w:val="FootnoteReference"/>
        </w:rPr>
        <w:footnoteRef/>
      </w:r>
      <w:r>
        <w:t xml:space="preserve"> SuperRatings, 2014 </w:t>
      </w:r>
    </w:p>
  </w:footnote>
  <w:footnote w:id="64">
    <w:p w:rsidR="0050148E" w:rsidRDefault="0050148E" w:rsidP="0098133F">
      <w:pPr>
        <w:pStyle w:val="FootnoteText"/>
      </w:pPr>
      <w:r>
        <w:rPr>
          <w:rStyle w:val="FootnoteReference"/>
        </w:rPr>
        <w:footnoteRef/>
      </w:r>
      <w:r>
        <w:t xml:space="preserve"> Cummings, </w:t>
      </w:r>
      <w:r w:rsidRPr="00D0660E">
        <w:t>2012</w:t>
      </w:r>
    </w:p>
  </w:footnote>
  <w:footnote w:id="65">
    <w:p w:rsidR="0050148E" w:rsidRDefault="0050148E" w:rsidP="005E01C9">
      <w:pPr>
        <w:pStyle w:val="FootnoteText"/>
      </w:pPr>
      <w:r>
        <w:rPr>
          <w:rStyle w:val="FootnoteReference"/>
        </w:rPr>
        <w:footnoteRef/>
      </w:r>
      <w:r>
        <w:t xml:space="preserve"> APRA, Insight Issue 2, 2007</w:t>
      </w:r>
    </w:p>
  </w:footnote>
  <w:footnote w:id="66">
    <w:p w:rsidR="0050148E" w:rsidRDefault="0050148E" w:rsidP="005E01C9">
      <w:pPr>
        <w:pStyle w:val="FootnoteText"/>
      </w:pPr>
      <w:r>
        <w:rPr>
          <w:rStyle w:val="FootnoteReference"/>
        </w:rPr>
        <w:footnoteRef/>
      </w:r>
      <w:r>
        <w:t xml:space="preserve"> APRA Quarterly Superannuation Performance, December 2013 </w:t>
      </w:r>
    </w:p>
  </w:footnote>
  <w:footnote w:id="67">
    <w:p w:rsidR="0050148E" w:rsidRDefault="0050148E" w:rsidP="005E01C9">
      <w:pPr>
        <w:pStyle w:val="FootnoteText"/>
      </w:pPr>
      <w:r>
        <w:rPr>
          <w:rStyle w:val="FootnoteReference"/>
        </w:rPr>
        <w:footnoteRef/>
      </w:r>
      <w:r>
        <w:t xml:space="preserve"> APRA Quarterly Superannuation Performance December 2013 and APRA Superannuation Fund-level Profiles and Financial Performance June 2013</w:t>
      </w:r>
    </w:p>
  </w:footnote>
  <w:footnote w:id="68">
    <w:p w:rsidR="0050148E" w:rsidRPr="006E17FB" w:rsidRDefault="0050148E" w:rsidP="0098133F">
      <w:pPr>
        <w:pStyle w:val="FootnoteText"/>
        <w:rPr>
          <w:lang w:val="en-US"/>
        </w:rPr>
      </w:pPr>
      <w:r>
        <w:rPr>
          <w:rStyle w:val="FootnoteReference"/>
        </w:rPr>
        <w:footnoteRef/>
      </w:r>
      <w:r>
        <w:t xml:space="preserve"> Cumbo, 2014</w:t>
      </w:r>
    </w:p>
  </w:footnote>
  <w:footnote w:id="69">
    <w:p w:rsidR="0050148E" w:rsidRPr="006E17FB" w:rsidRDefault="0050148E" w:rsidP="0098133F">
      <w:pPr>
        <w:pStyle w:val="FootnoteText"/>
        <w:rPr>
          <w:lang w:val="en-US"/>
        </w:rPr>
      </w:pPr>
      <w:r>
        <w:rPr>
          <w:rStyle w:val="FootnoteReference"/>
        </w:rPr>
        <w:footnoteRef/>
      </w:r>
      <w:r>
        <w:t xml:space="preserve"> OECD, 2013</w:t>
      </w:r>
    </w:p>
  </w:footnote>
  <w:footnote w:id="70">
    <w:p w:rsidR="0050148E" w:rsidRDefault="0050148E" w:rsidP="0098133F">
      <w:pPr>
        <w:pStyle w:val="OutlineNumbered1"/>
        <w:numPr>
          <w:ilvl w:val="0"/>
          <w:numId w:val="0"/>
        </w:numPr>
      </w:pPr>
      <w:r>
        <w:rPr>
          <w:rStyle w:val="FootnoteReference"/>
        </w:rPr>
        <w:footnoteRef/>
      </w:r>
      <w:r w:rsidRPr="0084047D">
        <w:rPr>
          <w:sz w:val="18"/>
          <w:szCs w:val="18"/>
        </w:rPr>
        <w:t>Bateman and Piggott, 2010</w:t>
      </w:r>
    </w:p>
    <w:p w:rsidR="0050148E" w:rsidRPr="00C20B54" w:rsidRDefault="0050148E" w:rsidP="0098133F">
      <w:pPr>
        <w:pStyle w:val="FootnoteText"/>
        <w:rPr>
          <w:lang w:val="en-US"/>
        </w:rPr>
      </w:pPr>
    </w:p>
  </w:footnote>
  <w:footnote w:id="71">
    <w:p w:rsidR="0050148E" w:rsidRDefault="0050148E">
      <w:pPr>
        <w:pStyle w:val="FootnoteText"/>
      </w:pPr>
      <w:r>
        <w:rPr>
          <w:rStyle w:val="FootnoteReference"/>
        </w:rPr>
        <w:footnoteRef/>
      </w:r>
      <w:r>
        <w:t xml:space="preserve"> Except in unusual circumstances, such as legal incapacity and sole member self-managed superannuation funds.</w:t>
      </w:r>
    </w:p>
  </w:footnote>
  <w:footnote w:id="72">
    <w:p w:rsidR="0050148E" w:rsidRDefault="0050148E" w:rsidP="006D0203">
      <w:pPr>
        <w:pStyle w:val="FootnoteText"/>
      </w:pPr>
      <w:r>
        <w:rPr>
          <w:rStyle w:val="FootnoteReference"/>
        </w:rPr>
        <w:footnoteRef/>
      </w:r>
      <w:r>
        <w:t xml:space="preserve"> Prudential Standard CPS 220 which commences from 1 January 2015</w:t>
      </w:r>
    </w:p>
  </w:footnote>
  <w:footnote w:id="73">
    <w:p w:rsidR="0050148E" w:rsidRDefault="0050148E" w:rsidP="009F5FD7">
      <w:pPr>
        <w:pStyle w:val="FootnoteText"/>
      </w:pPr>
      <w:r w:rsidRPr="000D226F">
        <w:rPr>
          <w:rStyle w:val="FootnoteReference"/>
        </w:rPr>
        <w:footnoteRef/>
      </w:r>
      <w:r w:rsidRPr="000D226F">
        <w:t xml:space="preserve"> APRA</w:t>
      </w:r>
      <w:r>
        <w:t>, Insight Issue 3, 2012</w:t>
      </w:r>
    </w:p>
  </w:footnote>
  <w:footnote w:id="74">
    <w:p w:rsidR="0050148E" w:rsidRDefault="0050148E" w:rsidP="009F5FD7">
      <w:pPr>
        <w:pStyle w:val="FootnoteText"/>
      </w:pPr>
      <w:r>
        <w:rPr>
          <w:rStyle w:val="FootnoteReference"/>
        </w:rPr>
        <w:footnoteRef/>
      </w:r>
      <w:r>
        <w:t xml:space="preserve"> Insurance Council of Australia, 2013 </w:t>
      </w:r>
    </w:p>
  </w:footnote>
  <w:footnote w:id="75">
    <w:p w:rsidR="0050148E" w:rsidRDefault="0050148E">
      <w:pPr>
        <w:pStyle w:val="FootnoteText"/>
      </w:pPr>
      <w:r>
        <w:rPr>
          <w:rStyle w:val="FootnoteReference"/>
        </w:rPr>
        <w:footnoteRef/>
      </w:r>
      <w:r>
        <w:t xml:space="preserve"> Australian Government Actuary, 2012</w:t>
      </w:r>
    </w:p>
  </w:footnote>
  <w:footnote w:id="76">
    <w:p w:rsidR="0050148E" w:rsidRDefault="0050148E" w:rsidP="009F5FD7">
      <w:pPr>
        <w:pStyle w:val="FootnoteText"/>
      </w:pPr>
      <w:r w:rsidRPr="00421BEE">
        <w:rPr>
          <w:rStyle w:val="FootnoteReference"/>
        </w:rPr>
        <w:footnoteRef/>
      </w:r>
      <w:r w:rsidRPr="00421BEE">
        <w:t xml:space="preserve"> Natural</w:t>
      </w:r>
      <w:r>
        <w:t xml:space="preserve"> Disaster Insurance Review, 2011 </w:t>
      </w:r>
    </w:p>
  </w:footnote>
  <w:footnote w:id="77">
    <w:p w:rsidR="0050148E" w:rsidRDefault="0050148E" w:rsidP="009F5FD7">
      <w:pPr>
        <w:pStyle w:val="FootnoteText"/>
      </w:pPr>
      <w:r>
        <w:rPr>
          <w:rStyle w:val="FootnoteReference"/>
        </w:rPr>
        <w:footnoteRef/>
      </w:r>
      <w:r w:rsidRPr="00AC353F">
        <w:t>Productivity Commission,</w:t>
      </w:r>
      <w:r>
        <w:rPr>
          <w:i/>
        </w:rPr>
        <w:t xml:space="preserve"> </w:t>
      </w:r>
      <w:r>
        <w:t>2012</w:t>
      </w:r>
    </w:p>
  </w:footnote>
  <w:footnote w:id="78">
    <w:p w:rsidR="0050148E" w:rsidRDefault="0050148E" w:rsidP="009F5FD7">
      <w:pPr>
        <w:pStyle w:val="FootnoteText"/>
      </w:pPr>
      <w:r>
        <w:rPr>
          <w:rStyle w:val="FootnoteReference"/>
        </w:rPr>
        <w:footnoteRef/>
      </w:r>
      <w:r>
        <w:t>Suncorp Group, 2014</w:t>
      </w:r>
    </w:p>
  </w:footnote>
  <w:footnote w:id="79">
    <w:p w:rsidR="0050148E" w:rsidRDefault="0050148E" w:rsidP="009F5FD7">
      <w:pPr>
        <w:pStyle w:val="FootnoteText"/>
      </w:pPr>
      <w:r w:rsidRPr="005A6ECF">
        <w:rPr>
          <w:rStyle w:val="FootnoteReference"/>
        </w:rPr>
        <w:footnoteRef/>
      </w:r>
      <w:r w:rsidRPr="005A6ECF">
        <w:t>Keenan and Hockey, 2013</w:t>
      </w:r>
      <w:r>
        <w:t xml:space="preserve">  </w:t>
      </w:r>
    </w:p>
  </w:footnote>
  <w:footnote w:id="80">
    <w:p w:rsidR="0050148E" w:rsidRDefault="0050148E" w:rsidP="009F5FD7">
      <w:pPr>
        <w:pStyle w:val="FootnoteText"/>
      </w:pPr>
      <w:r>
        <w:rPr>
          <w:rStyle w:val="FootnoteReference"/>
        </w:rPr>
        <w:footnoteRef/>
      </w:r>
      <w:r>
        <w:t xml:space="preserve"> The chart represents net profit/loss performance for direct insurers only; it does not include data for reinsurers.</w:t>
      </w:r>
    </w:p>
  </w:footnote>
  <w:footnote w:id="81">
    <w:p w:rsidR="0050148E" w:rsidRDefault="0050148E" w:rsidP="00E57612">
      <w:pPr>
        <w:pStyle w:val="FootnoteText"/>
      </w:pPr>
      <w:r>
        <w:rPr>
          <w:rStyle w:val="FootnoteReference"/>
        </w:rPr>
        <w:footnoteRef/>
      </w:r>
      <w:r>
        <w:t xml:space="preserve"> AFMA, 2013</w:t>
      </w:r>
    </w:p>
  </w:footnote>
  <w:footnote w:id="82">
    <w:p w:rsidR="0050148E" w:rsidRDefault="0050148E" w:rsidP="00E57612">
      <w:pPr>
        <w:pStyle w:val="FootnoteText"/>
      </w:pPr>
      <w:r>
        <w:rPr>
          <w:rStyle w:val="FootnoteReference"/>
        </w:rPr>
        <w:footnoteRef/>
      </w:r>
      <w:r>
        <w:t xml:space="preserve"> Thomson Reuters 2014</w:t>
      </w:r>
    </w:p>
  </w:footnote>
  <w:footnote w:id="83">
    <w:p w:rsidR="0050148E" w:rsidRDefault="0050148E" w:rsidP="00E57612">
      <w:pPr>
        <w:pStyle w:val="FootnoteText"/>
      </w:pPr>
      <w:r>
        <w:rPr>
          <w:rStyle w:val="FootnoteReference"/>
        </w:rPr>
        <w:footnoteRef/>
      </w:r>
      <w:r>
        <w:t xml:space="preserve"> Davis and Ralston, 2013, 42</w:t>
      </w:r>
    </w:p>
  </w:footnote>
  <w:footnote w:id="84">
    <w:p w:rsidR="0050148E" w:rsidRDefault="0050148E" w:rsidP="00E57612">
      <w:pPr>
        <w:pStyle w:val="FootnoteText"/>
      </w:pPr>
      <w:r>
        <w:rPr>
          <w:rStyle w:val="FootnoteReference"/>
        </w:rPr>
        <w:footnoteRef/>
      </w:r>
      <w:r>
        <w:t xml:space="preserve"> Black and Kirkwood, 2010, 25</w:t>
      </w:r>
    </w:p>
  </w:footnote>
  <w:footnote w:id="85">
    <w:p w:rsidR="0050148E" w:rsidRDefault="0050148E" w:rsidP="00E57612">
      <w:pPr>
        <w:pStyle w:val="FootnoteText"/>
      </w:pPr>
      <w:r>
        <w:rPr>
          <w:rStyle w:val="FootnoteReference"/>
        </w:rPr>
        <w:footnoteRef/>
      </w:r>
      <w:r>
        <w:t xml:space="preserve"> Accelerated rights issues include an initial offering to institutional investors over a short period of time,     followed by a second offering to retail investors along a more traditional 23 day timetable.  </w:t>
      </w:r>
    </w:p>
  </w:footnote>
  <w:footnote w:id="86">
    <w:p w:rsidR="0050148E" w:rsidRDefault="0050148E" w:rsidP="00E57612">
      <w:pPr>
        <w:pStyle w:val="FootnoteText"/>
      </w:pPr>
      <w:r>
        <w:rPr>
          <w:rStyle w:val="FootnoteReference"/>
        </w:rPr>
        <w:footnoteRef/>
      </w:r>
      <w:r>
        <w:t xml:space="preserve"> Treasury, 2012a </w:t>
      </w:r>
    </w:p>
  </w:footnote>
  <w:footnote w:id="87">
    <w:p w:rsidR="0050148E" w:rsidRDefault="0050148E" w:rsidP="00DB1BAB">
      <w:pPr>
        <w:pStyle w:val="FootnoteText"/>
      </w:pPr>
      <w:r>
        <w:rPr>
          <w:rStyle w:val="FootnoteReference"/>
        </w:rPr>
        <w:footnoteRef/>
      </w:r>
      <w:r>
        <w:t xml:space="preserve"> CFR, 2012</w:t>
      </w:r>
    </w:p>
  </w:footnote>
  <w:footnote w:id="88">
    <w:p w:rsidR="0050148E" w:rsidRDefault="0050148E" w:rsidP="00DB1BAB">
      <w:pPr>
        <w:pStyle w:val="FootnoteText"/>
      </w:pPr>
      <w:r>
        <w:rPr>
          <w:rStyle w:val="FootnoteReference"/>
        </w:rPr>
        <w:footnoteRef/>
      </w:r>
      <w:r>
        <w:t xml:space="preserve"> CFR, 2014</w:t>
      </w:r>
    </w:p>
  </w:footnote>
  <w:footnote w:id="89">
    <w:p w:rsidR="0050148E" w:rsidRDefault="0050148E" w:rsidP="0096393A">
      <w:pPr>
        <w:pStyle w:val="FootnoteText"/>
      </w:pPr>
      <w:r>
        <w:rPr>
          <w:rStyle w:val="FootnoteReference"/>
        </w:rPr>
        <w:footnoteRef/>
      </w:r>
      <w:r>
        <w:t xml:space="preserve"> Garton et al, 2010</w:t>
      </w:r>
    </w:p>
  </w:footnote>
  <w:footnote w:id="90">
    <w:p w:rsidR="0050148E" w:rsidRDefault="0050148E" w:rsidP="0096393A">
      <w:pPr>
        <w:pStyle w:val="FootnoteText"/>
      </w:pPr>
      <w:r>
        <w:rPr>
          <w:rStyle w:val="FootnoteReference"/>
        </w:rPr>
        <w:footnoteRef/>
      </w:r>
      <w:r>
        <w:t xml:space="preserve"> Gruen 2005 and Belkar, Cockerell and Kent 2007 for discussions on the evolution of the debate on Australia’s current account deficit</w:t>
      </w:r>
    </w:p>
  </w:footnote>
  <w:footnote w:id="91">
    <w:p w:rsidR="0050148E" w:rsidRDefault="0050148E" w:rsidP="00D76787">
      <w:pPr>
        <w:pStyle w:val="FootnoteText"/>
      </w:pPr>
      <w:r>
        <w:rPr>
          <w:rStyle w:val="FootnoteReference"/>
        </w:rPr>
        <w:footnoteRef/>
      </w:r>
      <w:r>
        <w:t xml:space="preserve"> Freestone 2011 et al, Lowe 2012</w:t>
      </w:r>
    </w:p>
  </w:footnote>
  <w:footnote w:id="92">
    <w:p w:rsidR="0050148E" w:rsidRDefault="0050148E">
      <w:pPr>
        <w:pStyle w:val="FootnoteText"/>
      </w:pPr>
      <w:r>
        <w:rPr>
          <w:rStyle w:val="FootnoteReference"/>
        </w:rPr>
        <w:footnoteRef/>
      </w:r>
      <w:r>
        <w:t xml:space="preserve"> See RBA statistics B.21</w:t>
      </w:r>
    </w:p>
  </w:footnote>
  <w:footnote w:id="93">
    <w:p w:rsidR="0050148E" w:rsidRDefault="0050148E" w:rsidP="0096393A">
      <w:pPr>
        <w:pStyle w:val="FootnoteText"/>
      </w:pPr>
      <w:r>
        <w:rPr>
          <w:rStyle w:val="FootnoteReference"/>
        </w:rPr>
        <w:footnoteRef/>
      </w:r>
      <w:r>
        <w:t xml:space="preserve"> Reinhart and Calvo, 2000 </w:t>
      </w:r>
    </w:p>
  </w:footnote>
  <w:footnote w:id="94">
    <w:p w:rsidR="0050148E" w:rsidRDefault="0050148E" w:rsidP="0096393A">
      <w:pPr>
        <w:pStyle w:val="FootnoteText"/>
      </w:pPr>
      <w:r>
        <w:rPr>
          <w:rStyle w:val="FootnoteReference"/>
        </w:rPr>
        <w:footnoteRef/>
      </w:r>
      <w:r>
        <w:t xml:space="preserve"> Debelle, 2011</w:t>
      </w:r>
    </w:p>
  </w:footnote>
  <w:footnote w:id="95">
    <w:p w:rsidR="0050148E" w:rsidRDefault="0050148E" w:rsidP="0096393A">
      <w:pPr>
        <w:pStyle w:val="FootnoteText"/>
      </w:pPr>
      <w:r>
        <w:rPr>
          <w:rStyle w:val="FootnoteReference"/>
        </w:rPr>
        <w:footnoteRef/>
      </w:r>
      <w:r>
        <w:t xml:space="preserve"> IMF, 2014</w:t>
      </w:r>
    </w:p>
  </w:footnote>
  <w:footnote w:id="96">
    <w:p w:rsidR="0050148E" w:rsidRDefault="0050148E" w:rsidP="0096393A">
      <w:pPr>
        <w:pStyle w:val="FootnoteText"/>
      </w:pPr>
      <w:r>
        <w:rPr>
          <w:rStyle w:val="FootnoteReference"/>
        </w:rPr>
        <w:footnoteRef/>
      </w:r>
      <w:r>
        <w:t xml:space="preserve"> RBA, 2013</w:t>
      </w:r>
    </w:p>
  </w:footnote>
  <w:footnote w:id="97">
    <w:p w:rsidR="0050148E" w:rsidRDefault="0050148E" w:rsidP="0096393A">
      <w:pPr>
        <w:pStyle w:val="FootnoteText"/>
      </w:pPr>
      <w:r>
        <w:rPr>
          <w:rStyle w:val="FootnoteReference"/>
        </w:rPr>
        <w:footnoteRef/>
      </w:r>
      <w:r>
        <w:t xml:space="preserve"> Bailey et al, 2012</w:t>
      </w:r>
    </w:p>
  </w:footnote>
  <w:footnote w:id="98">
    <w:p w:rsidR="0050148E" w:rsidRDefault="0050148E" w:rsidP="0096393A">
      <w:pPr>
        <w:pStyle w:val="FootnoteText"/>
      </w:pPr>
      <w:r>
        <w:rPr>
          <w:rStyle w:val="FootnoteReference"/>
        </w:rPr>
        <w:footnoteRef/>
      </w:r>
      <w:r>
        <w:t xml:space="preserve"> Debelle,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Default="0050148E" w:rsidP="0003563D">
    <w:pPr>
      <w:pStyle w:val="Header"/>
      <w:jc w:val="right"/>
    </w:pPr>
    <w:r>
      <w:t>Part 1: Objectives and functions of the financial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Default="0050148E" w:rsidP="0003563D">
    <w:pPr>
      <w:pStyle w:val="Header"/>
      <w:jc w:val="right"/>
    </w:pPr>
    <w:r>
      <w:t>Part 2: Effectiveness of the regulatory architecture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Pr="00F67B76" w:rsidRDefault="0050148E" w:rsidP="007A48A2">
    <w:pPr>
      <w:pStyle w:val="Header"/>
      <w:jc w:val="right"/>
    </w:pPr>
    <w:r w:rsidRPr="00F67B76">
      <w:t>Part 3:  Sectoral issues</w:t>
    </w:r>
  </w:p>
  <w:p w:rsidR="0050148E" w:rsidRDefault="005014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Pr="00F67B76" w:rsidRDefault="0050148E" w:rsidP="007A48A2">
    <w:pPr>
      <w:pStyle w:val="Header"/>
      <w:jc w:val="right"/>
    </w:pPr>
    <w:r>
      <w:t>Appendix:  Australia’s saving and investment balance</w:t>
    </w:r>
  </w:p>
  <w:p w:rsidR="0050148E" w:rsidRDefault="0050148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Pr="007A48A2" w:rsidRDefault="0050148E" w:rsidP="007A48A2">
    <w:pPr>
      <w:pStyle w:val="Header"/>
      <w:jc w:val="right"/>
      <w:rPr>
        <w:sz w:val="20"/>
      </w:rPr>
    </w:pPr>
    <w:r>
      <w:rPr>
        <w:sz w:val="20"/>
      </w:rPr>
      <w:t>References</w:t>
    </w:r>
  </w:p>
  <w:p w:rsidR="0050148E" w:rsidRDefault="0050148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8E" w:rsidRPr="008F3631" w:rsidRDefault="0050148E" w:rsidP="00A73ED0">
    <w:pPr>
      <w:pStyle w:val="Header"/>
      <w:jc w:val="right"/>
      <w:rPr>
        <w:sz w:val="20"/>
      </w:rPr>
    </w:pPr>
    <w:r w:rsidRPr="008F3631">
      <w:rPr>
        <w:sz w:val="20"/>
      </w:rPr>
      <w:t xml:space="preserve">art </w:t>
    </w:r>
    <w:r>
      <w:rPr>
        <w:sz w:val="20"/>
      </w:rPr>
      <w:t>2</w:t>
    </w:r>
    <w:r w:rsidRPr="008F3631">
      <w:rPr>
        <w:sz w:val="20"/>
      </w:rPr>
      <w:t xml:space="preserve">:  </w:t>
    </w:r>
    <w:r>
      <w:rPr>
        <w:sz w:val="20"/>
      </w:rPr>
      <w:t>Australia’s saving and investment balance</w:t>
    </w:r>
  </w:p>
  <w:p w:rsidR="0050148E" w:rsidRDefault="0050148E" w:rsidP="00150F53">
    <w:pPr>
      <w:pStyle w:val="Header"/>
      <w:tabs>
        <w:tab w:val="clear" w:pos="4513"/>
        <w:tab w:val="clear" w:pos="9026"/>
        <w:tab w:val="left" w:pos="5610"/>
      </w:tabs>
    </w:pPr>
    <w:r>
      <w:tab/>
    </w:r>
  </w:p>
  <w:p w:rsidR="0050148E" w:rsidRDefault="005014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544E4"/>
    <w:multiLevelType w:val="multilevel"/>
    <w:tmpl w:val="20246B6C"/>
    <w:name w:val="StandardNumbered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B53C9E"/>
    <w:multiLevelType w:val="hybridMultilevel"/>
    <w:tmpl w:val="094AE0DC"/>
    <w:lvl w:ilvl="0" w:tplc="0E0ADBCA">
      <w:start w:val="1"/>
      <w:numFmt w:val="bullet"/>
      <w:pStyle w:val="b-sty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5C70E3E"/>
    <w:multiLevelType w:val="multilevel"/>
    <w:tmpl w:val="5748D6D0"/>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9E85295"/>
    <w:multiLevelType w:val="multilevel"/>
    <w:tmpl w:val="94980470"/>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D0C3881"/>
    <w:multiLevelType w:val="multilevel"/>
    <w:tmpl w:val="28AE0BC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1AD1F96"/>
    <w:multiLevelType w:val="multilevel"/>
    <w:tmpl w:val="79D687B4"/>
    <w:lvl w:ilvl="0">
      <w:start w:val="1"/>
      <w:numFmt w:val="none"/>
      <w:pStyle w:val="Heading1"/>
      <w:suff w:val="nothing"/>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B80695"/>
    <w:multiLevelType w:val="multilevel"/>
    <w:tmpl w:val="F266E7B6"/>
    <w:lvl w:ilvl="0">
      <w:start w:val="1"/>
      <w:numFmt w:val="bullet"/>
      <w:lvlText w:val="•"/>
      <w:lvlJc w:val="left"/>
      <w:pPr>
        <w:tabs>
          <w:tab w:val="num" w:pos="1040"/>
        </w:tabs>
        <w:ind w:left="1040" w:hanging="520"/>
      </w:pPr>
      <w:rPr>
        <w:rFonts w:ascii="Times New Roman" w:hAnsi="Times New Roman" w:cs="Times New Roman"/>
      </w:rPr>
    </w:lvl>
    <w:lvl w:ilvl="1">
      <w:start w:val="1"/>
      <w:numFmt w:val="bullet"/>
      <w:lvlText w:val="–"/>
      <w:lvlJc w:val="left"/>
      <w:pPr>
        <w:tabs>
          <w:tab w:val="num" w:pos="1560"/>
        </w:tabs>
        <w:ind w:left="1560" w:hanging="520"/>
      </w:pPr>
      <w:rPr>
        <w:rFonts w:ascii="Times New Roman" w:hAnsi="Times New Roman" w:cs="Times New Roman"/>
      </w:rPr>
    </w:lvl>
    <w:lvl w:ilvl="2">
      <w:start w:val="1"/>
      <w:numFmt w:val="bulle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7" w15:restartNumberingAfterBreak="0">
    <w:nsid w:val="615C5518"/>
    <w:multiLevelType w:val="multilevel"/>
    <w:tmpl w:val="DCCE78AC"/>
    <w:lvl w:ilvl="0">
      <w:start w:val="1"/>
      <w:numFmt w:val="decimal"/>
      <w:pStyle w:val="OutlineNumbered1"/>
      <w:lvlText w:val="%1."/>
      <w:lvlJc w:val="left"/>
      <w:pPr>
        <w:tabs>
          <w:tab w:val="num" w:pos="567"/>
        </w:tabs>
        <w:ind w:left="567" w:hanging="567"/>
      </w:pPr>
      <w:rPr>
        <w:rFonts w:hint="default"/>
      </w:rPr>
    </w:lvl>
    <w:lvl w:ilvl="1">
      <w:start w:val="1"/>
      <w:numFmt w:val="decimal"/>
      <w:pStyle w:val="OutlineNumbered2"/>
      <w:lvlText w:val="%1.%2."/>
      <w:lvlJc w:val="left"/>
      <w:pPr>
        <w:tabs>
          <w:tab w:val="num" w:pos="1134"/>
        </w:tabs>
        <w:ind w:left="1134" w:hanging="567"/>
      </w:pPr>
      <w:rPr>
        <w:rFonts w:hint="default"/>
      </w:rPr>
    </w:lvl>
    <w:lvl w:ilvl="2">
      <w:start w:val="1"/>
      <w:numFmt w:val="decimal"/>
      <w:pStyle w:val="OutlineNumbered3"/>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F4A39A5"/>
    <w:multiLevelType w:val="hybridMultilevel"/>
    <w:tmpl w:val="13028F7E"/>
    <w:lvl w:ilvl="0" w:tplc="3D74E3E2">
      <w:start w:val="1"/>
      <w:numFmt w:val="decimal"/>
      <w:pStyle w:val="n-sty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B007AE8"/>
    <w:multiLevelType w:val="multilevel"/>
    <w:tmpl w:val="B70A6EFA"/>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BC57545"/>
    <w:multiLevelType w:val="hybridMultilevel"/>
    <w:tmpl w:val="5C42D9A2"/>
    <w:lvl w:ilvl="0" w:tplc="CE66B860">
      <w:start w:val="1"/>
      <w:numFmt w:val="bullet"/>
      <w:lvlText w:val="•"/>
      <w:lvlJc w:val="left"/>
      <w:pPr>
        <w:tabs>
          <w:tab w:val="num" w:pos="720"/>
        </w:tabs>
        <w:ind w:left="720" w:hanging="360"/>
      </w:pPr>
      <w:rPr>
        <w:rFonts w:ascii="Arial" w:hAnsi="Arial" w:hint="default"/>
      </w:rPr>
    </w:lvl>
    <w:lvl w:ilvl="1" w:tplc="EDBE34BA" w:tentative="1">
      <w:start w:val="1"/>
      <w:numFmt w:val="bullet"/>
      <w:lvlText w:val="•"/>
      <w:lvlJc w:val="left"/>
      <w:pPr>
        <w:tabs>
          <w:tab w:val="num" w:pos="1440"/>
        </w:tabs>
        <w:ind w:left="1440" w:hanging="360"/>
      </w:pPr>
      <w:rPr>
        <w:rFonts w:ascii="Arial" w:hAnsi="Arial" w:hint="default"/>
      </w:rPr>
    </w:lvl>
    <w:lvl w:ilvl="2" w:tplc="1854A06E" w:tentative="1">
      <w:start w:val="1"/>
      <w:numFmt w:val="bullet"/>
      <w:lvlText w:val="•"/>
      <w:lvlJc w:val="left"/>
      <w:pPr>
        <w:tabs>
          <w:tab w:val="num" w:pos="2160"/>
        </w:tabs>
        <w:ind w:left="2160" w:hanging="360"/>
      </w:pPr>
      <w:rPr>
        <w:rFonts w:ascii="Arial" w:hAnsi="Arial" w:hint="default"/>
      </w:rPr>
    </w:lvl>
    <w:lvl w:ilvl="3" w:tplc="2CB45DC6" w:tentative="1">
      <w:start w:val="1"/>
      <w:numFmt w:val="bullet"/>
      <w:lvlText w:val="•"/>
      <w:lvlJc w:val="left"/>
      <w:pPr>
        <w:tabs>
          <w:tab w:val="num" w:pos="2880"/>
        </w:tabs>
        <w:ind w:left="2880" w:hanging="360"/>
      </w:pPr>
      <w:rPr>
        <w:rFonts w:ascii="Arial" w:hAnsi="Arial" w:hint="default"/>
      </w:rPr>
    </w:lvl>
    <w:lvl w:ilvl="4" w:tplc="09B48F84" w:tentative="1">
      <w:start w:val="1"/>
      <w:numFmt w:val="bullet"/>
      <w:lvlText w:val="•"/>
      <w:lvlJc w:val="left"/>
      <w:pPr>
        <w:tabs>
          <w:tab w:val="num" w:pos="3600"/>
        </w:tabs>
        <w:ind w:left="3600" w:hanging="360"/>
      </w:pPr>
      <w:rPr>
        <w:rFonts w:ascii="Arial" w:hAnsi="Arial" w:hint="default"/>
      </w:rPr>
    </w:lvl>
    <w:lvl w:ilvl="5" w:tplc="359C22CA" w:tentative="1">
      <w:start w:val="1"/>
      <w:numFmt w:val="bullet"/>
      <w:lvlText w:val="•"/>
      <w:lvlJc w:val="left"/>
      <w:pPr>
        <w:tabs>
          <w:tab w:val="num" w:pos="4320"/>
        </w:tabs>
        <w:ind w:left="4320" w:hanging="360"/>
      </w:pPr>
      <w:rPr>
        <w:rFonts w:ascii="Arial" w:hAnsi="Arial" w:hint="default"/>
      </w:rPr>
    </w:lvl>
    <w:lvl w:ilvl="6" w:tplc="00F053E6" w:tentative="1">
      <w:start w:val="1"/>
      <w:numFmt w:val="bullet"/>
      <w:lvlText w:val="•"/>
      <w:lvlJc w:val="left"/>
      <w:pPr>
        <w:tabs>
          <w:tab w:val="num" w:pos="5040"/>
        </w:tabs>
        <w:ind w:left="5040" w:hanging="360"/>
      </w:pPr>
      <w:rPr>
        <w:rFonts w:ascii="Arial" w:hAnsi="Arial" w:hint="default"/>
      </w:rPr>
    </w:lvl>
    <w:lvl w:ilvl="7" w:tplc="0ED66276" w:tentative="1">
      <w:start w:val="1"/>
      <w:numFmt w:val="bullet"/>
      <w:lvlText w:val="•"/>
      <w:lvlJc w:val="left"/>
      <w:pPr>
        <w:tabs>
          <w:tab w:val="num" w:pos="5760"/>
        </w:tabs>
        <w:ind w:left="5760" w:hanging="360"/>
      </w:pPr>
      <w:rPr>
        <w:rFonts w:ascii="Arial" w:hAnsi="Arial" w:hint="default"/>
      </w:rPr>
    </w:lvl>
    <w:lvl w:ilvl="8" w:tplc="BDA018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F813DBD"/>
    <w:multiLevelType w:val="multilevel"/>
    <w:tmpl w:val="C7F0D34A"/>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574" w:hanging="360"/>
      </w:pPr>
    </w:lvl>
    <w:lvl w:ilvl="4">
      <w:start w:val="1"/>
      <w:numFmt w:val="lowerLetter"/>
      <w:lvlText w:val="(%5)"/>
      <w:lvlJc w:val="left"/>
      <w:pPr>
        <w:ind w:left="2934" w:hanging="360"/>
      </w:pPr>
    </w:lvl>
    <w:lvl w:ilvl="5">
      <w:start w:val="1"/>
      <w:numFmt w:val="lowerRoman"/>
      <w:lvlText w:val="(%6)"/>
      <w:lvlJc w:val="left"/>
      <w:pPr>
        <w:ind w:left="3294" w:hanging="360"/>
      </w:pPr>
    </w:lvl>
    <w:lvl w:ilvl="6">
      <w:start w:val="1"/>
      <w:numFmt w:val="decimal"/>
      <w:lvlText w:val="%7."/>
      <w:lvlJc w:val="left"/>
      <w:pPr>
        <w:ind w:left="3654" w:hanging="360"/>
      </w:pPr>
    </w:lvl>
    <w:lvl w:ilvl="7">
      <w:start w:val="1"/>
      <w:numFmt w:val="lowerLetter"/>
      <w:lvlText w:val="%8."/>
      <w:lvlJc w:val="left"/>
      <w:pPr>
        <w:ind w:left="4014" w:hanging="360"/>
      </w:pPr>
    </w:lvl>
    <w:lvl w:ilvl="8">
      <w:start w:val="1"/>
      <w:numFmt w:val="lowerRoman"/>
      <w:lvlText w:val="%9."/>
      <w:lvlJc w:val="left"/>
      <w:pPr>
        <w:ind w:left="4374" w:hanging="360"/>
      </w:pPr>
    </w:lvl>
  </w:abstractNum>
  <w:num w:numId="1">
    <w:abstractNumId w:val="3"/>
  </w:num>
  <w:num w:numId="2">
    <w:abstractNumId w:val="1"/>
  </w:num>
  <w:num w:numId="3">
    <w:abstractNumId w:val="8"/>
  </w:num>
  <w:num w:numId="4">
    <w:abstractNumId w:val="3"/>
  </w:num>
  <w:num w:numId="5">
    <w:abstractNumId w:val="3"/>
  </w:num>
  <w:num w:numId="6">
    <w:abstractNumId w:val="6"/>
  </w:num>
  <w:num w:numId="7">
    <w:abstractNumId w:val="7"/>
  </w:num>
  <w:num w:numId="8">
    <w:abstractNumId w:val="4"/>
  </w:num>
  <w:num w:numId="9">
    <w:abstractNumId w:val="0"/>
  </w:num>
  <w:num w:numId="10">
    <w:abstractNumId w:val="5"/>
    <w:lvlOverride w:ilvl="0">
      <w:lvl w:ilvl="0">
        <w:start w:val="1"/>
        <w:numFmt w:val="none"/>
        <w:pStyle w:val="Heading1"/>
        <w:suff w:val="nothing"/>
        <w:lvlText w:val=""/>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5"/>
    <w:lvlOverride w:ilvl="0">
      <w:lvl w:ilvl="0">
        <w:start w:val="1"/>
        <w:numFmt w:val="none"/>
        <w:pStyle w:val="Heading1"/>
        <w:suff w:val="nothing"/>
        <w:lvlText w:val=""/>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10"/>
  </w:num>
  <w:num w:numId="13">
    <w:abstractNumId w:val="2"/>
  </w:num>
  <w:num w:numId="14">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BCE"/>
    <w:rsid w:val="00000222"/>
    <w:rsid w:val="00000A2E"/>
    <w:rsid w:val="00000AEC"/>
    <w:rsid w:val="00001DD1"/>
    <w:rsid w:val="00003105"/>
    <w:rsid w:val="00003267"/>
    <w:rsid w:val="0000437B"/>
    <w:rsid w:val="0000529A"/>
    <w:rsid w:val="00005CBF"/>
    <w:rsid w:val="00006161"/>
    <w:rsid w:val="00006C40"/>
    <w:rsid w:val="000073B5"/>
    <w:rsid w:val="00007A80"/>
    <w:rsid w:val="00007C56"/>
    <w:rsid w:val="00012852"/>
    <w:rsid w:val="0001312C"/>
    <w:rsid w:val="000138AB"/>
    <w:rsid w:val="00014C94"/>
    <w:rsid w:val="00015D07"/>
    <w:rsid w:val="00015F01"/>
    <w:rsid w:val="00016D92"/>
    <w:rsid w:val="000206EC"/>
    <w:rsid w:val="00020B0B"/>
    <w:rsid w:val="00020BCE"/>
    <w:rsid w:val="00021072"/>
    <w:rsid w:val="0002110C"/>
    <w:rsid w:val="0002125E"/>
    <w:rsid w:val="00024515"/>
    <w:rsid w:val="000269D7"/>
    <w:rsid w:val="0002777C"/>
    <w:rsid w:val="000321E8"/>
    <w:rsid w:val="0003286D"/>
    <w:rsid w:val="00032B48"/>
    <w:rsid w:val="00032E9C"/>
    <w:rsid w:val="00033D11"/>
    <w:rsid w:val="00035190"/>
    <w:rsid w:val="0003563D"/>
    <w:rsid w:val="00035A5D"/>
    <w:rsid w:val="00037220"/>
    <w:rsid w:val="00040556"/>
    <w:rsid w:val="00040A52"/>
    <w:rsid w:val="00040FD1"/>
    <w:rsid w:val="00042817"/>
    <w:rsid w:val="000430B4"/>
    <w:rsid w:val="00043961"/>
    <w:rsid w:val="0004429E"/>
    <w:rsid w:val="0004557C"/>
    <w:rsid w:val="000457CD"/>
    <w:rsid w:val="00047038"/>
    <w:rsid w:val="0004714F"/>
    <w:rsid w:val="00047832"/>
    <w:rsid w:val="00053E7E"/>
    <w:rsid w:val="00062CE1"/>
    <w:rsid w:val="00063F2D"/>
    <w:rsid w:val="00064805"/>
    <w:rsid w:val="00064B1C"/>
    <w:rsid w:val="000662D6"/>
    <w:rsid w:val="0006782F"/>
    <w:rsid w:val="00070232"/>
    <w:rsid w:val="0007117D"/>
    <w:rsid w:val="000717C3"/>
    <w:rsid w:val="00071B4D"/>
    <w:rsid w:val="0007206A"/>
    <w:rsid w:val="00072ACF"/>
    <w:rsid w:val="00080026"/>
    <w:rsid w:val="0008087A"/>
    <w:rsid w:val="00080F2B"/>
    <w:rsid w:val="00081A2A"/>
    <w:rsid w:val="00082C4A"/>
    <w:rsid w:val="00085000"/>
    <w:rsid w:val="00085646"/>
    <w:rsid w:val="000869A6"/>
    <w:rsid w:val="000873A9"/>
    <w:rsid w:val="00087DA0"/>
    <w:rsid w:val="000904D2"/>
    <w:rsid w:val="00090F07"/>
    <w:rsid w:val="000927B4"/>
    <w:rsid w:val="00093FE4"/>
    <w:rsid w:val="0009409F"/>
    <w:rsid w:val="00094A36"/>
    <w:rsid w:val="00095D11"/>
    <w:rsid w:val="00095EB5"/>
    <w:rsid w:val="0009639C"/>
    <w:rsid w:val="00096D5D"/>
    <w:rsid w:val="00097697"/>
    <w:rsid w:val="00097C7A"/>
    <w:rsid w:val="000A1191"/>
    <w:rsid w:val="000A1287"/>
    <w:rsid w:val="000A1F8F"/>
    <w:rsid w:val="000A222D"/>
    <w:rsid w:val="000A227E"/>
    <w:rsid w:val="000A27B7"/>
    <w:rsid w:val="000A29F1"/>
    <w:rsid w:val="000A3EBC"/>
    <w:rsid w:val="000A41C3"/>
    <w:rsid w:val="000A480B"/>
    <w:rsid w:val="000A4933"/>
    <w:rsid w:val="000A5AF0"/>
    <w:rsid w:val="000A6140"/>
    <w:rsid w:val="000A79B5"/>
    <w:rsid w:val="000B19E3"/>
    <w:rsid w:val="000B2290"/>
    <w:rsid w:val="000B2741"/>
    <w:rsid w:val="000B3393"/>
    <w:rsid w:val="000B3DB5"/>
    <w:rsid w:val="000B433E"/>
    <w:rsid w:val="000B4939"/>
    <w:rsid w:val="000B7E03"/>
    <w:rsid w:val="000C066C"/>
    <w:rsid w:val="000C15ED"/>
    <w:rsid w:val="000C24B3"/>
    <w:rsid w:val="000C2637"/>
    <w:rsid w:val="000C26AE"/>
    <w:rsid w:val="000C4896"/>
    <w:rsid w:val="000C4B4E"/>
    <w:rsid w:val="000C67C3"/>
    <w:rsid w:val="000D161D"/>
    <w:rsid w:val="000D1D65"/>
    <w:rsid w:val="000D226F"/>
    <w:rsid w:val="000D3CF8"/>
    <w:rsid w:val="000D4215"/>
    <w:rsid w:val="000D4EF9"/>
    <w:rsid w:val="000D52F7"/>
    <w:rsid w:val="000D6F2F"/>
    <w:rsid w:val="000D73BF"/>
    <w:rsid w:val="000E29F4"/>
    <w:rsid w:val="000E467F"/>
    <w:rsid w:val="000E5FC0"/>
    <w:rsid w:val="000E6FDA"/>
    <w:rsid w:val="000E7B1E"/>
    <w:rsid w:val="000E7FE9"/>
    <w:rsid w:val="000F1872"/>
    <w:rsid w:val="000F2B24"/>
    <w:rsid w:val="000F32CE"/>
    <w:rsid w:val="000F3A8E"/>
    <w:rsid w:val="000F3EA3"/>
    <w:rsid w:val="000F5D5E"/>
    <w:rsid w:val="000F6452"/>
    <w:rsid w:val="000F6F11"/>
    <w:rsid w:val="000F7051"/>
    <w:rsid w:val="000F720B"/>
    <w:rsid w:val="000F72F9"/>
    <w:rsid w:val="000F7B1D"/>
    <w:rsid w:val="00101C18"/>
    <w:rsid w:val="00104421"/>
    <w:rsid w:val="001049E8"/>
    <w:rsid w:val="001064E6"/>
    <w:rsid w:val="00107BC9"/>
    <w:rsid w:val="00107EAB"/>
    <w:rsid w:val="00110071"/>
    <w:rsid w:val="00110BD5"/>
    <w:rsid w:val="00111450"/>
    <w:rsid w:val="00111D4B"/>
    <w:rsid w:val="00115587"/>
    <w:rsid w:val="0011739C"/>
    <w:rsid w:val="00117891"/>
    <w:rsid w:val="00120446"/>
    <w:rsid w:val="0012151C"/>
    <w:rsid w:val="00122F0B"/>
    <w:rsid w:val="001242D6"/>
    <w:rsid w:val="00124B28"/>
    <w:rsid w:val="00125ADA"/>
    <w:rsid w:val="00127B92"/>
    <w:rsid w:val="0013020D"/>
    <w:rsid w:val="00130B52"/>
    <w:rsid w:val="00131532"/>
    <w:rsid w:val="001317FD"/>
    <w:rsid w:val="00131A67"/>
    <w:rsid w:val="00133246"/>
    <w:rsid w:val="00133426"/>
    <w:rsid w:val="001334D9"/>
    <w:rsid w:val="001406FC"/>
    <w:rsid w:val="00140ACA"/>
    <w:rsid w:val="00140BA6"/>
    <w:rsid w:val="001417C9"/>
    <w:rsid w:val="0014268A"/>
    <w:rsid w:val="00142DEA"/>
    <w:rsid w:val="00143865"/>
    <w:rsid w:val="001442E9"/>
    <w:rsid w:val="001445B1"/>
    <w:rsid w:val="00144A3B"/>
    <w:rsid w:val="00146831"/>
    <w:rsid w:val="001506D0"/>
    <w:rsid w:val="00150F53"/>
    <w:rsid w:val="00151D61"/>
    <w:rsid w:val="00152D5A"/>
    <w:rsid w:val="00153D98"/>
    <w:rsid w:val="00153DE0"/>
    <w:rsid w:val="00157FE6"/>
    <w:rsid w:val="00161715"/>
    <w:rsid w:val="00162454"/>
    <w:rsid w:val="00163DE4"/>
    <w:rsid w:val="00165A19"/>
    <w:rsid w:val="001660DB"/>
    <w:rsid w:val="0016621B"/>
    <w:rsid w:val="0016626A"/>
    <w:rsid w:val="00167BD2"/>
    <w:rsid w:val="00167DD1"/>
    <w:rsid w:val="00170449"/>
    <w:rsid w:val="0017074E"/>
    <w:rsid w:val="00170E59"/>
    <w:rsid w:val="0017245F"/>
    <w:rsid w:val="001733E8"/>
    <w:rsid w:val="00174203"/>
    <w:rsid w:val="00176C58"/>
    <w:rsid w:val="001770A7"/>
    <w:rsid w:val="00177DB7"/>
    <w:rsid w:val="00180447"/>
    <w:rsid w:val="00180AAA"/>
    <w:rsid w:val="0018131A"/>
    <w:rsid w:val="001813C6"/>
    <w:rsid w:val="00181759"/>
    <w:rsid w:val="001819B5"/>
    <w:rsid w:val="0018383D"/>
    <w:rsid w:val="00183AA7"/>
    <w:rsid w:val="00184FDA"/>
    <w:rsid w:val="00185934"/>
    <w:rsid w:val="00185A67"/>
    <w:rsid w:val="00186144"/>
    <w:rsid w:val="001877DD"/>
    <w:rsid w:val="0019289C"/>
    <w:rsid w:val="001944E9"/>
    <w:rsid w:val="00194F64"/>
    <w:rsid w:val="00196299"/>
    <w:rsid w:val="001A0391"/>
    <w:rsid w:val="001A100D"/>
    <w:rsid w:val="001A14A6"/>
    <w:rsid w:val="001A1946"/>
    <w:rsid w:val="001A31E4"/>
    <w:rsid w:val="001A32DA"/>
    <w:rsid w:val="001A3578"/>
    <w:rsid w:val="001A3DDD"/>
    <w:rsid w:val="001A418B"/>
    <w:rsid w:val="001A47D7"/>
    <w:rsid w:val="001A5D9F"/>
    <w:rsid w:val="001A67E6"/>
    <w:rsid w:val="001A76BA"/>
    <w:rsid w:val="001B0281"/>
    <w:rsid w:val="001B18C3"/>
    <w:rsid w:val="001B3746"/>
    <w:rsid w:val="001B4991"/>
    <w:rsid w:val="001B5AEA"/>
    <w:rsid w:val="001B6BE8"/>
    <w:rsid w:val="001B6FE8"/>
    <w:rsid w:val="001C1BFD"/>
    <w:rsid w:val="001C2523"/>
    <w:rsid w:val="001C3A1D"/>
    <w:rsid w:val="001C5A14"/>
    <w:rsid w:val="001C5C7A"/>
    <w:rsid w:val="001C6C3A"/>
    <w:rsid w:val="001C7238"/>
    <w:rsid w:val="001C7B69"/>
    <w:rsid w:val="001D01C3"/>
    <w:rsid w:val="001D0D89"/>
    <w:rsid w:val="001D1348"/>
    <w:rsid w:val="001D1F96"/>
    <w:rsid w:val="001D2E6B"/>
    <w:rsid w:val="001D3221"/>
    <w:rsid w:val="001D3D90"/>
    <w:rsid w:val="001D6117"/>
    <w:rsid w:val="001D6C70"/>
    <w:rsid w:val="001D6EAB"/>
    <w:rsid w:val="001D78C1"/>
    <w:rsid w:val="001E0522"/>
    <w:rsid w:val="001E16FA"/>
    <w:rsid w:val="001E30A1"/>
    <w:rsid w:val="001E47F2"/>
    <w:rsid w:val="001E4B89"/>
    <w:rsid w:val="001E69DE"/>
    <w:rsid w:val="001E6AA2"/>
    <w:rsid w:val="001E6EFE"/>
    <w:rsid w:val="001F2D6A"/>
    <w:rsid w:val="001F3C40"/>
    <w:rsid w:val="001F43AF"/>
    <w:rsid w:val="001F49C5"/>
    <w:rsid w:val="001F5187"/>
    <w:rsid w:val="001F5AF1"/>
    <w:rsid w:val="001F5C18"/>
    <w:rsid w:val="001F6BD7"/>
    <w:rsid w:val="001F7341"/>
    <w:rsid w:val="00201E91"/>
    <w:rsid w:val="00204EA9"/>
    <w:rsid w:val="002069F5"/>
    <w:rsid w:val="00207489"/>
    <w:rsid w:val="00210F9F"/>
    <w:rsid w:val="002118C0"/>
    <w:rsid w:val="00211AA7"/>
    <w:rsid w:val="002122B3"/>
    <w:rsid w:val="00213FB2"/>
    <w:rsid w:val="00214FC4"/>
    <w:rsid w:val="00214FC6"/>
    <w:rsid w:val="00215FFD"/>
    <w:rsid w:val="002160F5"/>
    <w:rsid w:val="00216F06"/>
    <w:rsid w:val="00217825"/>
    <w:rsid w:val="00217857"/>
    <w:rsid w:val="00220016"/>
    <w:rsid w:val="00223633"/>
    <w:rsid w:val="0022419F"/>
    <w:rsid w:val="00225A30"/>
    <w:rsid w:val="00227978"/>
    <w:rsid w:val="0023010F"/>
    <w:rsid w:val="00231F4F"/>
    <w:rsid w:val="0023347E"/>
    <w:rsid w:val="00233A04"/>
    <w:rsid w:val="00233E26"/>
    <w:rsid w:val="00235B29"/>
    <w:rsid w:val="00237DAA"/>
    <w:rsid w:val="00237E79"/>
    <w:rsid w:val="00240731"/>
    <w:rsid w:val="00240BBF"/>
    <w:rsid w:val="00240FE7"/>
    <w:rsid w:val="00241864"/>
    <w:rsid w:val="002424CF"/>
    <w:rsid w:val="002426B9"/>
    <w:rsid w:val="002457F1"/>
    <w:rsid w:val="002466B1"/>
    <w:rsid w:val="00247821"/>
    <w:rsid w:val="00247B6E"/>
    <w:rsid w:val="00250008"/>
    <w:rsid w:val="002501E0"/>
    <w:rsid w:val="00251D45"/>
    <w:rsid w:val="00254BEF"/>
    <w:rsid w:val="00254C12"/>
    <w:rsid w:val="00254C75"/>
    <w:rsid w:val="00254F3B"/>
    <w:rsid w:val="002555A1"/>
    <w:rsid w:val="00256F75"/>
    <w:rsid w:val="0025760D"/>
    <w:rsid w:val="002624D7"/>
    <w:rsid w:val="0026296D"/>
    <w:rsid w:val="00262C36"/>
    <w:rsid w:val="00263074"/>
    <w:rsid w:val="002642B4"/>
    <w:rsid w:val="002659E9"/>
    <w:rsid w:val="002669E4"/>
    <w:rsid w:val="002675BD"/>
    <w:rsid w:val="002677D2"/>
    <w:rsid w:val="0027109F"/>
    <w:rsid w:val="0027181A"/>
    <w:rsid w:val="00273472"/>
    <w:rsid w:val="00277711"/>
    <w:rsid w:val="00277BEE"/>
    <w:rsid w:val="002805AD"/>
    <w:rsid w:val="00281E02"/>
    <w:rsid w:val="00281F26"/>
    <w:rsid w:val="002828EB"/>
    <w:rsid w:val="002908B9"/>
    <w:rsid w:val="00293E45"/>
    <w:rsid w:val="002944BF"/>
    <w:rsid w:val="002964E1"/>
    <w:rsid w:val="0029672C"/>
    <w:rsid w:val="0029747B"/>
    <w:rsid w:val="00297571"/>
    <w:rsid w:val="00297A29"/>
    <w:rsid w:val="002A0BEA"/>
    <w:rsid w:val="002A0CC9"/>
    <w:rsid w:val="002A0E9D"/>
    <w:rsid w:val="002A4014"/>
    <w:rsid w:val="002A66E1"/>
    <w:rsid w:val="002B00FC"/>
    <w:rsid w:val="002B11B1"/>
    <w:rsid w:val="002B66AF"/>
    <w:rsid w:val="002B681C"/>
    <w:rsid w:val="002B7010"/>
    <w:rsid w:val="002C0B4C"/>
    <w:rsid w:val="002C0C72"/>
    <w:rsid w:val="002C0D7E"/>
    <w:rsid w:val="002C3016"/>
    <w:rsid w:val="002C3CBC"/>
    <w:rsid w:val="002C3FEC"/>
    <w:rsid w:val="002C5E81"/>
    <w:rsid w:val="002C6275"/>
    <w:rsid w:val="002C6B00"/>
    <w:rsid w:val="002C7B2E"/>
    <w:rsid w:val="002D00AE"/>
    <w:rsid w:val="002D1EDD"/>
    <w:rsid w:val="002D2738"/>
    <w:rsid w:val="002D2CF8"/>
    <w:rsid w:val="002D3BBD"/>
    <w:rsid w:val="002D44DC"/>
    <w:rsid w:val="002D5CCB"/>
    <w:rsid w:val="002D75DF"/>
    <w:rsid w:val="002E13F0"/>
    <w:rsid w:val="002E213B"/>
    <w:rsid w:val="002E2829"/>
    <w:rsid w:val="002E5BB5"/>
    <w:rsid w:val="002E7BF4"/>
    <w:rsid w:val="002F0445"/>
    <w:rsid w:val="002F090F"/>
    <w:rsid w:val="002F2752"/>
    <w:rsid w:val="002F399E"/>
    <w:rsid w:val="002F444C"/>
    <w:rsid w:val="002F4C2B"/>
    <w:rsid w:val="002F5255"/>
    <w:rsid w:val="002F5680"/>
    <w:rsid w:val="002F6255"/>
    <w:rsid w:val="002F7991"/>
    <w:rsid w:val="002F7BF4"/>
    <w:rsid w:val="002F7EF5"/>
    <w:rsid w:val="00300356"/>
    <w:rsid w:val="00300702"/>
    <w:rsid w:val="003012B9"/>
    <w:rsid w:val="0030377A"/>
    <w:rsid w:val="00303E1F"/>
    <w:rsid w:val="003051AE"/>
    <w:rsid w:val="0030557F"/>
    <w:rsid w:val="003061F3"/>
    <w:rsid w:val="0031036D"/>
    <w:rsid w:val="00312BF8"/>
    <w:rsid w:val="00313125"/>
    <w:rsid w:val="003131DC"/>
    <w:rsid w:val="00313E1D"/>
    <w:rsid w:val="003161BA"/>
    <w:rsid w:val="00316760"/>
    <w:rsid w:val="00317333"/>
    <w:rsid w:val="00320625"/>
    <w:rsid w:val="00322497"/>
    <w:rsid w:val="00322B72"/>
    <w:rsid w:val="003234EC"/>
    <w:rsid w:val="003237FF"/>
    <w:rsid w:val="00326A8A"/>
    <w:rsid w:val="00327602"/>
    <w:rsid w:val="00327FB8"/>
    <w:rsid w:val="003302FD"/>
    <w:rsid w:val="003309A1"/>
    <w:rsid w:val="00331237"/>
    <w:rsid w:val="00332A51"/>
    <w:rsid w:val="003330E7"/>
    <w:rsid w:val="00333B59"/>
    <w:rsid w:val="0033453B"/>
    <w:rsid w:val="00334DDB"/>
    <w:rsid w:val="00336A6B"/>
    <w:rsid w:val="00336F03"/>
    <w:rsid w:val="00340ABE"/>
    <w:rsid w:val="00341F82"/>
    <w:rsid w:val="003432CC"/>
    <w:rsid w:val="00344D6D"/>
    <w:rsid w:val="00345B4E"/>
    <w:rsid w:val="00345F1C"/>
    <w:rsid w:val="0034612B"/>
    <w:rsid w:val="00346827"/>
    <w:rsid w:val="0035018E"/>
    <w:rsid w:val="00351D2F"/>
    <w:rsid w:val="0035239E"/>
    <w:rsid w:val="00353E37"/>
    <w:rsid w:val="003545BF"/>
    <w:rsid w:val="003546DE"/>
    <w:rsid w:val="00357E40"/>
    <w:rsid w:val="00360BE4"/>
    <w:rsid w:val="00364665"/>
    <w:rsid w:val="00365419"/>
    <w:rsid w:val="003657F6"/>
    <w:rsid w:val="00373ADF"/>
    <w:rsid w:val="00374B80"/>
    <w:rsid w:val="00374D59"/>
    <w:rsid w:val="00375510"/>
    <w:rsid w:val="0037577B"/>
    <w:rsid w:val="003762BA"/>
    <w:rsid w:val="00380098"/>
    <w:rsid w:val="00380C3A"/>
    <w:rsid w:val="0038111F"/>
    <w:rsid w:val="00381732"/>
    <w:rsid w:val="0038190E"/>
    <w:rsid w:val="00382388"/>
    <w:rsid w:val="00386027"/>
    <w:rsid w:val="00387A73"/>
    <w:rsid w:val="00387BB9"/>
    <w:rsid w:val="003907FF"/>
    <w:rsid w:val="003925E7"/>
    <w:rsid w:val="00393AAE"/>
    <w:rsid w:val="00394DEB"/>
    <w:rsid w:val="00397F5B"/>
    <w:rsid w:val="003A05B8"/>
    <w:rsid w:val="003A1FEB"/>
    <w:rsid w:val="003A234B"/>
    <w:rsid w:val="003A29DB"/>
    <w:rsid w:val="003A3B5B"/>
    <w:rsid w:val="003A6219"/>
    <w:rsid w:val="003A7048"/>
    <w:rsid w:val="003A736B"/>
    <w:rsid w:val="003B1B23"/>
    <w:rsid w:val="003B2EB8"/>
    <w:rsid w:val="003B3CBD"/>
    <w:rsid w:val="003C0A31"/>
    <w:rsid w:val="003C0A92"/>
    <w:rsid w:val="003C2724"/>
    <w:rsid w:val="003C28A5"/>
    <w:rsid w:val="003C2993"/>
    <w:rsid w:val="003C4190"/>
    <w:rsid w:val="003C4B7D"/>
    <w:rsid w:val="003C699F"/>
    <w:rsid w:val="003C7CCF"/>
    <w:rsid w:val="003C7CF3"/>
    <w:rsid w:val="003D1367"/>
    <w:rsid w:val="003D172F"/>
    <w:rsid w:val="003D32BE"/>
    <w:rsid w:val="003D348C"/>
    <w:rsid w:val="003D4618"/>
    <w:rsid w:val="003D4B8D"/>
    <w:rsid w:val="003D4D21"/>
    <w:rsid w:val="003D59AF"/>
    <w:rsid w:val="003D6144"/>
    <w:rsid w:val="003D6E19"/>
    <w:rsid w:val="003D741A"/>
    <w:rsid w:val="003D74D4"/>
    <w:rsid w:val="003E4A76"/>
    <w:rsid w:val="003E580A"/>
    <w:rsid w:val="003E5FB2"/>
    <w:rsid w:val="003E7838"/>
    <w:rsid w:val="003E7E97"/>
    <w:rsid w:val="003F17B7"/>
    <w:rsid w:val="003F215E"/>
    <w:rsid w:val="003F273B"/>
    <w:rsid w:val="003F342B"/>
    <w:rsid w:val="003F4995"/>
    <w:rsid w:val="003F68D1"/>
    <w:rsid w:val="003F7356"/>
    <w:rsid w:val="0040069F"/>
    <w:rsid w:val="00402FB1"/>
    <w:rsid w:val="00403C06"/>
    <w:rsid w:val="004046B9"/>
    <w:rsid w:val="00404861"/>
    <w:rsid w:val="00404B71"/>
    <w:rsid w:val="0040592E"/>
    <w:rsid w:val="00407037"/>
    <w:rsid w:val="00410272"/>
    <w:rsid w:val="00411C7B"/>
    <w:rsid w:val="0041470D"/>
    <w:rsid w:val="004164C9"/>
    <w:rsid w:val="00416953"/>
    <w:rsid w:val="00422DFE"/>
    <w:rsid w:val="00422F86"/>
    <w:rsid w:val="0042435D"/>
    <w:rsid w:val="0042438B"/>
    <w:rsid w:val="004243DA"/>
    <w:rsid w:val="0042460A"/>
    <w:rsid w:val="004261C9"/>
    <w:rsid w:val="004269FE"/>
    <w:rsid w:val="00427D1A"/>
    <w:rsid w:val="00431492"/>
    <w:rsid w:val="00431596"/>
    <w:rsid w:val="00431D30"/>
    <w:rsid w:val="00433C2B"/>
    <w:rsid w:val="00433EB9"/>
    <w:rsid w:val="00441A84"/>
    <w:rsid w:val="00443541"/>
    <w:rsid w:val="00445001"/>
    <w:rsid w:val="00446C7D"/>
    <w:rsid w:val="00446ED3"/>
    <w:rsid w:val="00446F87"/>
    <w:rsid w:val="00447FE0"/>
    <w:rsid w:val="00452ABF"/>
    <w:rsid w:val="00453361"/>
    <w:rsid w:val="004533C0"/>
    <w:rsid w:val="0045474B"/>
    <w:rsid w:val="00454C39"/>
    <w:rsid w:val="0045645C"/>
    <w:rsid w:val="0046033E"/>
    <w:rsid w:val="0046060D"/>
    <w:rsid w:val="00460DC8"/>
    <w:rsid w:val="00461711"/>
    <w:rsid w:val="00462280"/>
    <w:rsid w:val="00462F38"/>
    <w:rsid w:val="00465BD1"/>
    <w:rsid w:val="00466700"/>
    <w:rsid w:val="0046793A"/>
    <w:rsid w:val="00467B46"/>
    <w:rsid w:val="004700EE"/>
    <w:rsid w:val="00472BBA"/>
    <w:rsid w:val="00474F78"/>
    <w:rsid w:val="00475F16"/>
    <w:rsid w:val="00476B60"/>
    <w:rsid w:val="00476EDF"/>
    <w:rsid w:val="00477309"/>
    <w:rsid w:val="00480C47"/>
    <w:rsid w:val="00480FA9"/>
    <w:rsid w:val="004812C7"/>
    <w:rsid w:val="0048211E"/>
    <w:rsid w:val="004822BD"/>
    <w:rsid w:val="00485319"/>
    <w:rsid w:val="00486D7F"/>
    <w:rsid w:val="004874C9"/>
    <w:rsid w:val="0049101A"/>
    <w:rsid w:val="00491F77"/>
    <w:rsid w:val="00493361"/>
    <w:rsid w:val="0049461F"/>
    <w:rsid w:val="0049471E"/>
    <w:rsid w:val="004957CA"/>
    <w:rsid w:val="00495FDD"/>
    <w:rsid w:val="00496908"/>
    <w:rsid w:val="00496C24"/>
    <w:rsid w:val="004972DD"/>
    <w:rsid w:val="00497843"/>
    <w:rsid w:val="004A14C9"/>
    <w:rsid w:val="004A1C41"/>
    <w:rsid w:val="004A2596"/>
    <w:rsid w:val="004A26A2"/>
    <w:rsid w:val="004A2807"/>
    <w:rsid w:val="004A34D0"/>
    <w:rsid w:val="004A35E7"/>
    <w:rsid w:val="004A4584"/>
    <w:rsid w:val="004A50C8"/>
    <w:rsid w:val="004A5763"/>
    <w:rsid w:val="004A5F59"/>
    <w:rsid w:val="004A67C8"/>
    <w:rsid w:val="004A67EE"/>
    <w:rsid w:val="004B2D4C"/>
    <w:rsid w:val="004B3E40"/>
    <w:rsid w:val="004B3E9E"/>
    <w:rsid w:val="004B503E"/>
    <w:rsid w:val="004B514E"/>
    <w:rsid w:val="004B621E"/>
    <w:rsid w:val="004B75BA"/>
    <w:rsid w:val="004C099D"/>
    <w:rsid w:val="004C5AF6"/>
    <w:rsid w:val="004C7C4F"/>
    <w:rsid w:val="004D11EE"/>
    <w:rsid w:val="004D2658"/>
    <w:rsid w:val="004D4B98"/>
    <w:rsid w:val="004D4D86"/>
    <w:rsid w:val="004D5F05"/>
    <w:rsid w:val="004D67CB"/>
    <w:rsid w:val="004D74AE"/>
    <w:rsid w:val="004E181F"/>
    <w:rsid w:val="004E3463"/>
    <w:rsid w:val="004E3DDE"/>
    <w:rsid w:val="004E3F84"/>
    <w:rsid w:val="004E513D"/>
    <w:rsid w:val="004E5F08"/>
    <w:rsid w:val="004E7912"/>
    <w:rsid w:val="004F103A"/>
    <w:rsid w:val="004F1295"/>
    <w:rsid w:val="004F19A2"/>
    <w:rsid w:val="004F1AA0"/>
    <w:rsid w:val="004F222D"/>
    <w:rsid w:val="004F28FB"/>
    <w:rsid w:val="004F2B16"/>
    <w:rsid w:val="004F343C"/>
    <w:rsid w:val="004F377F"/>
    <w:rsid w:val="004F4524"/>
    <w:rsid w:val="004F5190"/>
    <w:rsid w:val="004F64F8"/>
    <w:rsid w:val="004F6675"/>
    <w:rsid w:val="004F6D56"/>
    <w:rsid w:val="004F7674"/>
    <w:rsid w:val="004F7A39"/>
    <w:rsid w:val="0050074E"/>
    <w:rsid w:val="0050146F"/>
    <w:rsid w:val="0050148E"/>
    <w:rsid w:val="00501765"/>
    <w:rsid w:val="00502DC5"/>
    <w:rsid w:val="005041F1"/>
    <w:rsid w:val="00504348"/>
    <w:rsid w:val="005053CD"/>
    <w:rsid w:val="005066BA"/>
    <w:rsid w:val="00506F10"/>
    <w:rsid w:val="0050745C"/>
    <w:rsid w:val="00507B0E"/>
    <w:rsid w:val="005119EA"/>
    <w:rsid w:val="0051255E"/>
    <w:rsid w:val="00512E72"/>
    <w:rsid w:val="005133F4"/>
    <w:rsid w:val="00516E13"/>
    <w:rsid w:val="0052061E"/>
    <w:rsid w:val="0052081B"/>
    <w:rsid w:val="005210C0"/>
    <w:rsid w:val="0052256C"/>
    <w:rsid w:val="00522C4F"/>
    <w:rsid w:val="00522FEB"/>
    <w:rsid w:val="00523A64"/>
    <w:rsid w:val="0052415A"/>
    <w:rsid w:val="00524FEB"/>
    <w:rsid w:val="005250F7"/>
    <w:rsid w:val="0052517A"/>
    <w:rsid w:val="0053020B"/>
    <w:rsid w:val="005302AA"/>
    <w:rsid w:val="005303C8"/>
    <w:rsid w:val="00533B7D"/>
    <w:rsid w:val="005347F5"/>
    <w:rsid w:val="005351EC"/>
    <w:rsid w:val="00535AA3"/>
    <w:rsid w:val="005372DF"/>
    <w:rsid w:val="00537FFD"/>
    <w:rsid w:val="005402EF"/>
    <w:rsid w:val="005407ED"/>
    <w:rsid w:val="00540D8E"/>
    <w:rsid w:val="00541752"/>
    <w:rsid w:val="005501FC"/>
    <w:rsid w:val="00551F3A"/>
    <w:rsid w:val="0055210B"/>
    <w:rsid w:val="00552399"/>
    <w:rsid w:val="00552654"/>
    <w:rsid w:val="00552A34"/>
    <w:rsid w:val="00552EEF"/>
    <w:rsid w:val="005545CA"/>
    <w:rsid w:val="00555A2F"/>
    <w:rsid w:val="005562B9"/>
    <w:rsid w:val="005566EC"/>
    <w:rsid w:val="00557884"/>
    <w:rsid w:val="0056082E"/>
    <w:rsid w:val="005611D9"/>
    <w:rsid w:val="00561565"/>
    <w:rsid w:val="005629F5"/>
    <w:rsid w:val="0056383C"/>
    <w:rsid w:val="00564095"/>
    <w:rsid w:val="00564DBF"/>
    <w:rsid w:val="005654AC"/>
    <w:rsid w:val="00566E2C"/>
    <w:rsid w:val="00572010"/>
    <w:rsid w:val="0057311B"/>
    <w:rsid w:val="00573570"/>
    <w:rsid w:val="00573981"/>
    <w:rsid w:val="00573B67"/>
    <w:rsid w:val="0057449E"/>
    <w:rsid w:val="00577949"/>
    <w:rsid w:val="00580E10"/>
    <w:rsid w:val="00582042"/>
    <w:rsid w:val="00584572"/>
    <w:rsid w:val="00585265"/>
    <w:rsid w:val="00585B6D"/>
    <w:rsid w:val="005879D0"/>
    <w:rsid w:val="005910A3"/>
    <w:rsid w:val="0059120E"/>
    <w:rsid w:val="00591614"/>
    <w:rsid w:val="00592582"/>
    <w:rsid w:val="00592DA9"/>
    <w:rsid w:val="00594273"/>
    <w:rsid w:val="00594894"/>
    <w:rsid w:val="00594C19"/>
    <w:rsid w:val="00595574"/>
    <w:rsid w:val="00595DDE"/>
    <w:rsid w:val="005965D4"/>
    <w:rsid w:val="00597986"/>
    <w:rsid w:val="005A258F"/>
    <w:rsid w:val="005A29D4"/>
    <w:rsid w:val="005A2E65"/>
    <w:rsid w:val="005A31EB"/>
    <w:rsid w:val="005A3949"/>
    <w:rsid w:val="005A4878"/>
    <w:rsid w:val="005A51AA"/>
    <w:rsid w:val="005A54D2"/>
    <w:rsid w:val="005A68F4"/>
    <w:rsid w:val="005A69C2"/>
    <w:rsid w:val="005A6ECF"/>
    <w:rsid w:val="005A6FCE"/>
    <w:rsid w:val="005B050A"/>
    <w:rsid w:val="005B05FC"/>
    <w:rsid w:val="005B14B1"/>
    <w:rsid w:val="005B1545"/>
    <w:rsid w:val="005B6454"/>
    <w:rsid w:val="005B6579"/>
    <w:rsid w:val="005B71F0"/>
    <w:rsid w:val="005B7357"/>
    <w:rsid w:val="005B7718"/>
    <w:rsid w:val="005B7A02"/>
    <w:rsid w:val="005B7C8C"/>
    <w:rsid w:val="005C006C"/>
    <w:rsid w:val="005C0413"/>
    <w:rsid w:val="005C07A3"/>
    <w:rsid w:val="005C2C06"/>
    <w:rsid w:val="005C50F6"/>
    <w:rsid w:val="005C6BEC"/>
    <w:rsid w:val="005C7110"/>
    <w:rsid w:val="005D12BE"/>
    <w:rsid w:val="005D1F3B"/>
    <w:rsid w:val="005D1F7B"/>
    <w:rsid w:val="005D30AE"/>
    <w:rsid w:val="005D35CE"/>
    <w:rsid w:val="005D4640"/>
    <w:rsid w:val="005D4FE6"/>
    <w:rsid w:val="005D6F28"/>
    <w:rsid w:val="005E01C9"/>
    <w:rsid w:val="005E04D1"/>
    <w:rsid w:val="005E12EB"/>
    <w:rsid w:val="005E150E"/>
    <w:rsid w:val="005E1CC8"/>
    <w:rsid w:val="005E3A47"/>
    <w:rsid w:val="005E423B"/>
    <w:rsid w:val="005E42F0"/>
    <w:rsid w:val="005E4424"/>
    <w:rsid w:val="005E4524"/>
    <w:rsid w:val="005E4FCC"/>
    <w:rsid w:val="005E5A6A"/>
    <w:rsid w:val="005E5D95"/>
    <w:rsid w:val="005E6D15"/>
    <w:rsid w:val="005E70C1"/>
    <w:rsid w:val="005E7236"/>
    <w:rsid w:val="005F079C"/>
    <w:rsid w:val="005F1682"/>
    <w:rsid w:val="005F320F"/>
    <w:rsid w:val="005F3888"/>
    <w:rsid w:val="005F71EB"/>
    <w:rsid w:val="005F7C20"/>
    <w:rsid w:val="00601DFB"/>
    <w:rsid w:val="00604A41"/>
    <w:rsid w:val="006053F3"/>
    <w:rsid w:val="00607981"/>
    <w:rsid w:val="00607B4F"/>
    <w:rsid w:val="00610388"/>
    <w:rsid w:val="00610D33"/>
    <w:rsid w:val="0061262B"/>
    <w:rsid w:val="006138B6"/>
    <w:rsid w:val="00613ECA"/>
    <w:rsid w:val="00617D84"/>
    <w:rsid w:val="0062073A"/>
    <w:rsid w:val="006214B2"/>
    <w:rsid w:val="00621A0C"/>
    <w:rsid w:val="00622769"/>
    <w:rsid w:val="006230C3"/>
    <w:rsid w:val="00623276"/>
    <w:rsid w:val="00624F9F"/>
    <w:rsid w:val="00625C7D"/>
    <w:rsid w:val="00627E3C"/>
    <w:rsid w:val="0063015B"/>
    <w:rsid w:val="006312F9"/>
    <w:rsid w:val="006317B2"/>
    <w:rsid w:val="00632731"/>
    <w:rsid w:val="006344F8"/>
    <w:rsid w:val="00634F89"/>
    <w:rsid w:val="00635530"/>
    <w:rsid w:val="006363B8"/>
    <w:rsid w:val="0063735E"/>
    <w:rsid w:val="0063746C"/>
    <w:rsid w:val="00637F6D"/>
    <w:rsid w:val="006403E3"/>
    <w:rsid w:val="0064267D"/>
    <w:rsid w:val="00642829"/>
    <w:rsid w:val="00642D12"/>
    <w:rsid w:val="00644FF2"/>
    <w:rsid w:val="00646E93"/>
    <w:rsid w:val="00647C40"/>
    <w:rsid w:val="00650AA4"/>
    <w:rsid w:val="00651205"/>
    <w:rsid w:val="0065162A"/>
    <w:rsid w:val="006518E1"/>
    <w:rsid w:val="00651FA6"/>
    <w:rsid w:val="006526C9"/>
    <w:rsid w:val="00652B93"/>
    <w:rsid w:val="00653BBE"/>
    <w:rsid w:val="0065454B"/>
    <w:rsid w:val="006545A2"/>
    <w:rsid w:val="00654646"/>
    <w:rsid w:val="0066027F"/>
    <w:rsid w:val="0066226B"/>
    <w:rsid w:val="00663411"/>
    <w:rsid w:val="00663494"/>
    <w:rsid w:val="006638A6"/>
    <w:rsid w:val="006639AB"/>
    <w:rsid w:val="00666854"/>
    <w:rsid w:val="00667C89"/>
    <w:rsid w:val="006708CE"/>
    <w:rsid w:val="00670A8C"/>
    <w:rsid w:val="00671022"/>
    <w:rsid w:val="006717F3"/>
    <w:rsid w:val="00671DEB"/>
    <w:rsid w:val="006756AD"/>
    <w:rsid w:val="006771E9"/>
    <w:rsid w:val="0067797B"/>
    <w:rsid w:val="00680DE7"/>
    <w:rsid w:val="00680F51"/>
    <w:rsid w:val="00681067"/>
    <w:rsid w:val="00681687"/>
    <w:rsid w:val="006817E8"/>
    <w:rsid w:val="00681D3B"/>
    <w:rsid w:val="00683DF5"/>
    <w:rsid w:val="00684715"/>
    <w:rsid w:val="00687AB5"/>
    <w:rsid w:val="006900D5"/>
    <w:rsid w:val="00690D9F"/>
    <w:rsid w:val="00693023"/>
    <w:rsid w:val="006930BF"/>
    <w:rsid w:val="0069327D"/>
    <w:rsid w:val="00695B4C"/>
    <w:rsid w:val="00695D3B"/>
    <w:rsid w:val="00697F9F"/>
    <w:rsid w:val="006A1464"/>
    <w:rsid w:val="006A6913"/>
    <w:rsid w:val="006A6F33"/>
    <w:rsid w:val="006B037A"/>
    <w:rsid w:val="006B1A6C"/>
    <w:rsid w:val="006B2A6B"/>
    <w:rsid w:val="006B2C5D"/>
    <w:rsid w:val="006B3118"/>
    <w:rsid w:val="006B5C3D"/>
    <w:rsid w:val="006B7D19"/>
    <w:rsid w:val="006C06CD"/>
    <w:rsid w:val="006C20A1"/>
    <w:rsid w:val="006C23EC"/>
    <w:rsid w:val="006C3B22"/>
    <w:rsid w:val="006C53EB"/>
    <w:rsid w:val="006C5707"/>
    <w:rsid w:val="006D0203"/>
    <w:rsid w:val="006D1555"/>
    <w:rsid w:val="006D1BC8"/>
    <w:rsid w:val="006D1E1D"/>
    <w:rsid w:val="006D34E8"/>
    <w:rsid w:val="006D4425"/>
    <w:rsid w:val="006D4817"/>
    <w:rsid w:val="006D5F52"/>
    <w:rsid w:val="006D6850"/>
    <w:rsid w:val="006E112E"/>
    <w:rsid w:val="006E2CB9"/>
    <w:rsid w:val="006E42E8"/>
    <w:rsid w:val="006E6341"/>
    <w:rsid w:val="006E68AE"/>
    <w:rsid w:val="006E6FA7"/>
    <w:rsid w:val="006F2B43"/>
    <w:rsid w:val="006F4AA9"/>
    <w:rsid w:val="006F5514"/>
    <w:rsid w:val="006F7578"/>
    <w:rsid w:val="006F7820"/>
    <w:rsid w:val="0070004A"/>
    <w:rsid w:val="007000CB"/>
    <w:rsid w:val="00700675"/>
    <w:rsid w:val="00703660"/>
    <w:rsid w:val="00703739"/>
    <w:rsid w:val="00706238"/>
    <w:rsid w:val="007067E3"/>
    <w:rsid w:val="0070697B"/>
    <w:rsid w:val="00706E3A"/>
    <w:rsid w:val="00707628"/>
    <w:rsid w:val="00711CA5"/>
    <w:rsid w:val="00712471"/>
    <w:rsid w:val="00713BF7"/>
    <w:rsid w:val="0071490B"/>
    <w:rsid w:val="00721165"/>
    <w:rsid w:val="00721C26"/>
    <w:rsid w:val="00722203"/>
    <w:rsid w:val="00722B1F"/>
    <w:rsid w:val="007236AF"/>
    <w:rsid w:val="00724A87"/>
    <w:rsid w:val="00724AA3"/>
    <w:rsid w:val="00724BDC"/>
    <w:rsid w:val="00725B6D"/>
    <w:rsid w:val="00726C6D"/>
    <w:rsid w:val="00726F08"/>
    <w:rsid w:val="00727593"/>
    <w:rsid w:val="00730858"/>
    <w:rsid w:val="0073121F"/>
    <w:rsid w:val="00731774"/>
    <w:rsid w:val="007328F3"/>
    <w:rsid w:val="00733E4E"/>
    <w:rsid w:val="00733F4D"/>
    <w:rsid w:val="00733FF4"/>
    <w:rsid w:val="007340B3"/>
    <w:rsid w:val="00737172"/>
    <w:rsid w:val="00740468"/>
    <w:rsid w:val="00740713"/>
    <w:rsid w:val="007416C9"/>
    <w:rsid w:val="00741830"/>
    <w:rsid w:val="00743AFC"/>
    <w:rsid w:val="007443FD"/>
    <w:rsid w:val="00745819"/>
    <w:rsid w:val="00752039"/>
    <w:rsid w:val="007520FE"/>
    <w:rsid w:val="0075303F"/>
    <w:rsid w:val="007556B1"/>
    <w:rsid w:val="00755C72"/>
    <w:rsid w:val="00756B5D"/>
    <w:rsid w:val="00757196"/>
    <w:rsid w:val="007604C8"/>
    <w:rsid w:val="00760B1A"/>
    <w:rsid w:val="00760C9E"/>
    <w:rsid w:val="007621AF"/>
    <w:rsid w:val="00762599"/>
    <w:rsid w:val="00763322"/>
    <w:rsid w:val="00763577"/>
    <w:rsid w:val="0076450D"/>
    <w:rsid w:val="0076729D"/>
    <w:rsid w:val="007717AE"/>
    <w:rsid w:val="00772AF9"/>
    <w:rsid w:val="00772BCE"/>
    <w:rsid w:val="007730EA"/>
    <w:rsid w:val="00775F1D"/>
    <w:rsid w:val="00775FCC"/>
    <w:rsid w:val="00776D3E"/>
    <w:rsid w:val="0077784E"/>
    <w:rsid w:val="00777FE9"/>
    <w:rsid w:val="00780E77"/>
    <w:rsid w:val="00781A09"/>
    <w:rsid w:val="007824CB"/>
    <w:rsid w:val="00783733"/>
    <w:rsid w:val="00783D6D"/>
    <w:rsid w:val="00783DA6"/>
    <w:rsid w:val="00784779"/>
    <w:rsid w:val="00785758"/>
    <w:rsid w:val="00785B2D"/>
    <w:rsid w:val="007862D4"/>
    <w:rsid w:val="00790DDF"/>
    <w:rsid w:val="00791B08"/>
    <w:rsid w:val="00791C3D"/>
    <w:rsid w:val="00791C60"/>
    <w:rsid w:val="00793CDE"/>
    <w:rsid w:val="00794DDF"/>
    <w:rsid w:val="0079682F"/>
    <w:rsid w:val="00796E15"/>
    <w:rsid w:val="007A3316"/>
    <w:rsid w:val="007A441B"/>
    <w:rsid w:val="007A48A2"/>
    <w:rsid w:val="007A5025"/>
    <w:rsid w:val="007A5026"/>
    <w:rsid w:val="007A67C8"/>
    <w:rsid w:val="007A7EDE"/>
    <w:rsid w:val="007B4941"/>
    <w:rsid w:val="007B5089"/>
    <w:rsid w:val="007B6040"/>
    <w:rsid w:val="007B7AC5"/>
    <w:rsid w:val="007C10D5"/>
    <w:rsid w:val="007C196D"/>
    <w:rsid w:val="007C20C7"/>
    <w:rsid w:val="007C38EE"/>
    <w:rsid w:val="007C3C71"/>
    <w:rsid w:val="007C41F9"/>
    <w:rsid w:val="007C61D7"/>
    <w:rsid w:val="007C6C2F"/>
    <w:rsid w:val="007C769A"/>
    <w:rsid w:val="007D25D2"/>
    <w:rsid w:val="007D704A"/>
    <w:rsid w:val="007E0260"/>
    <w:rsid w:val="007E154C"/>
    <w:rsid w:val="007E1D5F"/>
    <w:rsid w:val="007E2AB6"/>
    <w:rsid w:val="007E3183"/>
    <w:rsid w:val="007E4D27"/>
    <w:rsid w:val="007E4DA5"/>
    <w:rsid w:val="007E5285"/>
    <w:rsid w:val="007E54E6"/>
    <w:rsid w:val="007F01D5"/>
    <w:rsid w:val="007F1A02"/>
    <w:rsid w:val="007F280C"/>
    <w:rsid w:val="007F3DBD"/>
    <w:rsid w:val="007F4418"/>
    <w:rsid w:val="007F62E7"/>
    <w:rsid w:val="007F6556"/>
    <w:rsid w:val="00800D8A"/>
    <w:rsid w:val="00800DE2"/>
    <w:rsid w:val="00800EB1"/>
    <w:rsid w:val="008039BB"/>
    <w:rsid w:val="00803DE3"/>
    <w:rsid w:val="008044AB"/>
    <w:rsid w:val="0081009B"/>
    <w:rsid w:val="008106B3"/>
    <w:rsid w:val="00812344"/>
    <w:rsid w:val="00812D52"/>
    <w:rsid w:val="00812DD0"/>
    <w:rsid w:val="0081319F"/>
    <w:rsid w:val="008140A5"/>
    <w:rsid w:val="008149B2"/>
    <w:rsid w:val="00815CD1"/>
    <w:rsid w:val="00816CA1"/>
    <w:rsid w:val="00816D84"/>
    <w:rsid w:val="008220E0"/>
    <w:rsid w:val="008228D9"/>
    <w:rsid w:val="00823248"/>
    <w:rsid w:val="00823257"/>
    <w:rsid w:val="00823A8A"/>
    <w:rsid w:val="00826954"/>
    <w:rsid w:val="00830875"/>
    <w:rsid w:val="00831E00"/>
    <w:rsid w:val="00832BB0"/>
    <w:rsid w:val="0083450E"/>
    <w:rsid w:val="00835DAC"/>
    <w:rsid w:val="00836A40"/>
    <w:rsid w:val="00837A11"/>
    <w:rsid w:val="00837CFC"/>
    <w:rsid w:val="00840144"/>
    <w:rsid w:val="0084047D"/>
    <w:rsid w:val="008415F2"/>
    <w:rsid w:val="00842FAA"/>
    <w:rsid w:val="008444CA"/>
    <w:rsid w:val="008468FC"/>
    <w:rsid w:val="00846C5C"/>
    <w:rsid w:val="008501A4"/>
    <w:rsid w:val="00851117"/>
    <w:rsid w:val="00852A21"/>
    <w:rsid w:val="00852CD8"/>
    <w:rsid w:val="00853F60"/>
    <w:rsid w:val="008547CB"/>
    <w:rsid w:val="008547FD"/>
    <w:rsid w:val="00855F2C"/>
    <w:rsid w:val="0086097B"/>
    <w:rsid w:val="0086577E"/>
    <w:rsid w:val="0086588F"/>
    <w:rsid w:val="008662A7"/>
    <w:rsid w:val="00866D58"/>
    <w:rsid w:val="008670E6"/>
    <w:rsid w:val="00867723"/>
    <w:rsid w:val="00867D17"/>
    <w:rsid w:val="00872478"/>
    <w:rsid w:val="00874E4A"/>
    <w:rsid w:val="00874F6A"/>
    <w:rsid w:val="00875F8D"/>
    <w:rsid w:val="00876096"/>
    <w:rsid w:val="00876F91"/>
    <w:rsid w:val="0087752F"/>
    <w:rsid w:val="0088099E"/>
    <w:rsid w:val="00881A3E"/>
    <w:rsid w:val="008823C1"/>
    <w:rsid w:val="00882967"/>
    <w:rsid w:val="0088304E"/>
    <w:rsid w:val="008852B3"/>
    <w:rsid w:val="0088572C"/>
    <w:rsid w:val="00887530"/>
    <w:rsid w:val="0088797F"/>
    <w:rsid w:val="00894B35"/>
    <w:rsid w:val="008951BB"/>
    <w:rsid w:val="008969DD"/>
    <w:rsid w:val="0089772B"/>
    <w:rsid w:val="008A008F"/>
    <w:rsid w:val="008A0DCE"/>
    <w:rsid w:val="008A797B"/>
    <w:rsid w:val="008A7B94"/>
    <w:rsid w:val="008B2BBE"/>
    <w:rsid w:val="008B3F00"/>
    <w:rsid w:val="008B3F85"/>
    <w:rsid w:val="008B4D5B"/>
    <w:rsid w:val="008B54AA"/>
    <w:rsid w:val="008B5E00"/>
    <w:rsid w:val="008B6579"/>
    <w:rsid w:val="008B6867"/>
    <w:rsid w:val="008B687B"/>
    <w:rsid w:val="008B6EAB"/>
    <w:rsid w:val="008B766F"/>
    <w:rsid w:val="008B77EC"/>
    <w:rsid w:val="008C0900"/>
    <w:rsid w:val="008C28FF"/>
    <w:rsid w:val="008C5342"/>
    <w:rsid w:val="008C639F"/>
    <w:rsid w:val="008C7C98"/>
    <w:rsid w:val="008D0C58"/>
    <w:rsid w:val="008D1426"/>
    <w:rsid w:val="008D393E"/>
    <w:rsid w:val="008D53F5"/>
    <w:rsid w:val="008D619E"/>
    <w:rsid w:val="008D6442"/>
    <w:rsid w:val="008E0ED6"/>
    <w:rsid w:val="008E12F2"/>
    <w:rsid w:val="008E22BF"/>
    <w:rsid w:val="008E3118"/>
    <w:rsid w:val="008E367B"/>
    <w:rsid w:val="008E38EA"/>
    <w:rsid w:val="008E4A66"/>
    <w:rsid w:val="008E54BE"/>
    <w:rsid w:val="008E7636"/>
    <w:rsid w:val="008F0E87"/>
    <w:rsid w:val="008F1403"/>
    <w:rsid w:val="008F3631"/>
    <w:rsid w:val="008F3FB7"/>
    <w:rsid w:val="008F421E"/>
    <w:rsid w:val="008F430A"/>
    <w:rsid w:val="008F4756"/>
    <w:rsid w:val="008F488F"/>
    <w:rsid w:val="008F4E64"/>
    <w:rsid w:val="008F5FE5"/>
    <w:rsid w:val="00900014"/>
    <w:rsid w:val="00901C72"/>
    <w:rsid w:val="00901F4A"/>
    <w:rsid w:val="00902DDF"/>
    <w:rsid w:val="00904157"/>
    <w:rsid w:val="00904A85"/>
    <w:rsid w:val="009054D2"/>
    <w:rsid w:val="009065B2"/>
    <w:rsid w:val="0091105B"/>
    <w:rsid w:val="009113C6"/>
    <w:rsid w:val="00912FCB"/>
    <w:rsid w:val="009136FB"/>
    <w:rsid w:val="00913768"/>
    <w:rsid w:val="009143A0"/>
    <w:rsid w:val="00915BD2"/>
    <w:rsid w:val="009166F7"/>
    <w:rsid w:val="00916A20"/>
    <w:rsid w:val="0092083D"/>
    <w:rsid w:val="00921EAC"/>
    <w:rsid w:val="009222E1"/>
    <w:rsid w:val="00922ABC"/>
    <w:rsid w:val="00926359"/>
    <w:rsid w:val="0092696C"/>
    <w:rsid w:val="009274D3"/>
    <w:rsid w:val="00927884"/>
    <w:rsid w:val="00927EE0"/>
    <w:rsid w:val="00932621"/>
    <w:rsid w:val="00932770"/>
    <w:rsid w:val="009327D9"/>
    <w:rsid w:val="0093380B"/>
    <w:rsid w:val="00934587"/>
    <w:rsid w:val="00935CE6"/>
    <w:rsid w:val="00940C2A"/>
    <w:rsid w:val="009413A9"/>
    <w:rsid w:val="00943260"/>
    <w:rsid w:val="00944A71"/>
    <w:rsid w:val="00944BAE"/>
    <w:rsid w:val="009478C7"/>
    <w:rsid w:val="009506BB"/>
    <w:rsid w:val="00951431"/>
    <w:rsid w:val="00951A08"/>
    <w:rsid w:val="00951A76"/>
    <w:rsid w:val="009522A9"/>
    <w:rsid w:val="00953620"/>
    <w:rsid w:val="00953BD4"/>
    <w:rsid w:val="009547F4"/>
    <w:rsid w:val="009568AF"/>
    <w:rsid w:val="009569EF"/>
    <w:rsid w:val="0095721F"/>
    <w:rsid w:val="00960AAB"/>
    <w:rsid w:val="00961A40"/>
    <w:rsid w:val="00961D9F"/>
    <w:rsid w:val="00963321"/>
    <w:rsid w:val="0096393A"/>
    <w:rsid w:val="00963A55"/>
    <w:rsid w:val="009644B8"/>
    <w:rsid w:val="00965179"/>
    <w:rsid w:val="009655D2"/>
    <w:rsid w:val="00965880"/>
    <w:rsid w:val="00967350"/>
    <w:rsid w:val="009706E8"/>
    <w:rsid w:val="00972466"/>
    <w:rsid w:val="00973B8C"/>
    <w:rsid w:val="0097415D"/>
    <w:rsid w:val="00974E95"/>
    <w:rsid w:val="00975F81"/>
    <w:rsid w:val="009766D1"/>
    <w:rsid w:val="0097780E"/>
    <w:rsid w:val="009803D0"/>
    <w:rsid w:val="00980C88"/>
    <w:rsid w:val="0098133F"/>
    <w:rsid w:val="0098217D"/>
    <w:rsid w:val="00983123"/>
    <w:rsid w:val="00983921"/>
    <w:rsid w:val="00983C41"/>
    <w:rsid w:val="009842A9"/>
    <w:rsid w:val="00984590"/>
    <w:rsid w:val="009845B5"/>
    <w:rsid w:val="0098568B"/>
    <w:rsid w:val="009862CD"/>
    <w:rsid w:val="009866B7"/>
    <w:rsid w:val="00987CB0"/>
    <w:rsid w:val="00990FE7"/>
    <w:rsid w:val="00992068"/>
    <w:rsid w:val="00995884"/>
    <w:rsid w:val="00996616"/>
    <w:rsid w:val="009A09B3"/>
    <w:rsid w:val="009A143A"/>
    <w:rsid w:val="009A3368"/>
    <w:rsid w:val="009A4177"/>
    <w:rsid w:val="009A6501"/>
    <w:rsid w:val="009A7C58"/>
    <w:rsid w:val="009B048C"/>
    <w:rsid w:val="009B1C96"/>
    <w:rsid w:val="009B7587"/>
    <w:rsid w:val="009B7AE5"/>
    <w:rsid w:val="009C07D0"/>
    <w:rsid w:val="009C43DC"/>
    <w:rsid w:val="009C4636"/>
    <w:rsid w:val="009C4E30"/>
    <w:rsid w:val="009C76B9"/>
    <w:rsid w:val="009D2976"/>
    <w:rsid w:val="009D51EB"/>
    <w:rsid w:val="009E330F"/>
    <w:rsid w:val="009E4248"/>
    <w:rsid w:val="009E507F"/>
    <w:rsid w:val="009E6425"/>
    <w:rsid w:val="009E65B0"/>
    <w:rsid w:val="009E747D"/>
    <w:rsid w:val="009F22B7"/>
    <w:rsid w:val="009F3A34"/>
    <w:rsid w:val="009F5FD7"/>
    <w:rsid w:val="009F7320"/>
    <w:rsid w:val="00A01A5A"/>
    <w:rsid w:val="00A0254E"/>
    <w:rsid w:val="00A02821"/>
    <w:rsid w:val="00A061EB"/>
    <w:rsid w:val="00A06503"/>
    <w:rsid w:val="00A06535"/>
    <w:rsid w:val="00A06717"/>
    <w:rsid w:val="00A06828"/>
    <w:rsid w:val="00A128CA"/>
    <w:rsid w:val="00A13180"/>
    <w:rsid w:val="00A15C2B"/>
    <w:rsid w:val="00A15DCD"/>
    <w:rsid w:val="00A162FC"/>
    <w:rsid w:val="00A20444"/>
    <w:rsid w:val="00A22478"/>
    <w:rsid w:val="00A22CF0"/>
    <w:rsid w:val="00A22E69"/>
    <w:rsid w:val="00A23482"/>
    <w:rsid w:val="00A23A52"/>
    <w:rsid w:val="00A25473"/>
    <w:rsid w:val="00A25E52"/>
    <w:rsid w:val="00A25EEF"/>
    <w:rsid w:val="00A267C3"/>
    <w:rsid w:val="00A26AE7"/>
    <w:rsid w:val="00A2736B"/>
    <w:rsid w:val="00A300E5"/>
    <w:rsid w:val="00A30116"/>
    <w:rsid w:val="00A30F3B"/>
    <w:rsid w:val="00A3151B"/>
    <w:rsid w:val="00A31B0C"/>
    <w:rsid w:val="00A32B37"/>
    <w:rsid w:val="00A34837"/>
    <w:rsid w:val="00A3497D"/>
    <w:rsid w:val="00A34C34"/>
    <w:rsid w:val="00A356AC"/>
    <w:rsid w:val="00A364FF"/>
    <w:rsid w:val="00A3727B"/>
    <w:rsid w:val="00A4009C"/>
    <w:rsid w:val="00A41F0A"/>
    <w:rsid w:val="00A420D1"/>
    <w:rsid w:val="00A45021"/>
    <w:rsid w:val="00A451CC"/>
    <w:rsid w:val="00A454FC"/>
    <w:rsid w:val="00A47D2F"/>
    <w:rsid w:val="00A50990"/>
    <w:rsid w:val="00A51A79"/>
    <w:rsid w:val="00A53CBB"/>
    <w:rsid w:val="00A53EFC"/>
    <w:rsid w:val="00A563EF"/>
    <w:rsid w:val="00A61697"/>
    <w:rsid w:val="00A61E15"/>
    <w:rsid w:val="00A62B7F"/>
    <w:rsid w:val="00A63A33"/>
    <w:rsid w:val="00A64DA1"/>
    <w:rsid w:val="00A650FD"/>
    <w:rsid w:val="00A66149"/>
    <w:rsid w:val="00A67075"/>
    <w:rsid w:val="00A67468"/>
    <w:rsid w:val="00A674D0"/>
    <w:rsid w:val="00A67D88"/>
    <w:rsid w:val="00A70AF9"/>
    <w:rsid w:val="00A71524"/>
    <w:rsid w:val="00A71563"/>
    <w:rsid w:val="00A7283E"/>
    <w:rsid w:val="00A73C7A"/>
    <w:rsid w:val="00A73ED0"/>
    <w:rsid w:val="00A747CC"/>
    <w:rsid w:val="00A759DE"/>
    <w:rsid w:val="00A7602C"/>
    <w:rsid w:val="00A7653E"/>
    <w:rsid w:val="00A766F5"/>
    <w:rsid w:val="00A80015"/>
    <w:rsid w:val="00A80804"/>
    <w:rsid w:val="00A80ECD"/>
    <w:rsid w:val="00A82FEC"/>
    <w:rsid w:val="00A8307A"/>
    <w:rsid w:val="00A83C6A"/>
    <w:rsid w:val="00A84F5A"/>
    <w:rsid w:val="00A85EE4"/>
    <w:rsid w:val="00A867F8"/>
    <w:rsid w:val="00A906D2"/>
    <w:rsid w:val="00A91662"/>
    <w:rsid w:val="00A91DA6"/>
    <w:rsid w:val="00A923A6"/>
    <w:rsid w:val="00A943B8"/>
    <w:rsid w:val="00AA0719"/>
    <w:rsid w:val="00AA27E8"/>
    <w:rsid w:val="00AA2EAF"/>
    <w:rsid w:val="00AA3199"/>
    <w:rsid w:val="00AA36AC"/>
    <w:rsid w:val="00AA4AB8"/>
    <w:rsid w:val="00AA4BBD"/>
    <w:rsid w:val="00AA5394"/>
    <w:rsid w:val="00AA60DC"/>
    <w:rsid w:val="00AA6D7D"/>
    <w:rsid w:val="00AA759D"/>
    <w:rsid w:val="00AB071C"/>
    <w:rsid w:val="00AB0FD4"/>
    <w:rsid w:val="00AB2A61"/>
    <w:rsid w:val="00AB52A4"/>
    <w:rsid w:val="00AB7C04"/>
    <w:rsid w:val="00AC0BA7"/>
    <w:rsid w:val="00AC1265"/>
    <w:rsid w:val="00AC16E5"/>
    <w:rsid w:val="00AC26A9"/>
    <w:rsid w:val="00AC2C66"/>
    <w:rsid w:val="00AC2E1A"/>
    <w:rsid w:val="00AC353F"/>
    <w:rsid w:val="00AC37D8"/>
    <w:rsid w:val="00AC469E"/>
    <w:rsid w:val="00AC4FB1"/>
    <w:rsid w:val="00AC51C7"/>
    <w:rsid w:val="00AC5CF0"/>
    <w:rsid w:val="00AC774D"/>
    <w:rsid w:val="00AD0C0F"/>
    <w:rsid w:val="00AD1039"/>
    <w:rsid w:val="00AD10D5"/>
    <w:rsid w:val="00AD1976"/>
    <w:rsid w:val="00AD1AB0"/>
    <w:rsid w:val="00AD1D0A"/>
    <w:rsid w:val="00AD2CB2"/>
    <w:rsid w:val="00AD3F6F"/>
    <w:rsid w:val="00AD49C5"/>
    <w:rsid w:val="00AD5721"/>
    <w:rsid w:val="00AD6859"/>
    <w:rsid w:val="00AD6FA7"/>
    <w:rsid w:val="00AE05E3"/>
    <w:rsid w:val="00AE112C"/>
    <w:rsid w:val="00AE3C6E"/>
    <w:rsid w:val="00AE5F0B"/>
    <w:rsid w:val="00AE60FF"/>
    <w:rsid w:val="00AE6E94"/>
    <w:rsid w:val="00AF06B2"/>
    <w:rsid w:val="00AF254F"/>
    <w:rsid w:val="00AF3E43"/>
    <w:rsid w:val="00AF3F5F"/>
    <w:rsid w:val="00AF5567"/>
    <w:rsid w:val="00B003BD"/>
    <w:rsid w:val="00B009AD"/>
    <w:rsid w:val="00B00F68"/>
    <w:rsid w:val="00B01036"/>
    <w:rsid w:val="00B01F61"/>
    <w:rsid w:val="00B033D7"/>
    <w:rsid w:val="00B03C5C"/>
    <w:rsid w:val="00B05038"/>
    <w:rsid w:val="00B05A32"/>
    <w:rsid w:val="00B06F0B"/>
    <w:rsid w:val="00B11D96"/>
    <w:rsid w:val="00B13064"/>
    <w:rsid w:val="00B130D9"/>
    <w:rsid w:val="00B14357"/>
    <w:rsid w:val="00B14B60"/>
    <w:rsid w:val="00B1520E"/>
    <w:rsid w:val="00B17BDA"/>
    <w:rsid w:val="00B21256"/>
    <w:rsid w:val="00B219E1"/>
    <w:rsid w:val="00B221B6"/>
    <w:rsid w:val="00B22889"/>
    <w:rsid w:val="00B2335C"/>
    <w:rsid w:val="00B2381E"/>
    <w:rsid w:val="00B253C9"/>
    <w:rsid w:val="00B26053"/>
    <w:rsid w:val="00B2741D"/>
    <w:rsid w:val="00B30A87"/>
    <w:rsid w:val="00B31017"/>
    <w:rsid w:val="00B3141F"/>
    <w:rsid w:val="00B31917"/>
    <w:rsid w:val="00B31F68"/>
    <w:rsid w:val="00B32003"/>
    <w:rsid w:val="00B336C9"/>
    <w:rsid w:val="00B34BEE"/>
    <w:rsid w:val="00B34FDC"/>
    <w:rsid w:val="00B35EC1"/>
    <w:rsid w:val="00B36129"/>
    <w:rsid w:val="00B36265"/>
    <w:rsid w:val="00B368D9"/>
    <w:rsid w:val="00B3796A"/>
    <w:rsid w:val="00B37E2C"/>
    <w:rsid w:val="00B405BC"/>
    <w:rsid w:val="00B4118C"/>
    <w:rsid w:val="00B42594"/>
    <w:rsid w:val="00B426D8"/>
    <w:rsid w:val="00B42A42"/>
    <w:rsid w:val="00B4517A"/>
    <w:rsid w:val="00B455A1"/>
    <w:rsid w:val="00B45CD6"/>
    <w:rsid w:val="00B46853"/>
    <w:rsid w:val="00B470C2"/>
    <w:rsid w:val="00B47D63"/>
    <w:rsid w:val="00B50254"/>
    <w:rsid w:val="00B51165"/>
    <w:rsid w:val="00B5308F"/>
    <w:rsid w:val="00B55F35"/>
    <w:rsid w:val="00B574D5"/>
    <w:rsid w:val="00B57750"/>
    <w:rsid w:val="00B57D7D"/>
    <w:rsid w:val="00B6116C"/>
    <w:rsid w:val="00B61A8F"/>
    <w:rsid w:val="00B625E9"/>
    <w:rsid w:val="00B62B9F"/>
    <w:rsid w:val="00B631B6"/>
    <w:rsid w:val="00B634BB"/>
    <w:rsid w:val="00B63CB9"/>
    <w:rsid w:val="00B64A15"/>
    <w:rsid w:val="00B668E1"/>
    <w:rsid w:val="00B71988"/>
    <w:rsid w:val="00B72631"/>
    <w:rsid w:val="00B7400D"/>
    <w:rsid w:val="00B7652B"/>
    <w:rsid w:val="00B76D0E"/>
    <w:rsid w:val="00B7714F"/>
    <w:rsid w:val="00B776EB"/>
    <w:rsid w:val="00B80DAB"/>
    <w:rsid w:val="00B80E46"/>
    <w:rsid w:val="00B81850"/>
    <w:rsid w:val="00B8284B"/>
    <w:rsid w:val="00B82E20"/>
    <w:rsid w:val="00B84A0F"/>
    <w:rsid w:val="00B85197"/>
    <w:rsid w:val="00B85774"/>
    <w:rsid w:val="00B87428"/>
    <w:rsid w:val="00B92214"/>
    <w:rsid w:val="00B92608"/>
    <w:rsid w:val="00B92722"/>
    <w:rsid w:val="00B927D3"/>
    <w:rsid w:val="00B9337C"/>
    <w:rsid w:val="00B93EB6"/>
    <w:rsid w:val="00B9519E"/>
    <w:rsid w:val="00B95ED0"/>
    <w:rsid w:val="00B969FF"/>
    <w:rsid w:val="00B975D3"/>
    <w:rsid w:val="00BA0030"/>
    <w:rsid w:val="00BA027C"/>
    <w:rsid w:val="00BA0D6B"/>
    <w:rsid w:val="00BA1086"/>
    <w:rsid w:val="00BA140A"/>
    <w:rsid w:val="00BA2184"/>
    <w:rsid w:val="00BA308F"/>
    <w:rsid w:val="00BA56B8"/>
    <w:rsid w:val="00BA5DCC"/>
    <w:rsid w:val="00BA7F00"/>
    <w:rsid w:val="00BB0145"/>
    <w:rsid w:val="00BB05AA"/>
    <w:rsid w:val="00BB0799"/>
    <w:rsid w:val="00BB0EAC"/>
    <w:rsid w:val="00BB1B34"/>
    <w:rsid w:val="00BB202E"/>
    <w:rsid w:val="00BB2493"/>
    <w:rsid w:val="00BB3604"/>
    <w:rsid w:val="00BB36C2"/>
    <w:rsid w:val="00BB3BDF"/>
    <w:rsid w:val="00BB5162"/>
    <w:rsid w:val="00BB744C"/>
    <w:rsid w:val="00BB784E"/>
    <w:rsid w:val="00BC12A7"/>
    <w:rsid w:val="00BC1619"/>
    <w:rsid w:val="00BC1CCF"/>
    <w:rsid w:val="00BC4C0C"/>
    <w:rsid w:val="00BC6E7C"/>
    <w:rsid w:val="00BC79BC"/>
    <w:rsid w:val="00BD0194"/>
    <w:rsid w:val="00BD0FE0"/>
    <w:rsid w:val="00BD2E9D"/>
    <w:rsid w:val="00BD5E2C"/>
    <w:rsid w:val="00BD5E6F"/>
    <w:rsid w:val="00BD6383"/>
    <w:rsid w:val="00BD66A6"/>
    <w:rsid w:val="00BE0C27"/>
    <w:rsid w:val="00BE6202"/>
    <w:rsid w:val="00BE77B1"/>
    <w:rsid w:val="00BE7A11"/>
    <w:rsid w:val="00BF02B7"/>
    <w:rsid w:val="00BF0BD7"/>
    <w:rsid w:val="00BF6442"/>
    <w:rsid w:val="00BF7CF9"/>
    <w:rsid w:val="00C01A46"/>
    <w:rsid w:val="00C06FF8"/>
    <w:rsid w:val="00C106FE"/>
    <w:rsid w:val="00C1173A"/>
    <w:rsid w:val="00C12493"/>
    <w:rsid w:val="00C126BD"/>
    <w:rsid w:val="00C13CC1"/>
    <w:rsid w:val="00C173E0"/>
    <w:rsid w:val="00C17D14"/>
    <w:rsid w:val="00C2084E"/>
    <w:rsid w:val="00C20BC6"/>
    <w:rsid w:val="00C20F5B"/>
    <w:rsid w:val="00C21A02"/>
    <w:rsid w:val="00C21A32"/>
    <w:rsid w:val="00C22BED"/>
    <w:rsid w:val="00C25FEC"/>
    <w:rsid w:val="00C30233"/>
    <w:rsid w:val="00C3249B"/>
    <w:rsid w:val="00C3376D"/>
    <w:rsid w:val="00C3593E"/>
    <w:rsid w:val="00C369ED"/>
    <w:rsid w:val="00C36BD1"/>
    <w:rsid w:val="00C409BB"/>
    <w:rsid w:val="00C40B95"/>
    <w:rsid w:val="00C4207E"/>
    <w:rsid w:val="00C426A6"/>
    <w:rsid w:val="00C43BFC"/>
    <w:rsid w:val="00C44BE6"/>
    <w:rsid w:val="00C50474"/>
    <w:rsid w:val="00C525FF"/>
    <w:rsid w:val="00C53673"/>
    <w:rsid w:val="00C54602"/>
    <w:rsid w:val="00C54A85"/>
    <w:rsid w:val="00C54EDE"/>
    <w:rsid w:val="00C55CEC"/>
    <w:rsid w:val="00C56D5A"/>
    <w:rsid w:val="00C56EAF"/>
    <w:rsid w:val="00C5754E"/>
    <w:rsid w:val="00C57D85"/>
    <w:rsid w:val="00C607E1"/>
    <w:rsid w:val="00C60954"/>
    <w:rsid w:val="00C6474C"/>
    <w:rsid w:val="00C64864"/>
    <w:rsid w:val="00C64EE7"/>
    <w:rsid w:val="00C6684B"/>
    <w:rsid w:val="00C66963"/>
    <w:rsid w:val="00C721E5"/>
    <w:rsid w:val="00C731D1"/>
    <w:rsid w:val="00C7434C"/>
    <w:rsid w:val="00C74555"/>
    <w:rsid w:val="00C7465E"/>
    <w:rsid w:val="00C75164"/>
    <w:rsid w:val="00C76650"/>
    <w:rsid w:val="00C76685"/>
    <w:rsid w:val="00C80BFF"/>
    <w:rsid w:val="00C810A9"/>
    <w:rsid w:val="00C81DA0"/>
    <w:rsid w:val="00C843C7"/>
    <w:rsid w:val="00C84DEC"/>
    <w:rsid w:val="00C85E75"/>
    <w:rsid w:val="00C8661D"/>
    <w:rsid w:val="00C90B1C"/>
    <w:rsid w:val="00C90E65"/>
    <w:rsid w:val="00C9323D"/>
    <w:rsid w:val="00C93500"/>
    <w:rsid w:val="00C94DC8"/>
    <w:rsid w:val="00C95498"/>
    <w:rsid w:val="00C96B6F"/>
    <w:rsid w:val="00C96CFB"/>
    <w:rsid w:val="00C9750C"/>
    <w:rsid w:val="00CA0AAE"/>
    <w:rsid w:val="00CA53BB"/>
    <w:rsid w:val="00CA62C3"/>
    <w:rsid w:val="00CA689E"/>
    <w:rsid w:val="00CA7695"/>
    <w:rsid w:val="00CB01BD"/>
    <w:rsid w:val="00CB0A72"/>
    <w:rsid w:val="00CB2034"/>
    <w:rsid w:val="00CB595E"/>
    <w:rsid w:val="00CB68C2"/>
    <w:rsid w:val="00CB6B58"/>
    <w:rsid w:val="00CB7202"/>
    <w:rsid w:val="00CC088E"/>
    <w:rsid w:val="00CC0F7D"/>
    <w:rsid w:val="00CC357F"/>
    <w:rsid w:val="00CC39FA"/>
    <w:rsid w:val="00CC3D55"/>
    <w:rsid w:val="00CC40AD"/>
    <w:rsid w:val="00CC4975"/>
    <w:rsid w:val="00CC4D86"/>
    <w:rsid w:val="00CC55D3"/>
    <w:rsid w:val="00CC5A5F"/>
    <w:rsid w:val="00CC7122"/>
    <w:rsid w:val="00CC7282"/>
    <w:rsid w:val="00CD02FA"/>
    <w:rsid w:val="00CD0320"/>
    <w:rsid w:val="00CD1651"/>
    <w:rsid w:val="00CD22E9"/>
    <w:rsid w:val="00CD2531"/>
    <w:rsid w:val="00CD3235"/>
    <w:rsid w:val="00CD403F"/>
    <w:rsid w:val="00CD414B"/>
    <w:rsid w:val="00CD4177"/>
    <w:rsid w:val="00CD59FA"/>
    <w:rsid w:val="00CD7AD4"/>
    <w:rsid w:val="00CE01CA"/>
    <w:rsid w:val="00CE04F2"/>
    <w:rsid w:val="00CE29CA"/>
    <w:rsid w:val="00CE2EA3"/>
    <w:rsid w:val="00CE48F6"/>
    <w:rsid w:val="00CE4D43"/>
    <w:rsid w:val="00CE6F26"/>
    <w:rsid w:val="00CE7639"/>
    <w:rsid w:val="00CF1184"/>
    <w:rsid w:val="00CF1EC8"/>
    <w:rsid w:val="00CF25DC"/>
    <w:rsid w:val="00CF2A91"/>
    <w:rsid w:val="00CF3CDA"/>
    <w:rsid w:val="00CF48D7"/>
    <w:rsid w:val="00CF5185"/>
    <w:rsid w:val="00CF56F2"/>
    <w:rsid w:val="00CF5CCE"/>
    <w:rsid w:val="00CF6BC9"/>
    <w:rsid w:val="00CF77F3"/>
    <w:rsid w:val="00D0054A"/>
    <w:rsid w:val="00D01ADE"/>
    <w:rsid w:val="00D01B63"/>
    <w:rsid w:val="00D0451F"/>
    <w:rsid w:val="00D062C3"/>
    <w:rsid w:val="00D07812"/>
    <w:rsid w:val="00D07D70"/>
    <w:rsid w:val="00D10348"/>
    <w:rsid w:val="00D115C2"/>
    <w:rsid w:val="00D123A1"/>
    <w:rsid w:val="00D13AA1"/>
    <w:rsid w:val="00D144A6"/>
    <w:rsid w:val="00D20378"/>
    <w:rsid w:val="00D20B4D"/>
    <w:rsid w:val="00D20BD0"/>
    <w:rsid w:val="00D22064"/>
    <w:rsid w:val="00D226DF"/>
    <w:rsid w:val="00D237FF"/>
    <w:rsid w:val="00D26028"/>
    <w:rsid w:val="00D26F5A"/>
    <w:rsid w:val="00D30326"/>
    <w:rsid w:val="00D325A5"/>
    <w:rsid w:val="00D32E64"/>
    <w:rsid w:val="00D33323"/>
    <w:rsid w:val="00D339B4"/>
    <w:rsid w:val="00D341C9"/>
    <w:rsid w:val="00D34551"/>
    <w:rsid w:val="00D34994"/>
    <w:rsid w:val="00D34E8D"/>
    <w:rsid w:val="00D352FB"/>
    <w:rsid w:val="00D3714A"/>
    <w:rsid w:val="00D40B17"/>
    <w:rsid w:val="00D40EC7"/>
    <w:rsid w:val="00D45D73"/>
    <w:rsid w:val="00D4643F"/>
    <w:rsid w:val="00D46FEC"/>
    <w:rsid w:val="00D47BF3"/>
    <w:rsid w:val="00D50767"/>
    <w:rsid w:val="00D50D86"/>
    <w:rsid w:val="00D54851"/>
    <w:rsid w:val="00D54926"/>
    <w:rsid w:val="00D54CF1"/>
    <w:rsid w:val="00D551D9"/>
    <w:rsid w:val="00D567FA"/>
    <w:rsid w:val="00D61753"/>
    <w:rsid w:val="00D61D13"/>
    <w:rsid w:val="00D62E66"/>
    <w:rsid w:val="00D630E0"/>
    <w:rsid w:val="00D6528E"/>
    <w:rsid w:val="00D672F4"/>
    <w:rsid w:val="00D67962"/>
    <w:rsid w:val="00D67B39"/>
    <w:rsid w:val="00D7034F"/>
    <w:rsid w:val="00D71926"/>
    <w:rsid w:val="00D74390"/>
    <w:rsid w:val="00D76787"/>
    <w:rsid w:val="00D81834"/>
    <w:rsid w:val="00D82358"/>
    <w:rsid w:val="00D83252"/>
    <w:rsid w:val="00D835D0"/>
    <w:rsid w:val="00D84512"/>
    <w:rsid w:val="00D8469A"/>
    <w:rsid w:val="00D85EF7"/>
    <w:rsid w:val="00D903EC"/>
    <w:rsid w:val="00D90579"/>
    <w:rsid w:val="00D9168B"/>
    <w:rsid w:val="00D9285B"/>
    <w:rsid w:val="00D92BB0"/>
    <w:rsid w:val="00D935E1"/>
    <w:rsid w:val="00D938C7"/>
    <w:rsid w:val="00D93BAF"/>
    <w:rsid w:val="00D940CC"/>
    <w:rsid w:val="00D951C3"/>
    <w:rsid w:val="00DA0345"/>
    <w:rsid w:val="00DA0677"/>
    <w:rsid w:val="00DA4212"/>
    <w:rsid w:val="00DA46CD"/>
    <w:rsid w:val="00DA5D88"/>
    <w:rsid w:val="00DA6D50"/>
    <w:rsid w:val="00DA7D52"/>
    <w:rsid w:val="00DB04EF"/>
    <w:rsid w:val="00DB07DE"/>
    <w:rsid w:val="00DB1BAB"/>
    <w:rsid w:val="00DB2928"/>
    <w:rsid w:val="00DB3249"/>
    <w:rsid w:val="00DB386F"/>
    <w:rsid w:val="00DB3C5B"/>
    <w:rsid w:val="00DB4A35"/>
    <w:rsid w:val="00DB4BBF"/>
    <w:rsid w:val="00DB6113"/>
    <w:rsid w:val="00DB73BD"/>
    <w:rsid w:val="00DC0540"/>
    <w:rsid w:val="00DC0953"/>
    <w:rsid w:val="00DC119E"/>
    <w:rsid w:val="00DC2DD2"/>
    <w:rsid w:val="00DC60F6"/>
    <w:rsid w:val="00DC71FC"/>
    <w:rsid w:val="00DC761A"/>
    <w:rsid w:val="00DC7915"/>
    <w:rsid w:val="00DD0087"/>
    <w:rsid w:val="00DD19C5"/>
    <w:rsid w:val="00DD5615"/>
    <w:rsid w:val="00DD7503"/>
    <w:rsid w:val="00DE091E"/>
    <w:rsid w:val="00DE1836"/>
    <w:rsid w:val="00DE2155"/>
    <w:rsid w:val="00DE2240"/>
    <w:rsid w:val="00DE2DD9"/>
    <w:rsid w:val="00DE2EF9"/>
    <w:rsid w:val="00DE3D2D"/>
    <w:rsid w:val="00DE62AF"/>
    <w:rsid w:val="00DE6386"/>
    <w:rsid w:val="00DE6EBC"/>
    <w:rsid w:val="00DE78D3"/>
    <w:rsid w:val="00DF083C"/>
    <w:rsid w:val="00DF0E06"/>
    <w:rsid w:val="00DF19F6"/>
    <w:rsid w:val="00DF1D58"/>
    <w:rsid w:val="00DF5520"/>
    <w:rsid w:val="00DF69B8"/>
    <w:rsid w:val="00DF771B"/>
    <w:rsid w:val="00DF7949"/>
    <w:rsid w:val="00E00AAD"/>
    <w:rsid w:val="00E017EE"/>
    <w:rsid w:val="00E0277D"/>
    <w:rsid w:val="00E03578"/>
    <w:rsid w:val="00E03E03"/>
    <w:rsid w:val="00E060D9"/>
    <w:rsid w:val="00E061CC"/>
    <w:rsid w:val="00E069B3"/>
    <w:rsid w:val="00E108E0"/>
    <w:rsid w:val="00E11B4D"/>
    <w:rsid w:val="00E12933"/>
    <w:rsid w:val="00E1422B"/>
    <w:rsid w:val="00E16773"/>
    <w:rsid w:val="00E218B0"/>
    <w:rsid w:val="00E219D8"/>
    <w:rsid w:val="00E23501"/>
    <w:rsid w:val="00E235FD"/>
    <w:rsid w:val="00E24076"/>
    <w:rsid w:val="00E251CA"/>
    <w:rsid w:val="00E253CA"/>
    <w:rsid w:val="00E257B1"/>
    <w:rsid w:val="00E25B22"/>
    <w:rsid w:val="00E27557"/>
    <w:rsid w:val="00E27663"/>
    <w:rsid w:val="00E27793"/>
    <w:rsid w:val="00E32FC4"/>
    <w:rsid w:val="00E333B5"/>
    <w:rsid w:val="00E33AA5"/>
    <w:rsid w:val="00E33C52"/>
    <w:rsid w:val="00E33CE0"/>
    <w:rsid w:val="00E34C72"/>
    <w:rsid w:val="00E3596C"/>
    <w:rsid w:val="00E35CB0"/>
    <w:rsid w:val="00E360E2"/>
    <w:rsid w:val="00E37971"/>
    <w:rsid w:val="00E40CB8"/>
    <w:rsid w:val="00E440AE"/>
    <w:rsid w:val="00E44F56"/>
    <w:rsid w:val="00E4502E"/>
    <w:rsid w:val="00E45D79"/>
    <w:rsid w:val="00E45D98"/>
    <w:rsid w:val="00E465AF"/>
    <w:rsid w:val="00E46629"/>
    <w:rsid w:val="00E4715B"/>
    <w:rsid w:val="00E508FE"/>
    <w:rsid w:val="00E50BB9"/>
    <w:rsid w:val="00E555C6"/>
    <w:rsid w:val="00E570EB"/>
    <w:rsid w:val="00E57612"/>
    <w:rsid w:val="00E57A04"/>
    <w:rsid w:val="00E6246B"/>
    <w:rsid w:val="00E639AC"/>
    <w:rsid w:val="00E6448B"/>
    <w:rsid w:val="00E6511C"/>
    <w:rsid w:val="00E6549D"/>
    <w:rsid w:val="00E67291"/>
    <w:rsid w:val="00E67E54"/>
    <w:rsid w:val="00E705BF"/>
    <w:rsid w:val="00E71C6F"/>
    <w:rsid w:val="00E71E0C"/>
    <w:rsid w:val="00E732D3"/>
    <w:rsid w:val="00E804A2"/>
    <w:rsid w:val="00E80C35"/>
    <w:rsid w:val="00E80D61"/>
    <w:rsid w:val="00E80E29"/>
    <w:rsid w:val="00E80F74"/>
    <w:rsid w:val="00E82A97"/>
    <w:rsid w:val="00E83A65"/>
    <w:rsid w:val="00E84353"/>
    <w:rsid w:val="00E8561D"/>
    <w:rsid w:val="00E85CC3"/>
    <w:rsid w:val="00E86164"/>
    <w:rsid w:val="00E8775A"/>
    <w:rsid w:val="00E90FD6"/>
    <w:rsid w:val="00E910C5"/>
    <w:rsid w:val="00E916BC"/>
    <w:rsid w:val="00E91867"/>
    <w:rsid w:val="00E92ACA"/>
    <w:rsid w:val="00E95C31"/>
    <w:rsid w:val="00E97A3D"/>
    <w:rsid w:val="00EA0509"/>
    <w:rsid w:val="00EA125F"/>
    <w:rsid w:val="00EA183A"/>
    <w:rsid w:val="00EA1F9E"/>
    <w:rsid w:val="00EA2CF4"/>
    <w:rsid w:val="00EA4914"/>
    <w:rsid w:val="00EA62B5"/>
    <w:rsid w:val="00EA6B9E"/>
    <w:rsid w:val="00EA6D88"/>
    <w:rsid w:val="00EA756A"/>
    <w:rsid w:val="00EB093D"/>
    <w:rsid w:val="00EB0C83"/>
    <w:rsid w:val="00EB274E"/>
    <w:rsid w:val="00EB2D56"/>
    <w:rsid w:val="00EB350E"/>
    <w:rsid w:val="00EB3E6B"/>
    <w:rsid w:val="00EB57DE"/>
    <w:rsid w:val="00EB63A8"/>
    <w:rsid w:val="00EB764B"/>
    <w:rsid w:val="00EB784B"/>
    <w:rsid w:val="00EC1D91"/>
    <w:rsid w:val="00EC1EE8"/>
    <w:rsid w:val="00EC2E0C"/>
    <w:rsid w:val="00EC42EE"/>
    <w:rsid w:val="00EC6050"/>
    <w:rsid w:val="00EC66AE"/>
    <w:rsid w:val="00EC7305"/>
    <w:rsid w:val="00ED0BD1"/>
    <w:rsid w:val="00ED0E42"/>
    <w:rsid w:val="00ED3161"/>
    <w:rsid w:val="00ED4557"/>
    <w:rsid w:val="00ED5628"/>
    <w:rsid w:val="00ED5CB0"/>
    <w:rsid w:val="00ED691C"/>
    <w:rsid w:val="00ED6A30"/>
    <w:rsid w:val="00ED70B4"/>
    <w:rsid w:val="00ED7CCF"/>
    <w:rsid w:val="00EE04AE"/>
    <w:rsid w:val="00EE075E"/>
    <w:rsid w:val="00EE217E"/>
    <w:rsid w:val="00EE3086"/>
    <w:rsid w:val="00EE331D"/>
    <w:rsid w:val="00EE3854"/>
    <w:rsid w:val="00EE418B"/>
    <w:rsid w:val="00EE562F"/>
    <w:rsid w:val="00EE6918"/>
    <w:rsid w:val="00EE750A"/>
    <w:rsid w:val="00EF20A5"/>
    <w:rsid w:val="00EF29D4"/>
    <w:rsid w:val="00EF2D46"/>
    <w:rsid w:val="00EF3FB1"/>
    <w:rsid w:val="00EF46E5"/>
    <w:rsid w:val="00EF4C3B"/>
    <w:rsid w:val="00EF573A"/>
    <w:rsid w:val="00EF67D8"/>
    <w:rsid w:val="00EF6A3F"/>
    <w:rsid w:val="00EF6ED8"/>
    <w:rsid w:val="00F00266"/>
    <w:rsid w:val="00F0165F"/>
    <w:rsid w:val="00F02D78"/>
    <w:rsid w:val="00F04DC6"/>
    <w:rsid w:val="00F062E8"/>
    <w:rsid w:val="00F07718"/>
    <w:rsid w:val="00F07ADB"/>
    <w:rsid w:val="00F07CA4"/>
    <w:rsid w:val="00F110FC"/>
    <w:rsid w:val="00F11731"/>
    <w:rsid w:val="00F13C6C"/>
    <w:rsid w:val="00F16292"/>
    <w:rsid w:val="00F17A49"/>
    <w:rsid w:val="00F17FFE"/>
    <w:rsid w:val="00F202D6"/>
    <w:rsid w:val="00F2126F"/>
    <w:rsid w:val="00F223DC"/>
    <w:rsid w:val="00F23156"/>
    <w:rsid w:val="00F24157"/>
    <w:rsid w:val="00F24D9B"/>
    <w:rsid w:val="00F2512C"/>
    <w:rsid w:val="00F25173"/>
    <w:rsid w:val="00F2545E"/>
    <w:rsid w:val="00F26E81"/>
    <w:rsid w:val="00F27638"/>
    <w:rsid w:val="00F308AC"/>
    <w:rsid w:val="00F323B9"/>
    <w:rsid w:val="00F32EB5"/>
    <w:rsid w:val="00F35985"/>
    <w:rsid w:val="00F37787"/>
    <w:rsid w:val="00F41724"/>
    <w:rsid w:val="00F417A0"/>
    <w:rsid w:val="00F417AC"/>
    <w:rsid w:val="00F46135"/>
    <w:rsid w:val="00F461A6"/>
    <w:rsid w:val="00F465FF"/>
    <w:rsid w:val="00F46B25"/>
    <w:rsid w:val="00F50384"/>
    <w:rsid w:val="00F52674"/>
    <w:rsid w:val="00F52B20"/>
    <w:rsid w:val="00F53515"/>
    <w:rsid w:val="00F5431B"/>
    <w:rsid w:val="00F55842"/>
    <w:rsid w:val="00F60828"/>
    <w:rsid w:val="00F60CF9"/>
    <w:rsid w:val="00F61DBF"/>
    <w:rsid w:val="00F6322E"/>
    <w:rsid w:val="00F66526"/>
    <w:rsid w:val="00F666E0"/>
    <w:rsid w:val="00F67B76"/>
    <w:rsid w:val="00F70792"/>
    <w:rsid w:val="00F71190"/>
    <w:rsid w:val="00F718A6"/>
    <w:rsid w:val="00F72164"/>
    <w:rsid w:val="00F7237E"/>
    <w:rsid w:val="00F72F7D"/>
    <w:rsid w:val="00F7302D"/>
    <w:rsid w:val="00F731BC"/>
    <w:rsid w:val="00F73A43"/>
    <w:rsid w:val="00F746DB"/>
    <w:rsid w:val="00F751A1"/>
    <w:rsid w:val="00F7579B"/>
    <w:rsid w:val="00F75ADE"/>
    <w:rsid w:val="00F75D0F"/>
    <w:rsid w:val="00F7675B"/>
    <w:rsid w:val="00F76DED"/>
    <w:rsid w:val="00F7729F"/>
    <w:rsid w:val="00F772BB"/>
    <w:rsid w:val="00F828D3"/>
    <w:rsid w:val="00F84220"/>
    <w:rsid w:val="00F86B6B"/>
    <w:rsid w:val="00F90D7A"/>
    <w:rsid w:val="00F91A4E"/>
    <w:rsid w:val="00F938A3"/>
    <w:rsid w:val="00F9686C"/>
    <w:rsid w:val="00F96E3F"/>
    <w:rsid w:val="00FA035A"/>
    <w:rsid w:val="00FA3593"/>
    <w:rsid w:val="00FA694E"/>
    <w:rsid w:val="00FB07BD"/>
    <w:rsid w:val="00FB1D72"/>
    <w:rsid w:val="00FB1FE7"/>
    <w:rsid w:val="00FB23DA"/>
    <w:rsid w:val="00FB43AC"/>
    <w:rsid w:val="00FB55B6"/>
    <w:rsid w:val="00FB5773"/>
    <w:rsid w:val="00FB736E"/>
    <w:rsid w:val="00FB75C2"/>
    <w:rsid w:val="00FB7AE1"/>
    <w:rsid w:val="00FC0955"/>
    <w:rsid w:val="00FC189A"/>
    <w:rsid w:val="00FC2BC8"/>
    <w:rsid w:val="00FC53E2"/>
    <w:rsid w:val="00FC647A"/>
    <w:rsid w:val="00FC67C0"/>
    <w:rsid w:val="00FC6A52"/>
    <w:rsid w:val="00FD002B"/>
    <w:rsid w:val="00FD05C8"/>
    <w:rsid w:val="00FD23BD"/>
    <w:rsid w:val="00FD44F2"/>
    <w:rsid w:val="00FD505C"/>
    <w:rsid w:val="00FD589B"/>
    <w:rsid w:val="00FD6404"/>
    <w:rsid w:val="00FD7165"/>
    <w:rsid w:val="00FE0C72"/>
    <w:rsid w:val="00FE1DB3"/>
    <w:rsid w:val="00FE4E2C"/>
    <w:rsid w:val="00FE5802"/>
    <w:rsid w:val="00FE76DB"/>
    <w:rsid w:val="00FF42F0"/>
    <w:rsid w:val="00FF48A5"/>
    <w:rsid w:val="00FF5D28"/>
    <w:rsid w:val="00FF655C"/>
    <w:rsid w:val="00FF69E2"/>
    <w:rsid w:val="00F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524780-0B1E-452B-8CE6-2BA632F7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02C"/>
    <w:pPr>
      <w:spacing w:after="200" w:line="276" w:lineRule="auto"/>
    </w:pPr>
    <w:rPr>
      <w:rFonts w:ascii="Calibri" w:eastAsia="Calibri" w:hAnsi="Calibri"/>
      <w:sz w:val="24"/>
      <w:szCs w:val="22"/>
    </w:rPr>
  </w:style>
  <w:style w:type="paragraph" w:styleId="Heading1">
    <w:name w:val="heading 1"/>
    <w:basedOn w:val="Normal"/>
    <w:next w:val="Normal"/>
    <w:link w:val="Heading1Char"/>
    <w:qFormat/>
    <w:rsid w:val="00E11B4D"/>
    <w:pPr>
      <w:numPr>
        <w:numId w:val="10"/>
      </w:numPr>
      <w:outlineLvl w:val="0"/>
    </w:pPr>
    <w:rPr>
      <w:rFonts w:ascii="Arial Bold" w:hAnsi="Arial Bold"/>
      <w:color w:val="000080"/>
      <w:sz w:val="48"/>
      <w:szCs w:val="48"/>
    </w:rPr>
  </w:style>
  <w:style w:type="paragraph" w:styleId="Heading2">
    <w:name w:val="heading 2"/>
    <w:basedOn w:val="Normal"/>
    <w:next w:val="Normal"/>
    <w:link w:val="Heading2Char"/>
    <w:qFormat/>
    <w:rsid w:val="005B14B1"/>
    <w:pPr>
      <w:keepNext/>
      <w:outlineLvl w:val="1"/>
    </w:pPr>
    <w:rPr>
      <w:rFonts w:ascii="Arial Bold" w:hAnsi="Arial Bold"/>
      <w:color w:val="000080"/>
      <w:sz w:val="48"/>
      <w:szCs w:val="48"/>
    </w:rPr>
  </w:style>
  <w:style w:type="paragraph" w:styleId="Heading3">
    <w:name w:val="heading 3"/>
    <w:basedOn w:val="Normal"/>
    <w:next w:val="Normal"/>
    <w:link w:val="Heading3Char"/>
    <w:qFormat/>
    <w:rsid w:val="005A69C2"/>
    <w:pPr>
      <w:keepNext/>
      <w:outlineLvl w:val="2"/>
    </w:pPr>
    <w:rPr>
      <w:b/>
      <w:color w:val="000080"/>
      <w:sz w:val="36"/>
      <w:szCs w:val="36"/>
    </w:rPr>
  </w:style>
  <w:style w:type="paragraph" w:styleId="Heading4">
    <w:name w:val="heading 4"/>
    <w:basedOn w:val="Normal"/>
    <w:next w:val="Normal"/>
    <w:link w:val="Heading4Char"/>
    <w:qFormat/>
    <w:rsid w:val="00DA6D50"/>
    <w:pPr>
      <w:keepNext/>
      <w:spacing w:before="240"/>
      <w:outlineLvl w:val="3"/>
    </w:pPr>
    <w:rPr>
      <w:b/>
      <w:sz w:val="28"/>
    </w:rPr>
  </w:style>
  <w:style w:type="paragraph" w:styleId="Heading5">
    <w:name w:val="heading 5"/>
    <w:basedOn w:val="Normal"/>
    <w:next w:val="Normal"/>
    <w:link w:val="Heading5Char"/>
    <w:qFormat/>
    <w:rsid w:val="005A69C2"/>
    <w:pPr>
      <w:keepNext/>
      <w:outlineLvl w:val="4"/>
    </w:pPr>
    <w:rPr>
      <w:i/>
    </w:rPr>
  </w:style>
  <w:style w:type="paragraph" w:styleId="Heading6">
    <w:name w:val="heading 6"/>
    <w:basedOn w:val="Normal"/>
    <w:next w:val="Normal"/>
    <w:link w:val="Heading6Char"/>
    <w:rsid w:val="00DA7D52"/>
    <w:pPr>
      <w:keepNext/>
      <w:spacing w:after="120" w:line="240" w:lineRule="auto"/>
      <w:outlineLvl w:val="5"/>
    </w:pPr>
    <w:rPr>
      <w:rFonts w:ascii="Tahoma" w:eastAsia="Times New Roman" w:hAnsi="Tahoma"/>
      <w:bCs/>
      <w:color w:val="000080"/>
    </w:rPr>
  </w:style>
  <w:style w:type="paragraph" w:styleId="Heading7">
    <w:name w:val="heading 7"/>
    <w:basedOn w:val="Normal"/>
    <w:next w:val="Normal"/>
    <w:link w:val="Heading7Char"/>
    <w:rsid w:val="00DA7D52"/>
    <w:pPr>
      <w:keepNext/>
      <w:spacing w:after="120" w:line="240" w:lineRule="auto"/>
      <w:outlineLvl w:val="6"/>
    </w:pPr>
    <w:rPr>
      <w:rFonts w:ascii="Tahoma" w:eastAsia="Times New Roman" w:hAnsi="Tahoma"/>
      <w:color w:val="000080"/>
      <w:szCs w:val="24"/>
    </w:rPr>
  </w:style>
  <w:style w:type="paragraph" w:styleId="Heading8">
    <w:name w:val="heading 8"/>
    <w:basedOn w:val="Normal"/>
    <w:next w:val="Normal"/>
    <w:link w:val="Heading8Char"/>
    <w:rsid w:val="00DA7D52"/>
    <w:pPr>
      <w:keepNext/>
      <w:spacing w:after="120" w:line="240" w:lineRule="auto"/>
      <w:outlineLvl w:val="7"/>
    </w:pPr>
    <w:rPr>
      <w:rFonts w:ascii="Tahoma" w:eastAsia="Times New Roman" w:hAnsi="Tahoma"/>
      <w:iCs/>
      <w:color w:val="000080"/>
      <w:szCs w:val="24"/>
    </w:rPr>
  </w:style>
  <w:style w:type="paragraph" w:styleId="Heading9">
    <w:name w:val="heading 9"/>
    <w:basedOn w:val="Normal"/>
    <w:next w:val="Normal"/>
    <w:link w:val="Heading9Char"/>
    <w:rsid w:val="00DA7D52"/>
    <w:pPr>
      <w:keepNext/>
      <w:spacing w:after="120" w:line="240" w:lineRule="auto"/>
      <w:outlineLvl w:val="8"/>
    </w:pPr>
    <w:rPr>
      <w:rFonts w:ascii="Tahoma" w:eastAsia="Times New Roman" w:hAnsi="Tahoma" w:cs="Arial"/>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B4D"/>
    <w:rPr>
      <w:rFonts w:ascii="Arial Bold" w:eastAsia="Calibri" w:hAnsi="Arial Bold"/>
      <w:color w:val="000080"/>
      <w:sz w:val="48"/>
      <w:szCs w:val="48"/>
    </w:rPr>
  </w:style>
  <w:style w:type="character" w:customStyle="1" w:styleId="Heading2Char">
    <w:name w:val="Heading 2 Char"/>
    <w:basedOn w:val="DefaultParagraphFont"/>
    <w:link w:val="Heading2"/>
    <w:rsid w:val="005B14B1"/>
    <w:rPr>
      <w:rFonts w:ascii="Arial Bold" w:eastAsia="Calibri" w:hAnsi="Arial Bold"/>
      <w:color w:val="000080"/>
      <w:sz w:val="48"/>
      <w:szCs w:val="48"/>
    </w:rPr>
  </w:style>
  <w:style w:type="character" w:customStyle="1" w:styleId="Heading5Char">
    <w:name w:val="Heading 5 Char"/>
    <w:basedOn w:val="DefaultParagraphFont"/>
    <w:link w:val="Heading5"/>
    <w:rsid w:val="005A69C2"/>
    <w:rPr>
      <w:rFonts w:ascii="Calibri" w:eastAsia="Calibri" w:hAnsi="Calibri"/>
      <w:i/>
      <w:sz w:val="24"/>
      <w:szCs w:val="22"/>
    </w:rPr>
  </w:style>
  <w:style w:type="paragraph" w:customStyle="1" w:styleId="Bullet">
    <w:name w:val="Bullet"/>
    <w:aliases w:val="b,b1,b + line,Body,level 1"/>
    <w:basedOn w:val="Normal"/>
    <w:link w:val="BulletChar"/>
    <w:qFormat/>
    <w:rsid w:val="00251D45"/>
    <w:pPr>
      <w:numPr>
        <w:numId w:val="5"/>
      </w:numPr>
      <w:ind w:left="1134" w:right="567"/>
    </w:pPr>
  </w:style>
  <w:style w:type="character" w:customStyle="1" w:styleId="BulletChar">
    <w:name w:val="Bullet Char"/>
    <w:aliases w:val="b Char,b Char Char,b + line Char Char"/>
    <w:basedOn w:val="DefaultParagraphFont"/>
    <w:link w:val="Bullet"/>
    <w:rsid w:val="00251D45"/>
    <w:rPr>
      <w:rFonts w:ascii="Calibri" w:eastAsia="Calibri" w:hAnsi="Calibri"/>
      <w:sz w:val="24"/>
      <w:szCs w:val="22"/>
    </w:rPr>
  </w:style>
  <w:style w:type="paragraph" w:customStyle="1" w:styleId="Dash">
    <w:name w:val="Dash"/>
    <w:basedOn w:val="Normal"/>
    <w:link w:val="DashChar"/>
    <w:qFormat/>
    <w:rsid w:val="00832BB0"/>
    <w:pPr>
      <w:numPr>
        <w:ilvl w:val="1"/>
        <w:numId w:val="5"/>
      </w:numPr>
      <w:ind w:left="1843" w:hanging="709"/>
    </w:pPr>
  </w:style>
  <w:style w:type="paragraph" w:customStyle="1" w:styleId="DoubleDot">
    <w:name w:val="Double Dot"/>
    <w:basedOn w:val="Normal"/>
    <w:link w:val="DoubleDotChar"/>
    <w:qFormat/>
    <w:rsid w:val="00A7602C"/>
    <w:pPr>
      <w:numPr>
        <w:ilvl w:val="2"/>
        <w:numId w:val="4"/>
      </w:numPr>
    </w:pPr>
  </w:style>
  <w:style w:type="paragraph" w:styleId="FootnoteText">
    <w:name w:val="footnote text"/>
    <w:basedOn w:val="Normal"/>
    <w:link w:val="FootnoteTextChar"/>
    <w:uiPriority w:val="99"/>
    <w:unhideWhenUsed/>
    <w:rsid w:val="00020BCE"/>
    <w:pPr>
      <w:spacing w:after="0" w:line="240" w:lineRule="auto"/>
    </w:pPr>
    <w:rPr>
      <w:sz w:val="20"/>
      <w:szCs w:val="20"/>
    </w:rPr>
  </w:style>
  <w:style w:type="character" w:customStyle="1" w:styleId="FootnoteTextChar">
    <w:name w:val="Footnote Text Char"/>
    <w:basedOn w:val="DefaultParagraphFont"/>
    <w:link w:val="FootnoteText"/>
    <w:uiPriority w:val="99"/>
    <w:rsid w:val="00020BCE"/>
    <w:rPr>
      <w:rFonts w:ascii="Calibri" w:eastAsia="Calibri" w:hAnsi="Calibri" w:cs="Times New Roman"/>
      <w:sz w:val="20"/>
      <w:szCs w:val="20"/>
    </w:rPr>
  </w:style>
  <w:style w:type="character" w:styleId="FootnoteReference">
    <w:name w:val="footnote reference"/>
    <w:basedOn w:val="DefaultParagraphFont"/>
    <w:uiPriority w:val="99"/>
    <w:unhideWhenUsed/>
    <w:rsid w:val="00020BCE"/>
    <w:rPr>
      <w:vertAlign w:val="superscript"/>
    </w:rPr>
  </w:style>
  <w:style w:type="paragraph" w:customStyle="1" w:styleId="OutlineNumbered1">
    <w:name w:val="Outline Numbered 1"/>
    <w:basedOn w:val="Normal"/>
    <w:link w:val="OutlineNumbered1Char"/>
    <w:rsid w:val="00020BCE"/>
    <w:pPr>
      <w:numPr>
        <w:numId w:val="7"/>
      </w:numPr>
    </w:pPr>
    <w:rPr>
      <w:rFonts w:eastAsia="Times New Roman"/>
      <w:szCs w:val="20"/>
      <w:lang w:eastAsia="en-AU"/>
    </w:rPr>
  </w:style>
  <w:style w:type="character" w:customStyle="1" w:styleId="OutlineNumbered1Char">
    <w:name w:val="Outline Numbered 1 Char"/>
    <w:basedOn w:val="DefaultParagraphFont"/>
    <w:link w:val="OutlineNumbered1"/>
    <w:rsid w:val="00020BCE"/>
    <w:rPr>
      <w:rFonts w:ascii="Calibri" w:hAnsi="Calibri"/>
      <w:sz w:val="24"/>
      <w:lang w:eastAsia="en-AU"/>
    </w:rPr>
  </w:style>
  <w:style w:type="paragraph" w:customStyle="1" w:styleId="OutlineNumbered2">
    <w:name w:val="Outline Numbered 2"/>
    <w:basedOn w:val="Normal"/>
    <w:rsid w:val="00020BCE"/>
    <w:pPr>
      <w:numPr>
        <w:ilvl w:val="1"/>
        <w:numId w:val="7"/>
      </w:numPr>
    </w:pPr>
    <w:rPr>
      <w:rFonts w:eastAsia="Times New Roman"/>
      <w:szCs w:val="20"/>
      <w:lang w:eastAsia="en-AU"/>
    </w:rPr>
  </w:style>
  <w:style w:type="paragraph" w:customStyle="1" w:styleId="OutlineNumbered3">
    <w:name w:val="Outline Numbered 3"/>
    <w:basedOn w:val="Normal"/>
    <w:rsid w:val="00020BCE"/>
    <w:pPr>
      <w:numPr>
        <w:ilvl w:val="2"/>
        <w:numId w:val="7"/>
      </w:numPr>
    </w:pPr>
    <w:rPr>
      <w:rFonts w:ascii="Times New Roman" w:eastAsia="Times New Roman" w:hAnsi="Times New Roman"/>
      <w:szCs w:val="20"/>
      <w:lang w:eastAsia="en-AU"/>
    </w:rPr>
  </w:style>
  <w:style w:type="paragraph" w:styleId="Footer">
    <w:name w:val="footer"/>
    <w:basedOn w:val="Normal"/>
    <w:link w:val="FooterChar"/>
    <w:uiPriority w:val="99"/>
    <w:unhideWhenUsed/>
    <w:rsid w:val="00020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BCE"/>
    <w:rPr>
      <w:rFonts w:ascii="Calibri" w:eastAsia="Calibri" w:hAnsi="Calibri" w:cs="Times New Roman"/>
      <w:sz w:val="24"/>
    </w:rPr>
  </w:style>
  <w:style w:type="character" w:styleId="Hyperlink">
    <w:name w:val="Hyperlink"/>
    <w:basedOn w:val="DefaultParagraphFont"/>
    <w:uiPriority w:val="99"/>
    <w:unhideWhenUsed/>
    <w:rsid w:val="00020BCE"/>
    <w:rPr>
      <w:color w:val="0000FF" w:themeColor="hyperlink"/>
      <w:u w:val="single"/>
    </w:rPr>
  </w:style>
  <w:style w:type="paragraph" w:styleId="TOC1">
    <w:name w:val="toc 1"/>
    <w:basedOn w:val="Normal"/>
    <w:next w:val="Normal"/>
    <w:autoRedefine/>
    <w:uiPriority w:val="39"/>
    <w:unhideWhenUsed/>
    <w:rsid w:val="00433EB9"/>
    <w:pPr>
      <w:keepNext/>
      <w:tabs>
        <w:tab w:val="right" w:leader="dot" w:pos="9016"/>
      </w:tabs>
      <w:spacing w:after="100"/>
    </w:pPr>
    <w:rPr>
      <w:b/>
    </w:rPr>
  </w:style>
  <w:style w:type="paragraph" w:styleId="TOC2">
    <w:name w:val="toc 2"/>
    <w:basedOn w:val="Normal"/>
    <w:next w:val="Normal"/>
    <w:autoRedefine/>
    <w:uiPriority w:val="39"/>
    <w:unhideWhenUsed/>
    <w:rsid w:val="003432CC"/>
    <w:pPr>
      <w:spacing w:after="100"/>
      <w:ind w:left="240"/>
    </w:pPr>
    <w:rPr>
      <w:b/>
    </w:rPr>
  </w:style>
  <w:style w:type="paragraph" w:customStyle="1" w:styleId="ChartGraphic">
    <w:name w:val="Chart Graphic"/>
    <w:basedOn w:val="Normal"/>
    <w:next w:val="Normal"/>
    <w:rsid w:val="00020BCE"/>
    <w:pPr>
      <w:keepNext/>
      <w:spacing w:after="0" w:line="240" w:lineRule="auto"/>
      <w:jc w:val="center"/>
    </w:pPr>
    <w:rPr>
      <w:rFonts w:asciiTheme="majorHAnsi" w:eastAsia="Times New Roman" w:hAnsiTheme="majorHAnsi"/>
      <w:color w:val="333399"/>
      <w:sz w:val="20"/>
      <w:szCs w:val="20"/>
      <w:lang w:eastAsia="en-AU"/>
    </w:rPr>
  </w:style>
  <w:style w:type="paragraph" w:styleId="BalloonText">
    <w:name w:val="Balloon Text"/>
    <w:basedOn w:val="Normal"/>
    <w:link w:val="BalloonTextChar"/>
    <w:uiPriority w:val="99"/>
    <w:semiHidden/>
    <w:unhideWhenUsed/>
    <w:rsid w:val="00020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BCE"/>
    <w:rPr>
      <w:rFonts w:ascii="Tahoma" w:eastAsia="Calibri" w:hAnsi="Tahoma" w:cs="Tahoma"/>
      <w:sz w:val="16"/>
      <w:szCs w:val="16"/>
    </w:rPr>
  </w:style>
  <w:style w:type="character" w:customStyle="1" w:styleId="Heading3Char">
    <w:name w:val="Heading 3 Char"/>
    <w:basedOn w:val="DefaultParagraphFont"/>
    <w:link w:val="Heading3"/>
    <w:rsid w:val="005A69C2"/>
    <w:rPr>
      <w:rFonts w:ascii="Calibri" w:eastAsia="Calibri" w:hAnsi="Calibri"/>
      <w:b/>
      <w:color w:val="000080"/>
      <w:sz w:val="36"/>
      <w:szCs w:val="36"/>
    </w:rPr>
  </w:style>
  <w:style w:type="paragraph" w:styleId="TOCHeading">
    <w:name w:val="TOC Heading"/>
    <w:basedOn w:val="Heading1"/>
    <w:next w:val="Normal"/>
    <w:uiPriority w:val="39"/>
    <w:unhideWhenUsed/>
    <w:qFormat/>
    <w:rsid w:val="00A7602C"/>
    <w:pPr>
      <w:keepLines/>
      <w:spacing w:after="0"/>
      <w:outlineLvl w:val="9"/>
    </w:pPr>
    <w:rPr>
      <w:rFonts w:asciiTheme="majorHAnsi" w:eastAsiaTheme="majorEastAsia" w:hAnsiTheme="majorHAnsi"/>
      <w:bCs/>
      <w:color w:val="365F91" w:themeColor="accent1" w:themeShade="BF"/>
      <w:sz w:val="28"/>
      <w:szCs w:val="28"/>
      <w:lang w:val="en-US" w:eastAsia="ja-JP"/>
    </w:rPr>
  </w:style>
  <w:style w:type="paragraph" w:styleId="TOC3">
    <w:name w:val="toc 3"/>
    <w:basedOn w:val="Normal"/>
    <w:next w:val="Normal"/>
    <w:autoRedefine/>
    <w:uiPriority w:val="39"/>
    <w:unhideWhenUsed/>
    <w:rsid w:val="00020BCE"/>
    <w:pPr>
      <w:spacing w:after="100"/>
      <w:ind w:left="480"/>
    </w:pPr>
  </w:style>
  <w:style w:type="character" w:customStyle="1" w:styleId="Heading4Char">
    <w:name w:val="Heading 4 Char"/>
    <w:basedOn w:val="DefaultParagraphFont"/>
    <w:link w:val="Heading4"/>
    <w:rsid w:val="00DA6D50"/>
    <w:rPr>
      <w:rFonts w:ascii="Calibri" w:eastAsia="Calibri" w:hAnsi="Calibri"/>
      <w:b/>
      <w:sz w:val="28"/>
      <w:szCs w:val="22"/>
    </w:rPr>
  </w:style>
  <w:style w:type="character" w:customStyle="1" w:styleId="Heading6Char">
    <w:name w:val="Heading 6 Char"/>
    <w:basedOn w:val="DefaultParagraphFont"/>
    <w:link w:val="Heading6"/>
    <w:rsid w:val="00DA7D52"/>
    <w:rPr>
      <w:rFonts w:ascii="Tahoma" w:eastAsia="Times New Roman" w:hAnsi="Tahoma" w:cs="Times New Roman"/>
      <w:bCs/>
      <w:color w:val="000080"/>
      <w:sz w:val="24"/>
    </w:rPr>
  </w:style>
  <w:style w:type="character" w:customStyle="1" w:styleId="Heading7Char">
    <w:name w:val="Heading 7 Char"/>
    <w:basedOn w:val="DefaultParagraphFont"/>
    <w:link w:val="Heading7"/>
    <w:rsid w:val="00DA7D52"/>
    <w:rPr>
      <w:rFonts w:ascii="Tahoma" w:eastAsia="Times New Roman" w:hAnsi="Tahoma" w:cs="Times New Roman"/>
      <w:color w:val="000080"/>
      <w:sz w:val="24"/>
      <w:szCs w:val="24"/>
    </w:rPr>
  </w:style>
  <w:style w:type="character" w:customStyle="1" w:styleId="Heading8Char">
    <w:name w:val="Heading 8 Char"/>
    <w:basedOn w:val="DefaultParagraphFont"/>
    <w:link w:val="Heading8"/>
    <w:rsid w:val="00DA7D52"/>
    <w:rPr>
      <w:rFonts w:ascii="Tahoma" w:eastAsia="Times New Roman" w:hAnsi="Tahoma" w:cs="Times New Roman"/>
      <w:iCs/>
      <w:color w:val="000080"/>
      <w:sz w:val="24"/>
      <w:szCs w:val="24"/>
    </w:rPr>
  </w:style>
  <w:style w:type="character" w:customStyle="1" w:styleId="Heading9Char">
    <w:name w:val="Heading 9 Char"/>
    <w:basedOn w:val="DefaultParagraphFont"/>
    <w:link w:val="Heading9"/>
    <w:rsid w:val="00DA7D52"/>
    <w:rPr>
      <w:rFonts w:ascii="Tahoma" w:eastAsia="Times New Roman" w:hAnsi="Tahoma" w:cs="Arial"/>
      <w:color w:val="000080"/>
      <w:sz w:val="24"/>
    </w:rPr>
  </w:style>
  <w:style w:type="character" w:customStyle="1" w:styleId="DashChar">
    <w:name w:val="Dash Char"/>
    <w:basedOn w:val="DefaultParagraphFont"/>
    <w:link w:val="Dash"/>
    <w:locked/>
    <w:rsid w:val="00832BB0"/>
    <w:rPr>
      <w:rFonts w:ascii="Calibri" w:eastAsia="Calibri" w:hAnsi="Calibri"/>
      <w:sz w:val="24"/>
      <w:szCs w:val="22"/>
    </w:rPr>
  </w:style>
  <w:style w:type="character" w:customStyle="1" w:styleId="DoubleDotChar">
    <w:name w:val="Double Dot Char"/>
    <w:basedOn w:val="DefaultParagraphFont"/>
    <w:link w:val="DoubleDot"/>
    <w:locked/>
    <w:rsid w:val="00A7602C"/>
    <w:rPr>
      <w:rFonts w:ascii="Calibri" w:eastAsia="Calibri" w:hAnsi="Calibri"/>
      <w:sz w:val="24"/>
      <w:szCs w:val="22"/>
    </w:rPr>
  </w:style>
  <w:style w:type="paragraph" w:styleId="Title">
    <w:name w:val="Title"/>
    <w:basedOn w:val="Normal"/>
    <w:next w:val="Normal"/>
    <w:link w:val="TitleChar"/>
    <w:qFormat/>
    <w:rsid w:val="00A7602C"/>
    <w:pPr>
      <w:spacing w:before="240" w:after="60"/>
      <w:jc w:val="center"/>
      <w:outlineLvl w:val="0"/>
    </w:pPr>
    <w:rPr>
      <w:rFonts w:ascii="Arial Bold" w:eastAsia="Times New Roman" w:hAnsi="Arial Bold"/>
      <w:b/>
      <w:bCs/>
      <w:color w:val="17365D"/>
      <w:kern w:val="28"/>
      <w:sz w:val="48"/>
      <w:szCs w:val="32"/>
    </w:rPr>
  </w:style>
  <w:style w:type="character" w:customStyle="1" w:styleId="TitleChar">
    <w:name w:val="Title Char"/>
    <w:link w:val="Title"/>
    <w:rsid w:val="00A7602C"/>
    <w:rPr>
      <w:rFonts w:ascii="Arial Bold" w:hAnsi="Arial Bold"/>
      <w:b/>
      <w:bCs/>
      <w:color w:val="17365D"/>
      <w:kern w:val="28"/>
      <w:sz w:val="48"/>
      <w:szCs w:val="32"/>
    </w:rPr>
  </w:style>
  <w:style w:type="paragraph" w:styleId="Subtitle">
    <w:name w:val="Subtitle"/>
    <w:basedOn w:val="Normal"/>
    <w:next w:val="Normal"/>
    <w:link w:val="SubtitleChar"/>
    <w:qFormat/>
    <w:rsid w:val="00A7602C"/>
    <w:pPr>
      <w:keepNext/>
      <w:spacing w:after="360" w:line="240" w:lineRule="auto"/>
      <w:jc w:val="center"/>
    </w:pPr>
    <w:rPr>
      <w:rFonts w:ascii="Tahoma" w:eastAsia="Times New Roman" w:hAnsi="Tahoma"/>
      <w:color w:val="000080"/>
      <w:sz w:val="36"/>
      <w:szCs w:val="20"/>
    </w:rPr>
  </w:style>
  <w:style w:type="character" w:customStyle="1" w:styleId="SubtitleChar">
    <w:name w:val="Subtitle Char"/>
    <w:link w:val="Subtitle"/>
    <w:rsid w:val="00A7602C"/>
    <w:rPr>
      <w:rFonts w:ascii="Tahoma" w:hAnsi="Tahoma"/>
      <w:color w:val="000080"/>
      <w:sz w:val="36"/>
    </w:rPr>
  </w:style>
  <w:style w:type="paragraph" w:styleId="ListParagraph">
    <w:name w:val="List Paragraph"/>
    <w:basedOn w:val="Normal"/>
    <w:link w:val="ListParagraphChar"/>
    <w:uiPriority w:val="34"/>
    <w:qFormat/>
    <w:rsid w:val="00A7602C"/>
    <w:pPr>
      <w:ind w:left="720"/>
    </w:pPr>
  </w:style>
  <w:style w:type="paragraph" w:styleId="Quote">
    <w:name w:val="Quote"/>
    <w:basedOn w:val="Normal"/>
    <w:next w:val="Normal"/>
    <w:link w:val="QuoteChar"/>
    <w:uiPriority w:val="29"/>
    <w:qFormat/>
    <w:rsid w:val="00A7602C"/>
    <w:pPr>
      <w:ind w:left="720"/>
    </w:pPr>
    <w:rPr>
      <w:i/>
    </w:rPr>
  </w:style>
  <w:style w:type="character" w:customStyle="1" w:styleId="QuoteChar">
    <w:name w:val="Quote Char"/>
    <w:link w:val="Quote"/>
    <w:uiPriority w:val="29"/>
    <w:rsid w:val="00A7602C"/>
    <w:rPr>
      <w:rFonts w:ascii="Calibri" w:eastAsia="Calibri" w:hAnsi="Calibri"/>
      <w:i/>
      <w:sz w:val="24"/>
      <w:szCs w:val="22"/>
    </w:rPr>
  </w:style>
  <w:style w:type="character" w:styleId="SubtleEmphasis">
    <w:name w:val="Subtle Emphasis"/>
    <w:uiPriority w:val="19"/>
    <w:qFormat/>
    <w:rsid w:val="00A7602C"/>
  </w:style>
  <w:style w:type="table" w:styleId="TableGrid">
    <w:name w:val="Table Grid"/>
    <w:basedOn w:val="TableNormal"/>
    <w:uiPriority w:val="59"/>
    <w:rsid w:val="00DA7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graphcaption">
    <w:name w:val="graphcaption"/>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paragraph" w:customStyle="1" w:styleId="textaligncenter">
    <w:name w:val="textaligncenter"/>
    <w:basedOn w:val="Normal"/>
    <w:rsid w:val="00DA7D52"/>
    <w:pPr>
      <w:spacing w:before="100" w:beforeAutospacing="1" w:after="100" w:afterAutospacing="1" w:line="240" w:lineRule="auto"/>
    </w:pPr>
    <w:rPr>
      <w:rFonts w:ascii="Times New Roman" w:eastAsia="Times New Roman" w:hAnsi="Times New Roman"/>
      <w:szCs w:val="24"/>
      <w:lang w:eastAsia="en-AU"/>
    </w:rPr>
  </w:style>
  <w:style w:type="character" w:customStyle="1" w:styleId="apple-converted-space">
    <w:name w:val="apple-converted-space"/>
    <w:basedOn w:val="DefaultParagraphFont"/>
    <w:rsid w:val="00DA7D52"/>
  </w:style>
  <w:style w:type="character" w:styleId="FollowedHyperlink">
    <w:name w:val="FollowedHyperlink"/>
    <w:basedOn w:val="DefaultParagraphFont"/>
    <w:uiPriority w:val="99"/>
    <w:semiHidden/>
    <w:unhideWhenUsed/>
    <w:rsid w:val="00DA7D52"/>
    <w:rPr>
      <w:color w:val="800080" w:themeColor="followedHyperlink"/>
      <w:u w:val="single"/>
    </w:rPr>
  </w:style>
  <w:style w:type="character" w:styleId="CommentReference">
    <w:name w:val="annotation reference"/>
    <w:basedOn w:val="DefaultParagraphFont"/>
    <w:uiPriority w:val="99"/>
    <w:semiHidden/>
    <w:unhideWhenUsed/>
    <w:rsid w:val="00DA7D52"/>
    <w:rPr>
      <w:sz w:val="16"/>
      <w:szCs w:val="16"/>
    </w:rPr>
  </w:style>
  <w:style w:type="paragraph" w:styleId="CommentText">
    <w:name w:val="annotation text"/>
    <w:basedOn w:val="Normal"/>
    <w:link w:val="CommentTextChar"/>
    <w:uiPriority w:val="99"/>
    <w:semiHidden/>
    <w:unhideWhenUsed/>
    <w:rsid w:val="00DA7D52"/>
    <w:pPr>
      <w:spacing w:line="240" w:lineRule="auto"/>
    </w:pPr>
    <w:rPr>
      <w:sz w:val="20"/>
      <w:szCs w:val="20"/>
    </w:rPr>
  </w:style>
  <w:style w:type="character" w:customStyle="1" w:styleId="CommentTextChar">
    <w:name w:val="Comment Text Char"/>
    <w:basedOn w:val="DefaultParagraphFont"/>
    <w:link w:val="CommentText"/>
    <w:uiPriority w:val="99"/>
    <w:semiHidden/>
    <w:rsid w:val="00DA7D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D52"/>
    <w:rPr>
      <w:b/>
      <w:bCs/>
    </w:rPr>
  </w:style>
  <w:style w:type="character" w:customStyle="1" w:styleId="CommentSubjectChar">
    <w:name w:val="Comment Subject Char"/>
    <w:basedOn w:val="CommentTextChar"/>
    <w:link w:val="CommentSubject"/>
    <w:uiPriority w:val="99"/>
    <w:semiHidden/>
    <w:rsid w:val="00DA7D52"/>
    <w:rPr>
      <w:rFonts w:ascii="Calibri" w:eastAsia="Calibri" w:hAnsi="Calibri" w:cs="Times New Roman"/>
      <w:b/>
      <w:bCs/>
      <w:sz w:val="20"/>
      <w:szCs w:val="20"/>
    </w:rPr>
  </w:style>
  <w:style w:type="paragraph" w:customStyle="1" w:styleId="Default">
    <w:name w:val="Default"/>
    <w:rsid w:val="00DA7D52"/>
    <w:pPr>
      <w:autoSpaceDE w:val="0"/>
      <w:autoSpaceDN w:val="0"/>
      <w:adjustRightInd w:val="0"/>
    </w:pPr>
    <w:rPr>
      <w:rFonts w:ascii="Myriad Pro Light" w:hAnsi="Myriad Pro Light" w:cs="Myriad Pro Light"/>
      <w:color w:val="000000"/>
      <w:sz w:val="24"/>
      <w:szCs w:val="24"/>
    </w:rPr>
  </w:style>
  <w:style w:type="paragraph" w:customStyle="1" w:styleId="B-Style0">
    <w:name w:val="B-Style"/>
    <w:basedOn w:val="Bullet"/>
    <w:link w:val="B-StyleChar"/>
    <w:qFormat/>
    <w:rsid w:val="00A7602C"/>
    <w:pPr>
      <w:numPr>
        <w:numId w:val="0"/>
      </w:numPr>
      <w:ind w:left="1134" w:hanging="567"/>
    </w:pPr>
  </w:style>
  <w:style w:type="character" w:customStyle="1" w:styleId="B-StyleChar">
    <w:name w:val="B-Style Char"/>
    <w:basedOn w:val="BulletChar"/>
    <w:link w:val="B-Style0"/>
    <w:rsid w:val="00A7602C"/>
    <w:rPr>
      <w:rFonts w:ascii="Calibri" w:eastAsia="Calibri" w:hAnsi="Calibri"/>
      <w:sz w:val="24"/>
      <w:szCs w:val="22"/>
    </w:rPr>
  </w:style>
  <w:style w:type="character" w:styleId="Emphasis">
    <w:name w:val="Emphasis"/>
    <w:basedOn w:val="DefaultParagraphFont"/>
    <w:uiPriority w:val="20"/>
    <w:qFormat/>
    <w:rsid w:val="00A7602C"/>
    <w:rPr>
      <w:i/>
      <w:iCs/>
    </w:rPr>
  </w:style>
  <w:style w:type="paragraph" w:styleId="Header">
    <w:name w:val="header"/>
    <w:basedOn w:val="Normal"/>
    <w:link w:val="HeaderChar"/>
    <w:uiPriority w:val="99"/>
    <w:unhideWhenUsed/>
    <w:rsid w:val="00DA7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D52"/>
    <w:rPr>
      <w:rFonts w:ascii="Calibri" w:eastAsia="Calibri" w:hAnsi="Calibri" w:cs="Times New Roman"/>
      <w:sz w:val="24"/>
    </w:rPr>
  </w:style>
  <w:style w:type="character" w:styleId="Strong">
    <w:name w:val="Strong"/>
    <w:basedOn w:val="DefaultParagraphFont"/>
    <w:uiPriority w:val="22"/>
    <w:qFormat/>
    <w:rsid w:val="00A7602C"/>
    <w:rPr>
      <w:b/>
      <w:bCs/>
    </w:rPr>
  </w:style>
  <w:style w:type="paragraph" w:customStyle="1" w:styleId="b-style">
    <w:name w:val="b-style"/>
    <w:basedOn w:val="ListParagraph"/>
    <w:rsid w:val="00DA7D52"/>
    <w:pPr>
      <w:numPr>
        <w:numId w:val="2"/>
      </w:numPr>
      <w:spacing w:after="240" w:line="240" w:lineRule="auto"/>
      <w:ind w:left="567" w:right="567" w:hanging="567"/>
    </w:pPr>
    <w:rPr>
      <w:rFonts w:asciiTheme="minorHAnsi" w:eastAsiaTheme="minorHAnsi" w:hAnsiTheme="minorHAnsi" w:cstheme="minorBidi"/>
      <w:color w:val="000000" w:themeColor="text1"/>
      <w:szCs w:val="24"/>
      <w:shd w:val="clear" w:color="auto" w:fill="FFFFFF"/>
    </w:rPr>
  </w:style>
  <w:style w:type="character" w:customStyle="1" w:styleId="ListParagraphChar">
    <w:name w:val="List Paragraph Char"/>
    <w:basedOn w:val="DefaultParagraphFont"/>
    <w:link w:val="ListParagraph"/>
    <w:uiPriority w:val="34"/>
    <w:rsid w:val="00DA7D52"/>
    <w:rPr>
      <w:rFonts w:ascii="Calibri" w:eastAsia="Calibri" w:hAnsi="Calibri"/>
      <w:sz w:val="24"/>
      <w:szCs w:val="22"/>
    </w:rPr>
  </w:style>
  <w:style w:type="paragraph" w:customStyle="1" w:styleId="n-style">
    <w:name w:val="n-style"/>
    <w:basedOn w:val="ListParagraph"/>
    <w:link w:val="n-styleChar"/>
    <w:rsid w:val="00DA7D52"/>
    <w:pPr>
      <w:numPr>
        <w:numId w:val="3"/>
      </w:numPr>
      <w:spacing w:after="240" w:line="240" w:lineRule="auto"/>
      <w:ind w:left="357" w:hanging="357"/>
    </w:pPr>
    <w:rPr>
      <w:rFonts w:cs="Tahoma"/>
      <w:color w:val="404040"/>
      <w:szCs w:val="24"/>
      <w:shd w:val="clear" w:color="auto" w:fill="FFFFFF"/>
    </w:rPr>
  </w:style>
  <w:style w:type="character" w:customStyle="1" w:styleId="n-styleChar">
    <w:name w:val="n-style Char"/>
    <w:basedOn w:val="ListParagraphChar"/>
    <w:link w:val="n-style"/>
    <w:rsid w:val="00DA7D52"/>
    <w:rPr>
      <w:rFonts w:ascii="Calibri" w:eastAsia="Calibri" w:hAnsi="Calibri" w:cs="Tahoma"/>
      <w:color w:val="404040"/>
      <w:sz w:val="24"/>
      <w:szCs w:val="24"/>
    </w:rPr>
  </w:style>
  <w:style w:type="table" w:customStyle="1" w:styleId="TableGrid1">
    <w:name w:val="Table Grid1"/>
    <w:basedOn w:val="TableNormal"/>
    <w:next w:val="TableGrid"/>
    <w:uiPriority w:val="59"/>
    <w:rsid w:val="00DA7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25C7D"/>
    <w:pPr>
      <w:spacing w:after="100"/>
      <w:ind w:left="720"/>
    </w:pPr>
  </w:style>
  <w:style w:type="paragraph" w:styleId="TOC5">
    <w:name w:val="toc 5"/>
    <w:basedOn w:val="Normal"/>
    <w:next w:val="Normal"/>
    <w:autoRedefine/>
    <w:uiPriority w:val="39"/>
    <w:unhideWhenUsed/>
    <w:rsid w:val="00625C7D"/>
    <w:pPr>
      <w:spacing w:after="100"/>
      <w:ind w:left="960"/>
    </w:pPr>
  </w:style>
  <w:style w:type="paragraph" w:styleId="Revision">
    <w:name w:val="Revision"/>
    <w:hidden/>
    <w:uiPriority w:val="99"/>
    <w:semiHidden/>
    <w:rsid w:val="00BB744C"/>
    <w:rPr>
      <w:rFonts w:ascii="Calibri" w:eastAsia="Calibri" w:hAnsi="Calibri"/>
      <w:sz w:val="24"/>
      <w:szCs w:val="22"/>
    </w:rPr>
  </w:style>
  <w:style w:type="paragraph" w:styleId="Caption">
    <w:name w:val="caption"/>
    <w:basedOn w:val="Normal"/>
    <w:next w:val="Normal"/>
    <w:unhideWhenUsed/>
    <w:qFormat/>
    <w:rsid w:val="00967350"/>
    <w:pPr>
      <w:spacing w:line="240" w:lineRule="auto"/>
    </w:pPr>
    <w:rPr>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31463">
      <w:bodyDiv w:val="1"/>
      <w:marLeft w:val="0"/>
      <w:marRight w:val="0"/>
      <w:marTop w:val="0"/>
      <w:marBottom w:val="0"/>
      <w:divBdr>
        <w:top w:val="none" w:sz="0" w:space="0" w:color="auto"/>
        <w:left w:val="none" w:sz="0" w:space="0" w:color="auto"/>
        <w:bottom w:val="none" w:sz="0" w:space="0" w:color="auto"/>
        <w:right w:val="none" w:sz="0" w:space="0" w:color="auto"/>
      </w:divBdr>
    </w:div>
    <w:div w:id="352458573">
      <w:bodyDiv w:val="1"/>
      <w:marLeft w:val="0"/>
      <w:marRight w:val="0"/>
      <w:marTop w:val="0"/>
      <w:marBottom w:val="0"/>
      <w:divBdr>
        <w:top w:val="none" w:sz="0" w:space="0" w:color="auto"/>
        <w:left w:val="none" w:sz="0" w:space="0" w:color="auto"/>
        <w:bottom w:val="none" w:sz="0" w:space="0" w:color="auto"/>
        <w:right w:val="none" w:sz="0" w:space="0" w:color="auto"/>
      </w:divBdr>
    </w:div>
    <w:div w:id="503712764">
      <w:bodyDiv w:val="1"/>
      <w:marLeft w:val="0"/>
      <w:marRight w:val="0"/>
      <w:marTop w:val="0"/>
      <w:marBottom w:val="0"/>
      <w:divBdr>
        <w:top w:val="none" w:sz="0" w:space="0" w:color="auto"/>
        <w:left w:val="none" w:sz="0" w:space="0" w:color="auto"/>
        <w:bottom w:val="none" w:sz="0" w:space="0" w:color="auto"/>
        <w:right w:val="none" w:sz="0" w:space="0" w:color="auto"/>
      </w:divBdr>
    </w:div>
    <w:div w:id="637418062">
      <w:bodyDiv w:val="1"/>
      <w:marLeft w:val="0"/>
      <w:marRight w:val="0"/>
      <w:marTop w:val="0"/>
      <w:marBottom w:val="0"/>
      <w:divBdr>
        <w:top w:val="none" w:sz="0" w:space="0" w:color="auto"/>
        <w:left w:val="none" w:sz="0" w:space="0" w:color="auto"/>
        <w:bottom w:val="none" w:sz="0" w:space="0" w:color="auto"/>
        <w:right w:val="none" w:sz="0" w:space="0" w:color="auto"/>
      </w:divBdr>
    </w:div>
    <w:div w:id="698162831">
      <w:bodyDiv w:val="1"/>
      <w:marLeft w:val="0"/>
      <w:marRight w:val="0"/>
      <w:marTop w:val="0"/>
      <w:marBottom w:val="0"/>
      <w:divBdr>
        <w:top w:val="none" w:sz="0" w:space="0" w:color="auto"/>
        <w:left w:val="none" w:sz="0" w:space="0" w:color="auto"/>
        <w:bottom w:val="none" w:sz="0" w:space="0" w:color="auto"/>
        <w:right w:val="none" w:sz="0" w:space="0" w:color="auto"/>
      </w:divBdr>
    </w:div>
    <w:div w:id="791021923">
      <w:bodyDiv w:val="1"/>
      <w:marLeft w:val="0"/>
      <w:marRight w:val="0"/>
      <w:marTop w:val="0"/>
      <w:marBottom w:val="0"/>
      <w:divBdr>
        <w:top w:val="none" w:sz="0" w:space="0" w:color="auto"/>
        <w:left w:val="none" w:sz="0" w:space="0" w:color="auto"/>
        <w:bottom w:val="none" w:sz="0" w:space="0" w:color="auto"/>
        <w:right w:val="none" w:sz="0" w:space="0" w:color="auto"/>
      </w:divBdr>
    </w:div>
    <w:div w:id="820581101">
      <w:bodyDiv w:val="1"/>
      <w:marLeft w:val="0"/>
      <w:marRight w:val="0"/>
      <w:marTop w:val="0"/>
      <w:marBottom w:val="0"/>
      <w:divBdr>
        <w:top w:val="none" w:sz="0" w:space="0" w:color="auto"/>
        <w:left w:val="none" w:sz="0" w:space="0" w:color="auto"/>
        <w:bottom w:val="none" w:sz="0" w:space="0" w:color="auto"/>
        <w:right w:val="none" w:sz="0" w:space="0" w:color="auto"/>
      </w:divBdr>
    </w:div>
    <w:div w:id="883712937">
      <w:bodyDiv w:val="1"/>
      <w:marLeft w:val="0"/>
      <w:marRight w:val="0"/>
      <w:marTop w:val="0"/>
      <w:marBottom w:val="0"/>
      <w:divBdr>
        <w:top w:val="none" w:sz="0" w:space="0" w:color="auto"/>
        <w:left w:val="none" w:sz="0" w:space="0" w:color="auto"/>
        <w:bottom w:val="none" w:sz="0" w:space="0" w:color="auto"/>
        <w:right w:val="none" w:sz="0" w:space="0" w:color="auto"/>
      </w:divBdr>
    </w:div>
    <w:div w:id="913589762">
      <w:bodyDiv w:val="1"/>
      <w:marLeft w:val="0"/>
      <w:marRight w:val="0"/>
      <w:marTop w:val="0"/>
      <w:marBottom w:val="0"/>
      <w:divBdr>
        <w:top w:val="none" w:sz="0" w:space="0" w:color="auto"/>
        <w:left w:val="none" w:sz="0" w:space="0" w:color="auto"/>
        <w:bottom w:val="none" w:sz="0" w:space="0" w:color="auto"/>
        <w:right w:val="none" w:sz="0" w:space="0" w:color="auto"/>
      </w:divBdr>
    </w:div>
    <w:div w:id="937635518">
      <w:bodyDiv w:val="1"/>
      <w:marLeft w:val="0"/>
      <w:marRight w:val="0"/>
      <w:marTop w:val="0"/>
      <w:marBottom w:val="0"/>
      <w:divBdr>
        <w:top w:val="none" w:sz="0" w:space="0" w:color="auto"/>
        <w:left w:val="none" w:sz="0" w:space="0" w:color="auto"/>
        <w:bottom w:val="none" w:sz="0" w:space="0" w:color="auto"/>
        <w:right w:val="none" w:sz="0" w:space="0" w:color="auto"/>
      </w:divBdr>
    </w:div>
    <w:div w:id="992218320">
      <w:bodyDiv w:val="1"/>
      <w:marLeft w:val="0"/>
      <w:marRight w:val="0"/>
      <w:marTop w:val="0"/>
      <w:marBottom w:val="0"/>
      <w:divBdr>
        <w:top w:val="none" w:sz="0" w:space="0" w:color="auto"/>
        <w:left w:val="none" w:sz="0" w:space="0" w:color="auto"/>
        <w:bottom w:val="none" w:sz="0" w:space="0" w:color="auto"/>
        <w:right w:val="none" w:sz="0" w:space="0" w:color="auto"/>
      </w:divBdr>
    </w:div>
    <w:div w:id="1020619099">
      <w:bodyDiv w:val="1"/>
      <w:marLeft w:val="0"/>
      <w:marRight w:val="0"/>
      <w:marTop w:val="0"/>
      <w:marBottom w:val="0"/>
      <w:divBdr>
        <w:top w:val="none" w:sz="0" w:space="0" w:color="auto"/>
        <w:left w:val="none" w:sz="0" w:space="0" w:color="auto"/>
        <w:bottom w:val="none" w:sz="0" w:space="0" w:color="auto"/>
        <w:right w:val="none" w:sz="0" w:space="0" w:color="auto"/>
      </w:divBdr>
    </w:div>
    <w:div w:id="1110852875">
      <w:bodyDiv w:val="1"/>
      <w:marLeft w:val="0"/>
      <w:marRight w:val="0"/>
      <w:marTop w:val="0"/>
      <w:marBottom w:val="0"/>
      <w:divBdr>
        <w:top w:val="none" w:sz="0" w:space="0" w:color="auto"/>
        <w:left w:val="none" w:sz="0" w:space="0" w:color="auto"/>
        <w:bottom w:val="none" w:sz="0" w:space="0" w:color="auto"/>
        <w:right w:val="none" w:sz="0" w:space="0" w:color="auto"/>
      </w:divBdr>
    </w:div>
    <w:div w:id="1352026869">
      <w:bodyDiv w:val="1"/>
      <w:marLeft w:val="0"/>
      <w:marRight w:val="0"/>
      <w:marTop w:val="0"/>
      <w:marBottom w:val="0"/>
      <w:divBdr>
        <w:top w:val="none" w:sz="0" w:space="0" w:color="auto"/>
        <w:left w:val="none" w:sz="0" w:space="0" w:color="auto"/>
        <w:bottom w:val="none" w:sz="0" w:space="0" w:color="auto"/>
        <w:right w:val="none" w:sz="0" w:space="0" w:color="auto"/>
      </w:divBdr>
    </w:div>
    <w:div w:id="1587229088">
      <w:bodyDiv w:val="1"/>
      <w:marLeft w:val="0"/>
      <w:marRight w:val="0"/>
      <w:marTop w:val="0"/>
      <w:marBottom w:val="0"/>
      <w:divBdr>
        <w:top w:val="none" w:sz="0" w:space="0" w:color="auto"/>
        <w:left w:val="none" w:sz="0" w:space="0" w:color="auto"/>
        <w:bottom w:val="none" w:sz="0" w:space="0" w:color="auto"/>
        <w:right w:val="none" w:sz="0" w:space="0" w:color="auto"/>
      </w:divBdr>
    </w:div>
    <w:div w:id="1776513706">
      <w:bodyDiv w:val="1"/>
      <w:marLeft w:val="0"/>
      <w:marRight w:val="0"/>
      <w:marTop w:val="0"/>
      <w:marBottom w:val="0"/>
      <w:divBdr>
        <w:top w:val="none" w:sz="0" w:space="0" w:color="auto"/>
        <w:left w:val="none" w:sz="0" w:space="0" w:color="auto"/>
        <w:bottom w:val="none" w:sz="0" w:space="0" w:color="auto"/>
        <w:right w:val="none" w:sz="0" w:space="0" w:color="auto"/>
      </w:divBdr>
    </w:div>
    <w:div w:id="1795177456">
      <w:bodyDiv w:val="1"/>
      <w:marLeft w:val="0"/>
      <w:marRight w:val="0"/>
      <w:marTop w:val="0"/>
      <w:marBottom w:val="0"/>
      <w:divBdr>
        <w:top w:val="none" w:sz="0" w:space="0" w:color="auto"/>
        <w:left w:val="none" w:sz="0" w:space="0" w:color="auto"/>
        <w:bottom w:val="none" w:sz="0" w:space="0" w:color="auto"/>
        <w:right w:val="none" w:sz="0" w:space="0" w:color="auto"/>
      </w:divBdr>
    </w:div>
    <w:div w:id="184504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ba.gov.au/speeches/2012/sp-ag-250912.html" TargetMode="External"/><Relationship Id="rId18" Type="http://schemas.openxmlformats.org/officeDocument/2006/relationships/header" Target="header2.xml"/><Relationship Id="rId26" Type="http://schemas.openxmlformats.org/officeDocument/2006/relationships/chart" Target="charts/chart7.xml"/><Relationship Id="rId39" Type="http://schemas.openxmlformats.org/officeDocument/2006/relationships/hyperlink" Target="https://www.afma.com.au/afmawr/_assets/main/lib90013/2013%20afmr.pdf" TargetMode="External"/><Relationship Id="rId21" Type="http://schemas.openxmlformats.org/officeDocument/2006/relationships/chart" Target="charts/chart2.xml"/><Relationship Id="rId34" Type="http://schemas.openxmlformats.org/officeDocument/2006/relationships/image" Target="media/image6.emf"/><Relationship Id="rId42" Type="http://schemas.openxmlformats.org/officeDocument/2006/relationships/hyperlink" Target="http://www.aga.gov.au/publications/strata_title_insurance_price_rises/downloads/Strata_QLD.pdf" TargetMode="External"/><Relationship Id="rId47" Type="http://schemas.openxmlformats.org/officeDocument/2006/relationships/hyperlink" Target="http://www.group30.org/images/PDF/The%20Structure%20of%20Financial%20Supervision.pdf" TargetMode="External"/><Relationship Id="rId50" Type="http://schemas.openxmlformats.org/officeDocument/2006/relationships/hyperlink" Target="http://www.aph.gov.au/Parliamentary_Business/Committees/Senate/Economics/Completed%20inquiries/2010-13/bankingcomp2010/index" TargetMode="External"/><Relationship Id="rId55" Type="http://schemas.openxmlformats.org/officeDocument/2006/relationships/hyperlink" Target="http://www.superratings.com.au/media/mediarelease/050220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hyperlink" Target="http://budget.gov.au/2013-14/content/myefo/download/2013_14_MYEFO.pdf" TargetMode="External"/><Relationship Id="rId54" Type="http://schemas.openxmlformats.org/officeDocument/2006/relationships/hyperlink" Target="http://www.bis.org/review/r130327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header" Target="header4.xml"/><Relationship Id="rId40" Type="http://schemas.openxmlformats.org/officeDocument/2006/relationships/hyperlink" Target="http://www.budget.gov.au/2013-14/content/bp1/html/bp1_bst4-01.htm" TargetMode="External"/><Relationship Id="rId45" Type="http://schemas.openxmlformats.org/officeDocument/2006/relationships/hyperlink" Target="http://www.bankers.asn.au/Media/Media-Releases/Media-Release-2013/Small-Business-Access-To-Finance" TargetMode="External"/><Relationship Id="rId53" Type="http://schemas.openxmlformats.org/officeDocument/2006/relationships/hyperlink" Target="http://www.aph.gov.au/Parliamentary_Business/Committees/Senate/Economics/Completed_inquiries/2008-10/bank_funding_guarantees_09/report/index"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8.emf"/><Relationship Id="rId49" Type="http://schemas.openxmlformats.org/officeDocument/2006/relationships/hyperlink" Target="http://www.aph.gov.au/Parliamentary_Business/Committees/Senate/Economics/Completed%20inquiries/2008-10/bank_mergers_08/report/index"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11.xml"/><Relationship Id="rId44" Type="http://schemas.openxmlformats.org/officeDocument/2006/relationships/hyperlink" Target="http://parlinfo.aph.gov.au/parlInfo/search/display/display.w3p;query=Id%3A%22chamber%2Fhansardr%2F1992-04-02%2F0154%22" TargetMode="External"/><Relationship Id="rId52" Type="http://schemas.openxmlformats.org/officeDocument/2006/relationships/hyperlink" Target="http://www.aph.gov.au/Parliamentary_Business/Committees/House_of_Representatives_Committees?url=economics/banking08/index.ht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chart" Target="charts/chart3.xml"/><Relationship Id="rId27" Type="http://schemas.openxmlformats.org/officeDocument/2006/relationships/header" Target="header3.xml"/><Relationship Id="rId30" Type="http://schemas.openxmlformats.org/officeDocument/2006/relationships/chart" Target="charts/chart10.xml"/><Relationship Id="rId35" Type="http://schemas.openxmlformats.org/officeDocument/2006/relationships/image" Target="media/image7.png"/><Relationship Id="rId43" Type="http://schemas.openxmlformats.org/officeDocument/2006/relationships/hyperlink" Target="http://www.apra.gov.au/super/publications/pages/annual-superannuation-publication.aspx" TargetMode="External"/><Relationship Id="rId48" Type="http://schemas.openxmlformats.org/officeDocument/2006/relationships/hyperlink" Target="http://www.insurancecouncil.com.au/industry-statistics-data/disaster-statistics/historical-disaster-statistics" TargetMode="External"/><Relationship Id="rId56" Type="http://schemas.openxmlformats.org/officeDocument/2006/relationships/hyperlink" Target="http://www.finance.gov.au/sites/default/files/Uhrig-Report.pdf" TargetMode="External"/><Relationship Id="rId8" Type="http://schemas.openxmlformats.org/officeDocument/2006/relationships/webSettings" Target="webSettings.xml"/><Relationship Id="rId51" Type="http://schemas.openxmlformats.org/officeDocument/2006/relationships/hyperlink" Target="http://www.standardandpoors.com/ratingsdirect%2018%20December%202013"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chart" Target="charts/chart6.xml"/><Relationship Id="rId33" Type="http://schemas.openxmlformats.org/officeDocument/2006/relationships/image" Target="media/image5.emf"/><Relationship Id="rId38" Type="http://schemas.openxmlformats.org/officeDocument/2006/relationships/hyperlink" Target="http://www.apra.gov.au/adi/PrudentialFramework/Documents/Abacus-Submission-Banking-Act-Exemptions-May-2013-Redacted.pdf" TargetMode="External"/><Relationship Id="rId46" Type="http://schemas.openxmlformats.org/officeDocument/2006/relationships/hyperlink" Target="http://www.ft.com/intl/cms/s/0/bdcea5a6-b028-11e3-8efc-00144feab7de.html" TargetMode="External"/><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rba.gov.au/speeches/2010/sp-gov-200710.html" TargetMode="External"/><Relationship Id="rId2" Type="http://schemas.openxmlformats.org/officeDocument/2006/relationships/hyperlink" Target="http://www.rba.gov.au/speeches/2010/sp-gov-200710.html" TargetMode="External"/><Relationship Id="rId1" Type="http://schemas.openxmlformats.org/officeDocument/2006/relationships/hyperlink" Target="https://www.bis.org/publ/bppdf/bispap62.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3555555555555555E-2"/>
          <c:y val="3.9687500000000001E-2"/>
          <c:w val="0.98644444444444446"/>
          <c:h val="0.88015624999999997"/>
        </c:manualLayout>
      </c:layout>
      <c:barChart>
        <c:barDir val="col"/>
        <c:grouping val="clustered"/>
        <c:varyColors val="0"/>
        <c:ser>
          <c:idx val="0"/>
          <c:order val="0"/>
          <c:tx>
            <c:strRef>
              <c:f>Data!$C$55</c:f>
              <c:strCache>
                <c:ptCount val="1"/>
                <c:pt idx="0">
                  <c:v>15% marginal tax rate</c:v>
                </c:pt>
              </c:strCache>
            </c:strRef>
          </c:tx>
          <c:spPr>
            <a:solidFill>
              <a:schemeClr val="accent4"/>
            </a:solidFill>
            <a:ln w="12700">
              <a:solidFill>
                <a:schemeClr val="accent4"/>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Data!$D$55:$I$55</c:f>
              <c:numCache>
                <c:formatCode>0.00</c:formatCode>
                <c:ptCount val="6"/>
                <c:pt idx="0">
                  <c:v>8.1666666666664174</c:v>
                </c:pt>
                <c:pt idx="1">
                  <c:v>0.01</c:v>
                </c:pt>
                <c:pt idx="2">
                  <c:v>14.991666666666353</c:v>
                </c:pt>
                <c:pt idx="3">
                  <c:v>14.991666666666353</c:v>
                </c:pt>
                <c:pt idx="4">
                  <c:v>-3.0333333333333101</c:v>
                </c:pt>
                <c:pt idx="5">
                  <c:v>9.4500000000000171</c:v>
                </c:pt>
              </c:numCache>
            </c:numRef>
          </c:val>
        </c:ser>
        <c:ser>
          <c:idx val="1"/>
          <c:order val="1"/>
          <c:tx>
            <c:strRef>
              <c:f>Data!$C$56</c:f>
              <c:strCache>
                <c:ptCount val="1"/>
                <c:pt idx="0">
                  <c:v>31.5% marginal tax rate</c:v>
                </c:pt>
              </c:strCache>
            </c:strRef>
          </c:tx>
          <c:spPr>
            <a:solidFill>
              <a:schemeClr val="accent1"/>
            </a:solidFill>
            <a:ln w="12700">
              <a:solidFill>
                <a:schemeClr val="accent1"/>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Data!$D$56:$I$56</c:f>
              <c:numCache>
                <c:formatCode>0.00</c:formatCode>
                <c:ptCount val="6"/>
                <c:pt idx="0">
                  <c:v>17.791666666666561</c:v>
                </c:pt>
                <c:pt idx="1">
                  <c:v>0.01</c:v>
                </c:pt>
                <c:pt idx="2">
                  <c:v>-0.18725000000006098</c:v>
                </c:pt>
                <c:pt idx="3">
                  <c:v>31.500000000000142</c:v>
                </c:pt>
                <c:pt idx="4">
                  <c:v>7.7583333333330016</c:v>
                </c:pt>
                <c:pt idx="5">
                  <c:v>20.24166666666633</c:v>
                </c:pt>
              </c:numCache>
            </c:numRef>
          </c:val>
        </c:ser>
        <c:ser>
          <c:idx val="2"/>
          <c:order val="2"/>
          <c:tx>
            <c:strRef>
              <c:f>Data!$C$57</c:f>
              <c:strCache>
                <c:ptCount val="1"/>
                <c:pt idx="0">
                  <c:v>46.5% marginal tax rate</c:v>
                </c:pt>
              </c:strCache>
            </c:strRef>
          </c:tx>
          <c:spPr>
            <a:solidFill>
              <a:schemeClr val="accent2"/>
            </a:solidFill>
            <a:ln w="12700">
              <a:solidFill>
                <a:schemeClr val="accent2"/>
              </a:solidFill>
              <a:prstDash val="solid"/>
            </a:ln>
          </c:spPr>
          <c:invertIfNegative val="0"/>
          <c:cat>
            <c:strRef>
              <c:f>Data!$D$54:$I$54</c:f>
              <c:strCache>
                <c:ptCount val="6"/>
                <c:pt idx="0">
                  <c:v>Rental property</c:v>
                </c:pt>
                <c:pt idx="1">
                  <c:v>Owner-occupied</c:v>
                </c:pt>
                <c:pt idx="2">
                  <c:v>Superannuation</c:v>
                </c:pt>
                <c:pt idx="3">
                  <c:v>Bank account</c:v>
                </c:pt>
                <c:pt idx="4">
                  <c:v>Domestic shares</c:v>
                </c:pt>
                <c:pt idx="5">
                  <c:v>Foreign shares</c:v>
                </c:pt>
              </c:strCache>
            </c:strRef>
          </c:cat>
          <c:val>
            <c:numRef>
              <c:f>Data!$D$57:$I$57</c:f>
              <c:numCache>
                <c:formatCode>0.00</c:formatCode>
                <c:ptCount val="6"/>
                <c:pt idx="0">
                  <c:v>27.300000000000011</c:v>
                </c:pt>
                <c:pt idx="1">
                  <c:v>0.01</c:v>
                </c:pt>
                <c:pt idx="2">
                  <c:v>-17.733333333333764</c:v>
                </c:pt>
                <c:pt idx="3">
                  <c:v>46.491666666666951</c:v>
                </c:pt>
                <c:pt idx="4">
                  <c:v>17.966666666666598</c:v>
                </c:pt>
                <c:pt idx="5">
                  <c:v>30.449999999999928</c:v>
                </c:pt>
              </c:numCache>
            </c:numRef>
          </c:val>
        </c:ser>
        <c:dLbls>
          <c:showLegendKey val="0"/>
          <c:showVal val="0"/>
          <c:showCatName val="0"/>
          <c:showSerName val="0"/>
          <c:showPercent val="0"/>
          <c:showBubbleSize val="0"/>
        </c:dLbls>
        <c:gapWidth val="50"/>
        <c:axId val="503788232"/>
        <c:axId val="503788624"/>
      </c:barChart>
      <c:barChart>
        <c:barDir val="col"/>
        <c:grouping val="clustered"/>
        <c:varyColors val="0"/>
        <c:ser>
          <c:idx val="3"/>
          <c:order val="3"/>
          <c:tx>
            <c:v>DUMMY</c:v>
          </c:tx>
          <c:spPr>
            <a:noFill/>
            <a:ln w="25400">
              <a:noFill/>
            </a:ln>
          </c:spPr>
          <c:invertIfNegative val="0"/>
          <c:val>
            <c:numLit>
              <c:formatCode>General</c:formatCode>
              <c:ptCount val="1"/>
              <c:pt idx="0">
                <c:v>1</c:v>
              </c:pt>
            </c:numLit>
          </c:val>
        </c:ser>
        <c:dLbls>
          <c:showLegendKey val="0"/>
          <c:showVal val="0"/>
          <c:showCatName val="0"/>
          <c:showSerName val="0"/>
          <c:showPercent val="0"/>
          <c:showBubbleSize val="0"/>
        </c:dLbls>
        <c:gapWidth val="150"/>
        <c:axId val="503794112"/>
        <c:axId val="503785488"/>
      </c:barChart>
      <c:catAx>
        <c:axId val="503788232"/>
        <c:scaling>
          <c:orientation val="minMax"/>
        </c:scaling>
        <c:delete val="0"/>
        <c:axPos val="b"/>
        <c:numFmt formatCode="General" sourceLinked="1"/>
        <c:majorTickMark val="cross"/>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03788624"/>
        <c:crossesAt val="0"/>
        <c:auto val="1"/>
        <c:lblAlgn val="ctr"/>
        <c:lblOffset val="100"/>
        <c:tickLblSkip val="1"/>
        <c:tickMarkSkip val="1"/>
        <c:noMultiLvlLbl val="0"/>
      </c:catAx>
      <c:valAx>
        <c:axId val="503788624"/>
        <c:scaling>
          <c:orientation val="minMax"/>
          <c:max val="80"/>
          <c:min val="-80"/>
        </c:scaling>
        <c:delete val="0"/>
        <c:axPos val="l"/>
        <c:title>
          <c:tx>
            <c:rich>
              <a:bodyPr rot="0" vert="horz"/>
              <a:lstStyle/>
              <a:p>
                <a:pPr>
                  <a:defRPr sz="800" b="0" i="0">
                    <a:solidFill>
                      <a:srgbClr val="000000"/>
                    </a:solidFill>
                    <a:latin typeface="Arial"/>
                    <a:ea typeface="Arial"/>
                    <a:cs typeface="Arial"/>
                  </a:defRPr>
                </a:pPr>
                <a:r>
                  <a:rPr lang="en-AU"/>
                  <a:t>Per</a:t>
                </a:r>
                <a:r>
                  <a:rPr lang="en-AU" baseline="0"/>
                  <a:t> cent</a:t>
                </a:r>
                <a:endParaRPr lang="en-AU"/>
              </a:p>
            </c:rich>
          </c:tx>
          <c:layout>
            <c:manualLayout>
              <c:xMode val="edge"/>
              <c:yMode val="edge"/>
              <c:x val="5.4623684859905333E-2"/>
              <c:y val="0"/>
            </c:manualLayout>
          </c:layout>
          <c:overlay val="0"/>
        </c:title>
        <c:numFmt formatCode="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03788232"/>
        <c:crosses val="autoZero"/>
        <c:crossBetween val="between"/>
        <c:majorUnit val="20"/>
      </c:valAx>
      <c:catAx>
        <c:axId val="503794112"/>
        <c:scaling>
          <c:orientation val="minMax"/>
        </c:scaling>
        <c:delete val="1"/>
        <c:axPos val="b"/>
        <c:majorTickMark val="out"/>
        <c:minorTickMark val="none"/>
        <c:tickLblPos val="nextTo"/>
        <c:crossAx val="503785488"/>
        <c:crossesAt val="0"/>
        <c:auto val="1"/>
        <c:lblAlgn val="ctr"/>
        <c:lblOffset val="100"/>
        <c:noMultiLvlLbl val="0"/>
      </c:catAx>
      <c:valAx>
        <c:axId val="503785488"/>
        <c:scaling>
          <c:orientation val="minMax"/>
          <c:max val="80"/>
          <c:min val="-8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83738089149112782"/>
              <c:y val="0"/>
            </c:manualLayout>
          </c:layout>
          <c:overlay val="0"/>
        </c:title>
        <c:numFmt formatCode="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03794112"/>
        <c:crosses val="max"/>
        <c:crossBetween val="between"/>
        <c:majorUnit val="20"/>
        <c:minorUnit val="4"/>
      </c:valAx>
      <c:spPr>
        <a:solidFill>
          <a:srgbClr val="FFFFFF"/>
        </a:solidFill>
        <a:ln w="25400">
          <a:noFill/>
        </a:ln>
      </c:spPr>
    </c:plotArea>
    <c:legend>
      <c:legendPos val="b"/>
      <c:legendEntry>
        <c:idx val="3"/>
        <c:delete val="1"/>
      </c:legendEntry>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Sheet2!$A$14:$A$64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Sheet2!$B$14:$B$64</c:f>
              <c:numCache>
                <c:formatCode>0.0;\-0.0;0.0;@</c:formatCode>
                <c:ptCount val="51"/>
                <c:pt idx="0">
                  <c:v>15.4</c:v>
                </c:pt>
                <c:pt idx="1">
                  <c:v>16.2</c:v>
                </c:pt>
                <c:pt idx="2">
                  <c:v>14.6</c:v>
                </c:pt>
                <c:pt idx="3">
                  <c:v>13.9</c:v>
                </c:pt>
                <c:pt idx="4">
                  <c:v>16.7</c:v>
                </c:pt>
                <c:pt idx="5">
                  <c:v>13.3</c:v>
                </c:pt>
                <c:pt idx="6">
                  <c:v>15.8</c:v>
                </c:pt>
                <c:pt idx="7">
                  <c:v>15</c:v>
                </c:pt>
                <c:pt idx="8">
                  <c:v>15.9</c:v>
                </c:pt>
                <c:pt idx="9">
                  <c:v>16</c:v>
                </c:pt>
                <c:pt idx="10">
                  <c:v>18.2</c:v>
                </c:pt>
                <c:pt idx="11">
                  <c:v>19.899999999999999</c:v>
                </c:pt>
                <c:pt idx="12">
                  <c:v>19.5</c:v>
                </c:pt>
                <c:pt idx="13">
                  <c:v>18</c:v>
                </c:pt>
                <c:pt idx="14">
                  <c:v>16.899999999999999</c:v>
                </c:pt>
                <c:pt idx="15">
                  <c:v>16.100000000000001</c:v>
                </c:pt>
                <c:pt idx="16">
                  <c:v>17.3</c:v>
                </c:pt>
                <c:pt idx="17">
                  <c:v>16.5</c:v>
                </c:pt>
                <c:pt idx="18">
                  <c:v>16.100000000000001</c:v>
                </c:pt>
                <c:pt idx="19">
                  <c:v>15.6</c:v>
                </c:pt>
                <c:pt idx="20">
                  <c:v>13.5</c:v>
                </c:pt>
                <c:pt idx="21">
                  <c:v>15.1</c:v>
                </c:pt>
                <c:pt idx="22">
                  <c:v>15.5</c:v>
                </c:pt>
                <c:pt idx="23">
                  <c:v>12.9</c:v>
                </c:pt>
                <c:pt idx="24">
                  <c:v>10.6</c:v>
                </c:pt>
                <c:pt idx="25">
                  <c:v>9.4</c:v>
                </c:pt>
                <c:pt idx="26">
                  <c:v>8.3000000000000007</c:v>
                </c:pt>
                <c:pt idx="27">
                  <c:v>8.5</c:v>
                </c:pt>
                <c:pt idx="28">
                  <c:v>7.5</c:v>
                </c:pt>
                <c:pt idx="29">
                  <c:v>6.1</c:v>
                </c:pt>
                <c:pt idx="30">
                  <c:v>6.4</c:v>
                </c:pt>
                <c:pt idx="31">
                  <c:v>6.2</c:v>
                </c:pt>
                <c:pt idx="32">
                  <c:v>5.0999999999999996</c:v>
                </c:pt>
                <c:pt idx="33">
                  <c:v>6</c:v>
                </c:pt>
                <c:pt idx="34">
                  <c:v>6.5</c:v>
                </c:pt>
                <c:pt idx="35">
                  <c:v>3.5</c:v>
                </c:pt>
                <c:pt idx="36">
                  <c:v>1.4</c:v>
                </c:pt>
                <c:pt idx="37">
                  <c:v>1.4</c:v>
                </c:pt>
                <c:pt idx="38">
                  <c:v>2.4</c:v>
                </c:pt>
                <c:pt idx="39">
                  <c:v>2.2999999999999998</c:v>
                </c:pt>
                <c:pt idx="40">
                  <c:v>-1</c:v>
                </c:pt>
                <c:pt idx="41">
                  <c:v>0.7</c:v>
                </c:pt>
                <c:pt idx="42">
                  <c:v>0.5</c:v>
                </c:pt>
                <c:pt idx="43">
                  <c:v>0.2</c:v>
                </c:pt>
                <c:pt idx="44">
                  <c:v>3.6</c:v>
                </c:pt>
                <c:pt idx="45">
                  <c:v>4.2</c:v>
                </c:pt>
                <c:pt idx="46">
                  <c:v>9.6</c:v>
                </c:pt>
                <c:pt idx="47">
                  <c:v>9.1999999999999993</c:v>
                </c:pt>
                <c:pt idx="48">
                  <c:v>10.5</c:v>
                </c:pt>
                <c:pt idx="49">
                  <c:v>10.4</c:v>
                </c:pt>
                <c:pt idx="50">
                  <c:v>10.6</c:v>
                </c:pt>
              </c:numCache>
            </c:numRef>
          </c:val>
          <c:smooth val="0"/>
        </c:ser>
        <c:dLbls>
          <c:showLegendKey val="0"/>
          <c:showVal val="0"/>
          <c:showCatName val="0"/>
          <c:showSerName val="0"/>
          <c:showPercent val="0"/>
          <c:showBubbleSize val="0"/>
        </c:dLbls>
        <c:marker val="1"/>
        <c:smooth val="0"/>
        <c:axId val="561305384"/>
        <c:axId val="561299896"/>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561300288"/>
        <c:axId val="561305776"/>
      </c:lineChart>
      <c:catAx>
        <c:axId val="561305384"/>
        <c:scaling>
          <c:orientation val="minMax"/>
        </c:scaling>
        <c:delete val="0"/>
        <c:axPos val="b"/>
        <c:numFmt formatCode="mmm\-yyyy" sourceLinked="1"/>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299896"/>
        <c:crosses val="autoZero"/>
        <c:auto val="0"/>
        <c:lblAlgn val="ctr"/>
        <c:lblOffset val="100"/>
        <c:tickLblSkip val="10"/>
        <c:tickMarkSkip val="10"/>
        <c:noMultiLvlLbl val="1"/>
      </c:catAx>
      <c:valAx>
        <c:axId val="561299896"/>
        <c:scaling>
          <c:orientation val="minMax"/>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6.919354838709677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5384"/>
        <c:crosses val="autoZero"/>
        <c:crossBetween val="midCat"/>
      </c:valAx>
      <c:valAx>
        <c:axId val="561305776"/>
        <c:scaling>
          <c:orientation val="minMax"/>
          <c:max val="25"/>
          <c:min val="-5"/>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85782078853046595"/>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1300288"/>
        <c:crosses val="max"/>
        <c:crossBetween val="between"/>
        <c:majorUnit val="5"/>
        <c:minorUnit val="1"/>
      </c:valAx>
      <c:catAx>
        <c:axId val="561300288"/>
        <c:scaling>
          <c:orientation val="minMax"/>
        </c:scaling>
        <c:delete val="1"/>
        <c:axPos val="b"/>
        <c:majorTickMark val="out"/>
        <c:minorTickMark val="none"/>
        <c:tickLblPos val="nextTo"/>
        <c:crossAx val="56130577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Data!$F$14:$F$64</c:f>
              <c:numCache>
                <c:formatCode>0.00</c:formatCode>
                <c:ptCount val="51"/>
                <c:pt idx="0">
                  <c:v>0.77986898201102217</c:v>
                </c:pt>
                <c:pt idx="1">
                  <c:v>0.75283489389733216</c:v>
                </c:pt>
                <c:pt idx="2">
                  <c:v>0.94843938610105183</c:v>
                </c:pt>
                <c:pt idx="3">
                  <c:v>1.4601533981378942</c:v>
                </c:pt>
                <c:pt idx="4">
                  <c:v>1.4311994113318616</c:v>
                </c:pt>
                <c:pt idx="5">
                  <c:v>1.7291559664441021</c:v>
                </c:pt>
                <c:pt idx="6">
                  <c:v>2.0059231215461182</c:v>
                </c:pt>
                <c:pt idx="7">
                  <c:v>2.2139121480638431</c:v>
                </c:pt>
                <c:pt idx="8">
                  <c:v>2.794223290148381</c:v>
                </c:pt>
                <c:pt idx="9">
                  <c:v>2.6380189039312092</c:v>
                </c:pt>
                <c:pt idx="10">
                  <c:v>1.4816301947400121</c:v>
                </c:pt>
                <c:pt idx="11">
                  <c:v>1.3635309321051063</c:v>
                </c:pt>
                <c:pt idx="12">
                  <c:v>1.4248213709167989</c:v>
                </c:pt>
                <c:pt idx="13">
                  <c:v>1.1534399155024244</c:v>
                </c:pt>
                <c:pt idx="14">
                  <c:v>0.96801696889036759</c:v>
                </c:pt>
                <c:pt idx="15">
                  <c:v>1.3330286410725167</c:v>
                </c:pt>
                <c:pt idx="16">
                  <c:v>1.5642505159415405</c:v>
                </c:pt>
                <c:pt idx="17">
                  <c:v>1.5744579673963117</c:v>
                </c:pt>
                <c:pt idx="18">
                  <c:v>2.230405188087877</c:v>
                </c:pt>
                <c:pt idx="19">
                  <c:v>2.9301217424927359</c:v>
                </c:pt>
                <c:pt idx="20">
                  <c:v>3.1083021816722631</c:v>
                </c:pt>
                <c:pt idx="21">
                  <c:v>2.0424488803020169</c:v>
                </c:pt>
                <c:pt idx="22">
                  <c:v>1.7609672787213975</c:v>
                </c:pt>
                <c:pt idx="23">
                  <c:v>1.9244478854453326</c:v>
                </c:pt>
                <c:pt idx="24">
                  <c:v>1.8988489710498779</c:v>
                </c:pt>
                <c:pt idx="25">
                  <c:v>1.8134357005758157</c:v>
                </c:pt>
                <c:pt idx="26">
                  <c:v>1.6432572866769506</c:v>
                </c:pt>
                <c:pt idx="27">
                  <c:v>1.5301961675900895</c:v>
                </c:pt>
                <c:pt idx="28">
                  <c:v>1.6137003010922732</c:v>
                </c:pt>
                <c:pt idx="29">
                  <c:v>1.4852140372107094</c:v>
                </c:pt>
                <c:pt idx="30">
                  <c:v>1.8126616034667604</c:v>
                </c:pt>
                <c:pt idx="31">
                  <c:v>1.7599838852078209</c:v>
                </c:pt>
                <c:pt idx="32">
                  <c:v>1.8894100281899171</c:v>
                </c:pt>
                <c:pt idx="33">
                  <c:v>2.0692182995076349</c:v>
                </c:pt>
                <c:pt idx="34">
                  <c:v>2.2233674445998672</c:v>
                </c:pt>
                <c:pt idx="35">
                  <c:v>2.5542513132026525</c:v>
                </c:pt>
                <c:pt idx="36">
                  <c:v>2.15016855851849</c:v>
                </c:pt>
                <c:pt idx="37">
                  <c:v>1.5175326217331</c:v>
                </c:pt>
                <c:pt idx="38">
                  <c:v>1.3386453957401454</c:v>
                </c:pt>
                <c:pt idx="39">
                  <c:v>1.4846277619554851</c:v>
                </c:pt>
                <c:pt idx="40">
                  <c:v>1.7229049637884191</c:v>
                </c:pt>
                <c:pt idx="41">
                  <c:v>1.7869241192411924</c:v>
                </c:pt>
                <c:pt idx="42">
                  <c:v>1.8743680307268473</c:v>
                </c:pt>
                <c:pt idx="43">
                  <c:v>2.7697753808428627</c:v>
                </c:pt>
                <c:pt idx="44">
                  <c:v>3.1418152260665195</c:v>
                </c:pt>
                <c:pt idx="45">
                  <c:v>3.7121072680590319</c:v>
                </c:pt>
                <c:pt idx="46">
                  <c:v>4.3039628047104292</c:v>
                </c:pt>
                <c:pt idx="47">
                  <c:v>4.0831613084383225</c:v>
                </c:pt>
                <c:pt idx="48">
                  <c:v>4.6120980755969772</c:v>
                </c:pt>
                <c:pt idx="49">
                  <c:v>6.8174354943771238</c:v>
                </c:pt>
                <c:pt idx="50">
                  <c:v>7.5628712552712836</c:v>
                </c:pt>
              </c:numCache>
            </c:numRef>
          </c:val>
          <c:smooth val="0"/>
        </c:ser>
        <c:dLbls>
          <c:showLegendKey val="0"/>
          <c:showVal val="0"/>
          <c:showCatName val="0"/>
          <c:showSerName val="0"/>
          <c:showPercent val="0"/>
          <c:showBubbleSize val="0"/>
        </c:dLbls>
        <c:marker val="1"/>
        <c:smooth val="0"/>
        <c:axId val="561301856"/>
        <c:axId val="563236544"/>
      </c:lineChart>
      <c:lineChart>
        <c:grouping val="standard"/>
        <c:varyColors val="0"/>
        <c:ser>
          <c:idx val="1"/>
          <c:order val="1"/>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Data!$G$14:$G$64</c:f>
              <c:numCache>
                <c:formatCode>0.00</c:formatCode>
                <c:ptCount val="51"/>
                <c:pt idx="0">
                  <c:v>4.0449204533638348</c:v>
                </c:pt>
                <c:pt idx="1">
                  <c:v>4.2017597515644853</c:v>
                </c:pt>
                <c:pt idx="2">
                  <c:v>4.5654423176409731</c:v>
                </c:pt>
                <c:pt idx="3">
                  <c:v>4.3763586399245309</c:v>
                </c:pt>
                <c:pt idx="4">
                  <c:v>4.2384105960264904</c:v>
                </c:pt>
                <c:pt idx="5">
                  <c:v>4.4786851566512587</c:v>
                </c:pt>
                <c:pt idx="6">
                  <c:v>4.604158397704027</c:v>
                </c:pt>
                <c:pt idx="7">
                  <c:v>4.663577486925182</c:v>
                </c:pt>
                <c:pt idx="8">
                  <c:v>4.4539126557506998</c:v>
                </c:pt>
                <c:pt idx="9">
                  <c:v>4.8180328236905323</c:v>
                </c:pt>
                <c:pt idx="10">
                  <c:v>5.2097972294719934</c:v>
                </c:pt>
                <c:pt idx="11">
                  <c:v>5.2304582656814338</c:v>
                </c:pt>
                <c:pt idx="12">
                  <c:v>4.150932801774359</c:v>
                </c:pt>
                <c:pt idx="13">
                  <c:v>5.1190647654712178</c:v>
                </c:pt>
                <c:pt idx="14">
                  <c:v>5.7197221760106469</c:v>
                </c:pt>
                <c:pt idx="15">
                  <c:v>5.7358318098720291</c:v>
                </c:pt>
                <c:pt idx="16">
                  <c:v>5.3464178915890992</c:v>
                </c:pt>
                <c:pt idx="17">
                  <c:v>5.4886838155528803</c:v>
                </c:pt>
                <c:pt idx="18">
                  <c:v>6.15429047778456</c:v>
                </c:pt>
                <c:pt idx="19">
                  <c:v>5.8932237025411824</c:v>
                </c:pt>
                <c:pt idx="20">
                  <c:v>4.6859490168746962</c:v>
                </c:pt>
                <c:pt idx="21">
                  <c:v>4.6762068271871184</c:v>
                </c:pt>
                <c:pt idx="22">
                  <c:v>5.0811022083251904</c:v>
                </c:pt>
                <c:pt idx="23">
                  <c:v>4.9604071964615608</c:v>
                </c:pt>
                <c:pt idx="24">
                  <c:v>4.3254272758981509</c:v>
                </c:pt>
                <c:pt idx="25">
                  <c:v>4.4029174664107487</c:v>
                </c:pt>
                <c:pt idx="26">
                  <c:v>5.4285404995805253</c:v>
                </c:pt>
                <c:pt idx="27">
                  <c:v>5.3223247515161098</c:v>
                </c:pt>
                <c:pt idx="28">
                  <c:v>4.8485739701029118</c:v>
                </c:pt>
                <c:pt idx="29">
                  <c:v>4.846562547269702</c:v>
                </c:pt>
                <c:pt idx="30">
                  <c:v>5.33798210762453</c:v>
                </c:pt>
                <c:pt idx="31">
                  <c:v>5.7610382040578418</c:v>
                </c:pt>
                <c:pt idx="32">
                  <c:v>5.6934356612531811</c:v>
                </c:pt>
                <c:pt idx="33">
                  <c:v>4.8116127130716713</c:v>
                </c:pt>
                <c:pt idx="34">
                  <c:v>4.6807074122423469</c:v>
                </c:pt>
                <c:pt idx="35">
                  <c:v>5.2874445263132879</c:v>
                </c:pt>
                <c:pt idx="36">
                  <c:v>5.467516227383185</c:v>
                </c:pt>
                <c:pt idx="37">
                  <c:v>6.1121791332836208</c:v>
                </c:pt>
                <c:pt idx="38">
                  <c:v>4.8330130222063481</c:v>
                </c:pt>
                <c:pt idx="39">
                  <c:v>5.5283547719135813</c:v>
                </c:pt>
                <c:pt idx="40">
                  <c:v>6.0882631545447623</c:v>
                </c:pt>
                <c:pt idx="41">
                  <c:v>6.3955943497791141</c:v>
                </c:pt>
                <c:pt idx="42">
                  <c:v>6.3315599358845844</c:v>
                </c:pt>
                <c:pt idx="43">
                  <c:v>5.9325140837734098</c:v>
                </c:pt>
                <c:pt idx="44">
                  <c:v>5.573414150627646</c:v>
                </c:pt>
                <c:pt idx="45">
                  <c:v>5.5001344413220883</c:v>
                </c:pt>
                <c:pt idx="46">
                  <c:v>5.2653866749718352</c:v>
                </c:pt>
                <c:pt idx="47">
                  <c:v>5.3296089557857451</c:v>
                </c:pt>
                <c:pt idx="48">
                  <c:v>5.1536607733157034</c:v>
                </c:pt>
                <c:pt idx="49">
                  <c:v>4.814235111084793</c:v>
                </c:pt>
                <c:pt idx="50">
                  <c:v>4.7576490241477627</c:v>
                </c:pt>
              </c:numCache>
            </c:numRef>
          </c:val>
          <c:smooth val="0"/>
        </c:ser>
        <c:ser>
          <c:idx val="2"/>
          <c:order val="2"/>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val>
            <c:numRef>
              <c:f>Data!$H$14:$H$64</c:f>
              <c:numCache>
                <c:formatCode>0.00</c:formatCode>
                <c:ptCount val="51"/>
                <c:pt idx="0">
                  <c:v>24.742643235936363</c:v>
                </c:pt>
                <c:pt idx="1">
                  <c:v>25.111748929562882</c:v>
                </c:pt>
                <c:pt idx="2">
                  <c:v>25.599241248491118</c:v>
                </c:pt>
                <c:pt idx="3">
                  <c:v>26.450924900537302</c:v>
                </c:pt>
                <c:pt idx="4">
                  <c:v>25.77998528329654</c:v>
                </c:pt>
                <c:pt idx="5">
                  <c:v>26.286594761171035</c:v>
                </c:pt>
                <c:pt idx="6">
                  <c:v>24.782462675174795</c:v>
                </c:pt>
                <c:pt idx="7">
                  <c:v>24.62130450098908</c:v>
                </c:pt>
                <c:pt idx="8">
                  <c:v>23.401620054992691</c:v>
                </c:pt>
                <c:pt idx="9">
                  <c:v>22.628589389551202</c:v>
                </c:pt>
                <c:pt idx="10">
                  <c:v>22.387070869303351</c:v>
                </c:pt>
                <c:pt idx="11">
                  <c:v>21.905961098777297</c:v>
                </c:pt>
                <c:pt idx="12">
                  <c:v>20.297036652301472</c:v>
                </c:pt>
                <c:pt idx="13">
                  <c:v>19.960151711556005</c:v>
                </c:pt>
                <c:pt idx="14">
                  <c:v>19.115995674596572</c:v>
                </c:pt>
                <c:pt idx="15">
                  <c:v>19.264168190127968</c:v>
                </c:pt>
                <c:pt idx="16">
                  <c:v>19.783515141304804</c:v>
                </c:pt>
                <c:pt idx="17">
                  <c:v>19.354910614774194</c:v>
                </c:pt>
                <c:pt idx="18">
                  <c:v>20.01457180552547</c:v>
                </c:pt>
                <c:pt idx="19">
                  <c:v>20.1361286910834</c:v>
                </c:pt>
                <c:pt idx="20">
                  <c:v>18.761219877927729</c:v>
                </c:pt>
                <c:pt idx="21">
                  <c:v>19.313913071953518</c:v>
                </c:pt>
                <c:pt idx="22">
                  <c:v>20.195257071483802</c:v>
                </c:pt>
                <c:pt idx="23">
                  <c:v>21.257464374142412</c:v>
                </c:pt>
                <c:pt idx="24">
                  <c:v>21.683641437042205</c:v>
                </c:pt>
                <c:pt idx="25">
                  <c:v>21.573282149712092</c:v>
                </c:pt>
                <c:pt idx="26">
                  <c:v>21.66896701036508</c:v>
                </c:pt>
                <c:pt idx="27">
                  <c:v>20.8983477242286</c:v>
                </c:pt>
                <c:pt idx="28">
                  <c:v>18.207283588422047</c:v>
                </c:pt>
                <c:pt idx="29">
                  <c:v>16.58457495083951</c:v>
                </c:pt>
                <c:pt idx="30">
                  <c:v>16.410803895600782</c:v>
                </c:pt>
                <c:pt idx="31">
                  <c:v>16.511447502635797</c:v>
                </c:pt>
                <c:pt idx="32">
                  <c:v>17.578772468251056</c:v>
                </c:pt>
                <c:pt idx="33">
                  <c:v>17.311187608873908</c:v>
                </c:pt>
                <c:pt idx="34">
                  <c:v>17.184141583004582</c:v>
                </c:pt>
                <c:pt idx="35">
                  <c:v>17.383169954059131</c:v>
                </c:pt>
                <c:pt idx="36">
                  <c:v>17.888474207001462</c:v>
                </c:pt>
                <c:pt idx="37">
                  <c:v>18.435608850786295</c:v>
                </c:pt>
                <c:pt idx="38">
                  <c:v>17.142739708942067</c:v>
                </c:pt>
                <c:pt idx="39">
                  <c:v>17.386540453851449</c:v>
                </c:pt>
                <c:pt idx="40">
                  <c:v>18.312089788246805</c:v>
                </c:pt>
                <c:pt idx="41">
                  <c:v>18.459275346178121</c:v>
                </c:pt>
                <c:pt idx="42">
                  <c:v>18.866904155255547</c:v>
                </c:pt>
                <c:pt idx="43">
                  <c:v>19.344653775573168</c:v>
                </c:pt>
                <c:pt idx="44">
                  <c:v>19.08067262743252</c:v>
                </c:pt>
                <c:pt idx="45">
                  <c:v>19.571009192054305</c:v>
                </c:pt>
                <c:pt idx="46">
                  <c:v>18.675744088526315</c:v>
                </c:pt>
                <c:pt idx="47">
                  <c:v>18.379201495922317</c:v>
                </c:pt>
                <c:pt idx="48">
                  <c:v>16.978609055428777</c:v>
                </c:pt>
                <c:pt idx="49">
                  <c:v>16.473024187253376</c:v>
                </c:pt>
                <c:pt idx="50">
                  <c:v>15.939926743775256</c:v>
                </c:pt>
              </c:numCache>
            </c:numRef>
          </c:val>
          <c:smooth val="0"/>
        </c:ser>
        <c:ser>
          <c:idx val="3"/>
          <c:order val="3"/>
          <c:tx>
            <c:v>DUMMY</c:v>
          </c:tx>
          <c:spPr>
            <a:ln w="25400">
              <a:noFill/>
            </a:ln>
            <a:effectLst/>
          </c:spPr>
          <c:marker>
            <c:symbol val="none"/>
          </c:marker>
          <c:cat>
            <c:numRef>
              <c:f>Data!$A$14:$A$64</c:f>
              <c:numCache>
                <c:formatCode>mmm\-yyyy</c:formatCode>
                <c:ptCount val="51"/>
                <c:pt idx="0">
                  <c:v>23163</c:v>
                </c:pt>
                <c:pt idx="1">
                  <c:v>23529</c:v>
                </c:pt>
                <c:pt idx="2">
                  <c:v>23894</c:v>
                </c:pt>
                <c:pt idx="3">
                  <c:v>24259</c:v>
                </c:pt>
                <c:pt idx="4">
                  <c:v>24624</c:v>
                </c:pt>
                <c:pt idx="5">
                  <c:v>24990</c:v>
                </c:pt>
                <c:pt idx="6">
                  <c:v>25355</c:v>
                </c:pt>
                <c:pt idx="7">
                  <c:v>25720</c:v>
                </c:pt>
                <c:pt idx="8">
                  <c:v>26085</c:v>
                </c:pt>
                <c:pt idx="9">
                  <c:v>26451</c:v>
                </c:pt>
                <c:pt idx="10">
                  <c:v>26816</c:v>
                </c:pt>
                <c:pt idx="11">
                  <c:v>27181</c:v>
                </c:pt>
                <c:pt idx="12">
                  <c:v>27546</c:v>
                </c:pt>
                <c:pt idx="13">
                  <c:v>27912</c:v>
                </c:pt>
                <c:pt idx="14">
                  <c:v>28277</c:v>
                </c:pt>
                <c:pt idx="15">
                  <c:v>28642</c:v>
                </c:pt>
                <c:pt idx="16">
                  <c:v>29007</c:v>
                </c:pt>
                <c:pt idx="17">
                  <c:v>29373</c:v>
                </c:pt>
                <c:pt idx="18">
                  <c:v>29738</c:v>
                </c:pt>
                <c:pt idx="19">
                  <c:v>30103</c:v>
                </c:pt>
                <c:pt idx="20">
                  <c:v>30468</c:v>
                </c:pt>
                <c:pt idx="21">
                  <c:v>30834</c:v>
                </c:pt>
                <c:pt idx="22">
                  <c:v>31199</c:v>
                </c:pt>
                <c:pt idx="23">
                  <c:v>31564</c:v>
                </c:pt>
                <c:pt idx="24">
                  <c:v>31929</c:v>
                </c:pt>
                <c:pt idx="25">
                  <c:v>32295</c:v>
                </c:pt>
                <c:pt idx="26">
                  <c:v>32660</c:v>
                </c:pt>
                <c:pt idx="27">
                  <c:v>33025</c:v>
                </c:pt>
                <c:pt idx="28">
                  <c:v>33390</c:v>
                </c:pt>
                <c:pt idx="29">
                  <c:v>33756</c:v>
                </c:pt>
                <c:pt idx="30">
                  <c:v>34121</c:v>
                </c:pt>
                <c:pt idx="31">
                  <c:v>34486</c:v>
                </c:pt>
                <c:pt idx="32">
                  <c:v>34851</c:v>
                </c:pt>
                <c:pt idx="33">
                  <c:v>35217</c:v>
                </c:pt>
                <c:pt idx="34">
                  <c:v>35582</c:v>
                </c:pt>
                <c:pt idx="35">
                  <c:v>35947</c:v>
                </c:pt>
                <c:pt idx="36">
                  <c:v>36312</c:v>
                </c:pt>
                <c:pt idx="37">
                  <c:v>36678</c:v>
                </c:pt>
                <c:pt idx="38">
                  <c:v>37043</c:v>
                </c:pt>
                <c:pt idx="39">
                  <c:v>37408</c:v>
                </c:pt>
                <c:pt idx="40">
                  <c:v>37773</c:v>
                </c:pt>
                <c:pt idx="41">
                  <c:v>38139</c:v>
                </c:pt>
                <c:pt idx="42">
                  <c:v>38504</c:v>
                </c:pt>
                <c:pt idx="43">
                  <c:v>38869</c:v>
                </c:pt>
                <c:pt idx="44">
                  <c:v>39234</c:v>
                </c:pt>
                <c:pt idx="45">
                  <c:v>39600</c:v>
                </c:pt>
                <c:pt idx="46">
                  <c:v>39965</c:v>
                </c:pt>
                <c:pt idx="47">
                  <c:v>40330</c:v>
                </c:pt>
                <c:pt idx="48">
                  <c:v>40695</c:v>
                </c:pt>
                <c:pt idx="49">
                  <c:v>41061</c:v>
                </c:pt>
                <c:pt idx="50">
                  <c:v>41426</c:v>
                </c:pt>
              </c:numCache>
            </c:numRef>
          </c:cat>
          <c:smooth val="0"/>
        </c:ser>
        <c:dLbls>
          <c:showLegendKey val="0"/>
          <c:showVal val="0"/>
          <c:showCatName val="0"/>
          <c:showSerName val="0"/>
          <c:showPercent val="0"/>
          <c:showBubbleSize val="0"/>
        </c:dLbls>
        <c:marker val="1"/>
        <c:smooth val="0"/>
        <c:axId val="563237328"/>
        <c:axId val="563233800"/>
      </c:lineChart>
      <c:catAx>
        <c:axId val="561301856"/>
        <c:scaling>
          <c:orientation val="minMax"/>
        </c:scaling>
        <c:delete val="0"/>
        <c:axPos val="b"/>
        <c:numFmt formatCode="mmm\-yy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3236544"/>
        <c:crosses val="autoZero"/>
        <c:auto val="0"/>
        <c:lblAlgn val="ctr"/>
        <c:lblOffset val="100"/>
        <c:tickLblSkip val="10"/>
        <c:tickMarkSkip val="10"/>
        <c:noMultiLvlLbl val="0"/>
      </c:catAx>
      <c:valAx>
        <c:axId val="563236544"/>
        <c:scaling>
          <c:orientation val="minMax"/>
          <c:max val="30"/>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6.8279569892473121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1856"/>
        <c:crosses val="autoZero"/>
        <c:crossBetween val="midCat"/>
        <c:majorUnit val="5"/>
      </c:valAx>
      <c:valAx>
        <c:axId val="563233800"/>
        <c:scaling>
          <c:orientation val="minMax"/>
          <c:max val="30"/>
          <c:min val="0"/>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03527996939884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3237328"/>
        <c:crosses val="max"/>
        <c:crossBetween val="midCat"/>
        <c:majorUnit val="5"/>
        <c:minorUnit val="0.2"/>
      </c:valAx>
      <c:dateAx>
        <c:axId val="563237328"/>
        <c:scaling>
          <c:orientation val="minMax"/>
        </c:scaling>
        <c:delete val="0"/>
        <c:axPos val="t"/>
        <c:numFmt formatCode="mmm\-yyyy"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563233800"/>
        <c:crosses val="max"/>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Sheet1!$A$5:$A$8200</c:f>
              <c:numCache>
                <c:formatCode>d\-mmm\-yy</c:formatCode>
                <c:ptCount val="8196"/>
                <c:pt idx="0">
                  <c:v>30662</c:v>
                </c:pt>
                <c:pt idx="1">
                  <c:v>30663</c:v>
                </c:pt>
                <c:pt idx="2">
                  <c:v>30664</c:v>
                </c:pt>
                <c:pt idx="3">
                  <c:v>30665</c:v>
                </c:pt>
                <c:pt idx="4">
                  <c:v>30666</c:v>
                </c:pt>
                <c:pt idx="5">
                  <c:v>30669</c:v>
                </c:pt>
                <c:pt idx="6">
                  <c:v>30670</c:v>
                </c:pt>
                <c:pt idx="7">
                  <c:v>30671</c:v>
                </c:pt>
                <c:pt idx="8">
                  <c:v>30672</c:v>
                </c:pt>
                <c:pt idx="9">
                  <c:v>30673</c:v>
                </c:pt>
                <c:pt idx="10">
                  <c:v>30676</c:v>
                </c:pt>
                <c:pt idx="11">
                  <c:v>30677</c:v>
                </c:pt>
                <c:pt idx="12">
                  <c:v>30678</c:v>
                </c:pt>
                <c:pt idx="13">
                  <c:v>30679</c:v>
                </c:pt>
                <c:pt idx="14">
                  <c:v>30680</c:v>
                </c:pt>
                <c:pt idx="15">
                  <c:v>30683</c:v>
                </c:pt>
                <c:pt idx="16">
                  <c:v>30684</c:v>
                </c:pt>
                <c:pt idx="17">
                  <c:v>30685</c:v>
                </c:pt>
                <c:pt idx="18">
                  <c:v>30686</c:v>
                </c:pt>
                <c:pt idx="19">
                  <c:v>30687</c:v>
                </c:pt>
                <c:pt idx="20">
                  <c:v>30690</c:v>
                </c:pt>
                <c:pt idx="21">
                  <c:v>30691</c:v>
                </c:pt>
                <c:pt idx="22">
                  <c:v>30692</c:v>
                </c:pt>
                <c:pt idx="23">
                  <c:v>30693</c:v>
                </c:pt>
                <c:pt idx="24">
                  <c:v>30694</c:v>
                </c:pt>
                <c:pt idx="25">
                  <c:v>30697</c:v>
                </c:pt>
                <c:pt idx="26">
                  <c:v>30698</c:v>
                </c:pt>
                <c:pt idx="27">
                  <c:v>30699</c:v>
                </c:pt>
                <c:pt idx="28">
                  <c:v>30700</c:v>
                </c:pt>
                <c:pt idx="29">
                  <c:v>30701</c:v>
                </c:pt>
                <c:pt idx="30">
                  <c:v>30704</c:v>
                </c:pt>
                <c:pt idx="31">
                  <c:v>30705</c:v>
                </c:pt>
                <c:pt idx="32">
                  <c:v>30706</c:v>
                </c:pt>
                <c:pt idx="33">
                  <c:v>30707</c:v>
                </c:pt>
                <c:pt idx="34">
                  <c:v>30708</c:v>
                </c:pt>
                <c:pt idx="35">
                  <c:v>30711</c:v>
                </c:pt>
                <c:pt idx="36">
                  <c:v>30712</c:v>
                </c:pt>
                <c:pt idx="37">
                  <c:v>30713</c:v>
                </c:pt>
                <c:pt idx="38">
                  <c:v>30714</c:v>
                </c:pt>
                <c:pt idx="39">
                  <c:v>30715</c:v>
                </c:pt>
                <c:pt idx="40">
                  <c:v>30718</c:v>
                </c:pt>
                <c:pt idx="41">
                  <c:v>30719</c:v>
                </c:pt>
                <c:pt idx="42">
                  <c:v>30720</c:v>
                </c:pt>
                <c:pt idx="43">
                  <c:v>30721</c:v>
                </c:pt>
                <c:pt idx="44">
                  <c:v>30722</c:v>
                </c:pt>
                <c:pt idx="45">
                  <c:v>30725</c:v>
                </c:pt>
                <c:pt idx="46">
                  <c:v>30726</c:v>
                </c:pt>
                <c:pt idx="47">
                  <c:v>30727</c:v>
                </c:pt>
                <c:pt idx="48">
                  <c:v>30728</c:v>
                </c:pt>
                <c:pt idx="49">
                  <c:v>30729</c:v>
                </c:pt>
                <c:pt idx="50">
                  <c:v>30732</c:v>
                </c:pt>
                <c:pt idx="51">
                  <c:v>30733</c:v>
                </c:pt>
                <c:pt idx="52">
                  <c:v>30734</c:v>
                </c:pt>
                <c:pt idx="53">
                  <c:v>30735</c:v>
                </c:pt>
                <c:pt idx="54">
                  <c:v>30736</c:v>
                </c:pt>
                <c:pt idx="55">
                  <c:v>30739</c:v>
                </c:pt>
                <c:pt idx="56">
                  <c:v>30740</c:v>
                </c:pt>
                <c:pt idx="57">
                  <c:v>30741</c:v>
                </c:pt>
                <c:pt idx="58">
                  <c:v>30742</c:v>
                </c:pt>
                <c:pt idx="59">
                  <c:v>30743</c:v>
                </c:pt>
                <c:pt idx="60">
                  <c:v>30746</c:v>
                </c:pt>
                <c:pt idx="61">
                  <c:v>30747</c:v>
                </c:pt>
                <c:pt idx="62">
                  <c:v>30748</c:v>
                </c:pt>
                <c:pt idx="63">
                  <c:v>30749</c:v>
                </c:pt>
                <c:pt idx="64">
                  <c:v>30750</c:v>
                </c:pt>
                <c:pt idx="65">
                  <c:v>30753</c:v>
                </c:pt>
                <c:pt idx="66">
                  <c:v>30754</c:v>
                </c:pt>
                <c:pt idx="67">
                  <c:v>30755</c:v>
                </c:pt>
                <c:pt idx="68">
                  <c:v>30756</c:v>
                </c:pt>
                <c:pt idx="69">
                  <c:v>30757</c:v>
                </c:pt>
                <c:pt idx="70">
                  <c:v>30760</c:v>
                </c:pt>
                <c:pt idx="71">
                  <c:v>30761</c:v>
                </c:pt>
                <c:pt idx="72">
                  <c:v>30762</c:v>
                </c:pt>
                <c:pt idx="73">
                  <c:v>30763</c:v>
                </c:pt>
                <c:pt idx="74">
                  <c:v>30764</c:v>
                </c:pt>
                <c:pt idx="75">
                  <c:v>30767</c:v>
                </c:pt>
                <c:pt idx="76">
                  <c:v>30768</c:v>
                </c:pt>
                <c:pt idx="77">
                  <c:v>30769</c:v>
                </c:pt>
                <c:pt idx="78">
                  <c:v>30770</c:v>
                </c:pt>
                <c:pt idx="79">
                  <c:v>30771</c:v>
                </c:pt>
                <c:pt idx="80">
                  <c:v>30774</c:v>
                </c:pt>
                <c:pt idx="81">
                  <c:v>30775</c:v>
                </c:pt>
                <c:pt idx="82">
                  <c:v>30776</c:v>
                </c:pt>
                <c:pt idx="83">
                  <c:v>30777</c:v>
                </c:pt>
                <c:pt idx="84">
                  <c:v>30778</c:v>
                </c:pt>
                <c:pt idx="85">
                  <c:v>30781</c:v>
                </c:pt>
                <c:pt idx="86">
                  <c:v>30782</c:v>
                </c:pt>
                <c:pt idx="87">
                  <c:v>30783</c:v>
                </c:pt>
                <c:pt idx="88">
                  <c:v>30784</c:v>
                </c:pt>
                <c:pt idx="89">
                  <c:v>30785</c:v>
                </c:pt>
                <c:pt idx="90">
                  <c:v>30788</c:v>
                </c:pt>
                <c:pt idx="91">
                  <c:v>30789</c:v>
                </c:pt>
                <c:pt idx="92">
                  <c:v>30790</c:v>
                </c:pt>
                <c:pt idx="93">
                  <c:v>30791</c:v>
                </c:pt>
                <c:pt idx="94">
                  <c:v>30792</c:v>
                </c:pt>
                <c:pt idx="95">
                  <c:v>30795</c:v>
                </c:pt>
                <c:pt idx="96">
                  <c:v>30796</c:v>
                </c:pt>
                <c:pt idx="97">
                  <c:v>30797</c:v>
                </c:pt>
                <c:pt idx="98">
                  <c:v>30798</c:v>
                </c:pt>
                <c:pt idx="99">
                  <c:v>30799</c:v>
                </c:pt>
                <c:pt idx="100">
                  <c:v>30802</c:v>
                </c:pt>
                <c:pt idx="101">
                  <c:v>30803</c:v>
                </c:pt>
                <c:pt idx="102">
                  <c:v>30804</c:v>
                </c:pt>
                <c:pt idx="103">
                  <c:v>30805</c:v>
                </c:pt>
                <c:pt idx="104">
                  <c:v>30806</c:v>
                </c:pt>
                <c:pt idx="105">
                  <c:v>30809</c:v>
                </c:pt>
                <c:pt idx="106">
                  <c:v>30810</c:v>
                </c:pt>
                <c:pt idx="107">
                  <c:v>30811</c:v>
                </c:pt>
                <c:pt idx="108">
                  <c:v>30812</c:v>
                </c:pt>
                <c:pt idx="109">
                  <c:v>30813</c:v>
                </c:pt>
                <c:pt idx="110">
                  <c:v>30816</c:v>
                </c:pt>
                <c:pt idx="111">
                  <c:v>30817</c:v>
                </c:pt>
                <c:pt idx="112">
                  <c:v>30818</c:v>
                </c:pt>
                <c:pt idx="113">
                  <c:v>30819</c:v>
                </c:pt>
                <c:pt idx="114">
                  <c:v>30820</c:v>
                </c:pt>
                <c:pt idx="115">
                  <c:v>30823</c:v>
                </c:pt>
                <c:pt idx="116">
                  <c:v>30824</c:v>
                </c:pt>
                <c:pt idx="117">
                  <c:v>30825</c:v>
                </c:pt>
                <c:pt idx="118">
                  <c:v>30826</c:v>
                </c:pt>
                <c:pt idx="119">
                  <c:v>30827</c:v>
                </c:pt>
                <c:pt idx="120">
                  <c:v>30830</c:v>
                </c:pt>
                <c:pt idx="121">
                  <c:v>30831</c:v>
                </c:pt>
                <c:pt idx="122">
                  <c:v>30832</c:v>
                </c:pt>
                <c:pt idx="123">
                  <c:v>30833</c:v>
                </c:pt>
                <c:pt idx="124">
                  <c:v>30834</c:v>
                </c:pt>
                <c:pt idx="125">
                  <c:v>30837</c:v>
                </c:pt>
                <c:pt idx="126">
                  <c:v>30838</c:v>
                </c:pt>
                <c:pt idx="127">
                  <c:v>30839</c:v>
                </c:pt>
                <c:pt idx="128">
                  <c:v>30840</c:v>
                </c:pt>
                <c:pt idx="129">
                  <c:v>30841</c:v>
                </c:pt>
                <c:pt idx="130">
                  <c:v>30844</c:v>
                </c:pt>
                <c:pt idx="131">
                  <c:v>30845</c:v>
                </c:pt>
                <c:pt idx="132">
                  <c:v>30846</c:v>
                </c:pt>
                <c:pt idx="133">
                  <c:v>30847</c:v>
                </c:pt>
                <c:pt idx="134">
                  <c:v>30848</c:v>
                </c:pt>
                <c:pt idx="135">
                  <c:v>30851</c:v>
                </c:pt>
                <c:pt idx="136">
                  <c:v>30852</c:v>
                </c:pt>
                <c:pt idx="137">
                  <c:v>30853</c:v>
                </c:pt>
                <c:pt idx="138">
                  <c:v>30854</c:v>
                </c:pt>
                <c:pt idx="139">
                  <c:v>30855</c:v>
                </c:pt>
                <c:pt idx="140">
                  <c:v>30858</c:v>
                </c:pt>
                <c:pt idx="141">
                  <c:v>30859</c:v>
                </c:pt>
                <c:pt idx="142">
                  <c:v>30860</c:v>
                </c:pt>
                <c:pt idx="143">
                  <c:v>30861</c:v>
                </c:pt>
                <c:pt idx="144">
                  <c:v>30862</c:v>
                </c:pt>
                <c:pt idx="145">
                  <c:v>30865</c:v>
                </c:pt>
                <c:pt idx="146">
                  <c:v>30866</c:v>
                </c:pt>
                <c:pt idx="147">
                  <c:v>30867</c:v>
                </c:pt>
                <c:pt idx="148">
                  <c:v>30868</c:v>
                </c:pt>
                <c:pt idx="149">
                  <c:v>30869</c:v>
                </c:pt>
                <c:pt idx="150">
                  <c:v>30872</c:v>
                </c:pt>
                <c:pt idx="151">
                  <c:v>30873</c:v>
                </c:pt>
                <c:pt idx="152">
                  <c:v>30874</c:v>
                </c:pt>
                <c:pt idx="153">
                  <c:v>30875</c:v>
                </c:pt>
                <c:pt idx="154">
                  <c:v>30876</c:v>
                </c:pt>
                <c:pt idx="155">
                  <c:v>30879</c:v>
                </c:pt>
                <c:pt idx="156">
                  <c:v>30880</c:v>
                </c:pt>
                <c:pt idx="157">
                  <c:v>30881</c:v>
                </c:pt>
                <c:pt idx="158">
                  <c:v>30882</c:v>
                </c:pt>
                <c:pt idx="159">
                  <c:v>30883</c:v>
                </c:pt>
                <c:pt idx="160">
                  <c:v>30886</c:v>
                </c:pt>
                <c:pt idx="161">
                  <c:v>30887</c:v>
                </c:pt>
                <c:pt idx="162">
                  <c:v>30888</c:v>
                </c:pt>
                <c:pt idx="163">
                  <c:v>30889</c:v>
                </c:pt>
                <c:pt idx="164">
                  <c:v>30890</c:v>
                </c:pt>
                <c:pt idx="165">
                  <c:v>30893</c:v>
                </c:pt>
                <c:pt idx="166">
                  <c:v>30894</c:v>
                </c:pt>
                <c:pt idx="167">
                  <c:v>30895</c:v>
                </c:pt>
                <c:pt idx="168">
                  <c:v>30896</c:v>
                </c:pt>
                <c:pt idx="169">
                  <c:v>30897</c:v>
                </c:pt>
                <c:pt idx="170">
                  <c:v>30900</c:v>
                </c:pt>
                <c:pt idx="171">
                  <c:v>30901</c:v>
                </c:pt>
                <c:pt idx="172">
                  <c:v>30902</c:v>
                </c:pt>
                <c:pt idx="173">
                  <c:v>30903</c:v>
                </c:pt>
                <c:pt idx="174">
                  <c:v>30904</c:v>
                </c:pt>
                <c:pt idx="175">
                  <c:v>30907</c:v>
                </c:pt>
                <c:pt idx="176">
                  <c:v>30908</c:v>
                </c:pt>
                <c:pt idx="177">
                  <c:v>30909</c:v>
                </c:pt>
                <c:pt idx="178">
                  <c:v>30910</c:v>
                </c:pt>
                <c:pt idx="179">
                  <c:v>30911</c:v>
                </c:pt>
                <c:pt idx="180">
                  <c:v>30914</c:v>
                </c:pt>
                <c:pt idx="181">
                  <c:v>30915</c:v>
                </c:pt>
                <c:pt idx="182">
                  <c:v>30916</c:v>
                </c:pt>
                <c:pt idx="183">
                  <c:v>30917</c:v>
                </c:pt>
                <c:pt idx="184">
                  <c:v>30918</c:v>
                </c:pt>
                <c:pt idx="185">
                  <c:v>30921</c:v>
                </c:pt>
                <c:pt idx="186">
                  <c:v>30922</c:v>
                </c:pt>
                <c:pt idx="187">
                  <c:v>30923</c:v>
                </c:pt>
                <c:pt idx="188">
                  <c:v>30924</c:v>
                </c:pt>
                <c:pt idx="189">
                  <c:v>30925</c:v>
                </c:pt>
                <c:pt idx="190">
                  <c:v>30928</c:v>
                </c:pt>
                <c:pt idx="191">
                  <c:v>30929</c:v>
                </c:pt>
                <c:pt idx="192">
                  <c:v>30930</c:v>
                </c:pt>
                <c:pt idx="193">
                  <c:v>30931</c:v>
                </c:pt>
                <c:pt idx="194">
                  <c:v>30932</c:v>
                </c:pt>
                <c:pt idx="195">
                  <c:v>30935</c:v>
                </c:pt>
                <c:pt idx="196">
                  <c:v>30936</c:v>
                </c:pt>
                <c:pt idx="197">
                  <c:v>30937</c:v>
                </c:pt>
                <c:pt idx="198">
                  <c:v>30938</c:v>
                </c:pt>
                <c:pt idx="199">
                  <c:v>30939</c:v>
                </c:pt>
                <c:pt idx="200">
                  <c:v>30942</c:v>
                </c:pt>
                <c:pt idx="201">
                  <c:v>30943</c:v>
                </c:pt>
                <c:pt idx="202">
                  <c:v>30944</c:v>
                </c:pt>
                <c:pt idx="203">
                  <c:v>30945</c:v>
                </c:pt>
                <c:pt idx="204">
                  <c:v>30946</c:v>
                </c:pt>
                <c:pt idx="205">
                  <c:v>30949</c:v>
                </c:pt>
                <c:pt idx="206">
                  <c:v>30950</c:v>
                </c:pt>
                <c:pt idx="207">
                  <c:v>30951</c:v>
                </c:pt>
                <c:pt idx="208">
                  <c:v>30952</c:v>
                </c:pt>
                <c:pt idx="209">
                  <c:v>30953</c:v>
                </c:pt>
                <c:pt idx="210">
                  <c:v>30956</c:v>
                </c:pt>
                <c:pt idx="211">
                  <c:v>30957</c:v>
                </c:pt>
                <c:pt idx="212">
                  <c:v>30958</c:v>
                </c:pt>
                <c:pt idx="213">
                  <c:v>30959</c:v>
                </c:pt>
                <c:pt idx="214">
                  <c:v>30960</c:v>
                </c:pt>
                <c:pt idx="215">
                  <c:v>30963</c:v>
                </c:pt>
                <c:pt idx="216">
                  <c:v>30964</c:v>
                </c:pt>
                <c:pt idx="217">
                  <c:v>30965</c:v>
                </c:pt>
                <c:pt idx="218">
                  <c:v>30966</c:v>
                </c:pt>
                <c:pt idx="219">
                  <c:v>30967</c:v>
                </c:pt>
                <c:pt idx="220">
                  <c:v>30970</c:v>
                </c:pt>
                <c:pt idx="221">
                  <c:v>30971</c:v>
                </c:pt>
                <c:pt idx="222">
                  <c:v>30972</c:v>
                </c:pt>
                <c:pt idx="223">
                  <c:v>30973</c:v>
                </c:pt>
                <c:pt idx="224">
                  <c:v>30974</c:v>
                </c:pt>
                <c:pt idx="225">
                  <c:v>30977</c:v>
                </c:pt>
                <c:pt idx="226">
                  <c:v>30978</c:v>
                </c:pt>
                <c:pt idx="227">
                  <c:v>30979</c:v>
                </c:pt>
                <c:pt idx="228">
                  <c:v>30980</c:v>
                </c:pt>
                <c:pt idx="229">
                  <c:v>30981</c:v>
                </c:pt>
                <c:pt idx="230">
                  <c:v>30984</c:v>
                </c:pt>
                <c:pt idx="231">
                  <c:v>30985</c:v>
                </c:pt>
                <c:pt idx="232">
                  <c:v>30986</c:v>
                </c:pt>
                <c:pt idx="233">
                  <c:v>30987</c:v>
                </c:pt>
                <c:pt idx="234">
                  <c:v>30988</c:v>
                </c:pt>
                <c:pt idx="235">
                  <c:v>30991</c:v>
                </c:pt>
                <c:pt idx="236">
                  <c:v>30992</c:v>
                </c:pt>
                <c:pt idx="237">
                  <c:v>30993</c:v>
                </c:pt>
                <c:pt idx="238">
                  <c:v>30994</c:v>
                </c:pt>
                <c:pt idx="239">
                  <c:v>30995</c:v>
                </c:pt>
                <c:pt idx="240">
                  <c:v>30998</c:v>
                </c:pt>
                <c:pt idx="241">
                  <c:v>30999</c:v>
                </c:pt>
                <c:pt idx="242">
                  <c:v>31000</c:v>
                </c:pt>
                <c:pt idx="243">
                  <c:v>31001</c:v>
                </c:pt>
                <c:pt idx="244">
                  <c:v>31002</c:v>
                </c:pt>
                <c:pt idx="245">
                  <c:v>31005</c:v>
                </c:pt>
                <c:pt idx="246">
                  <c:v>31006</c:v>
                </c:pt>
                <c:pt idx="247">
                  <c:v>31007</c:v>
                </c:pt>
                <c:pt idx="248">
                  <c:v>31008</c:v>
                </c:pt>
                <c:pt idx="249">
                  <c:v>31009</c:v>
                </c:pt>
                <c:pt idx="250">
                  <c:v>31012</c:v>
                </c:pt>
                <c:pt idx="251">
                  <c:v>31013</c:v>
                </c:pt>
                <c:pt idx="252">
                  <c:v>31014</c:v>
                </c:pt>
                <c:pt idx="253">
                  <c:v>31015</c:v>
                </c:pt>
                <c:pt idx="254">
                  <c:v>31016</c:v>
                </c:pt>
                <c:pt idx="255">
                  <c:v>31019</c:v>
                </c:pt>
                <c:pt idx="256">
                  <c:v>31020</c:v>
                </c:pt>
                <c:pt idx="257">
                  <c:v>31021</c:v>
                </c:pt>
                <c:pt idx="258">
                  <c:v>31022</c:v>
                </c:pt>
                <c:pt idx="259">
                  <c:v>31023</c:v>
                </c:pt>
                <c:pt idx="260">
                  <c:v>31026</c:v>
                </c:pt>
                <c:pt idx="261">
                  <c:v>31027</c:v>
                </c:pt>
                <c:pt idx="262">
                  <c:v>31028</c:v>
                </c:pt>
                <c:pt idx="263">
                  <c:v>31029</c:v>
                </c:pt>
                <c:pt idx="264">
                  <c:v>31030</c:v>
                </c:pt>
                <c:pt idx="265">
                  <c:v>31033</c:v>
                </c:pt>
                <c:pt idx="266">
                  <c:v>31034</c:v>
                </c:pt>
                <c:pt idx="267">
                  <c:v>31035</c:v>
                </c:pt>
                <c:pt idx="268">
                  <c:v>31036</c:v>
                </c:pt>
                <c:pt idx="269">
                  <c:v>31037</c:v>
                </c:pt>
                <c:pt idx="270">
                  <c:v>31040</c:v>
                </c:pt>
                <c:pt idx="271">
                  <c:v>31041</c:v>
                </c:pt>
                <c:pt idx="272">
                  <c:v>31042</c:v>
                </c:pt>
                <c:pt idx="273">
                  <c:v>31043</c:v>
                </c:pt>
                <c:pt idx="274">
                  <c:v>31044</c:v>
                </c:pt>
                <c:pt idx="275">
                  <c:v>31047</c:v>
                </c:pt>
                <c:pt idx="276">
                  <c:v>31048</c:v>
                </c:pt>
                <c:pt idx="277">
                  <c:v>31049</c:v>
                </c:pt>
                <c:pt idx="278">
                  <c:v>31050</c:v>
                </c:pt>
                <c:pt idx="279">
                  <c:v>31051</c:v>
                </c:pt>
                <c:pt idx="280">
                  <c:v>31054</c:v>
                </c:pt>
                <c:pt idx="281">
                  <c:v>31055</c:v>
                </c:pt>
                <c:pt idx="282">
                  <c:v>31056</c:v>
                </c:pt>
                <c:pt idx="283">
                  <c:v>31057</c:v>
                </c:pt>
                <c:pt idx="284">
                  <c:v>31058</c:v>
                </c:pt>
                <c:pt idx="285">
                  <c:v>31061</c:v>
                </c:pt>
                <c:pt idx="286">
                  <c:v>31062</c:v>
                </c:pt>
                <c:pt idx="287">
                  <c:v>31063</c:v>
                </c:pt>
                <c:pt idx="288">
                  <c:v>31064</c:v>
                </c:pt>
                <c:pt idx="289">
                  <c:v>31065</c:v>
                </c:pt>
                <c:pt idx="290">
                  <c:v>31068</c:v>
                </c:pt>
                <c:pt idx="291">
                  <c:v>31069</c:v>
                </c:pt>
                <c:pt idx="292">
                  <c:v>31070</c:v>
                </c:pt>
                <c:pt idx="293">
                  <c:v>31071</c:v>
                </c:pt>
                <c:pt idx="294">
                  <c:v>31072</c:v>
                </c:pt>
                <c:pt idx="295">
                  <c:v>31075</c:v>
                </c:pt>
                <c:pt idx="296">
                  <c:v>31076</c:v>
                </c:pt>
                <c:pt idx="297">
                  <c:v>31077</c:v>
                </c:pt>
                <c:pt idx="298">
                  <c:v>31078</c:v>
                </c:pt>
                <c:pt idx="299">
                  <c:v>31079</c:v>
                </c:pt>
                <c:pt idx="300">
                  <c:v>31082</c:v>
                </c:pt>
                <c:pt idx="301">
                  <c:v>31083</c:v>
                </c:pt>
                <c:pt idx="302">
                  <c:v>31084</c:v>
                </c:pt>
                <c:pt idx="303">
                  <c:v>31085</c:v>
                </c:pt>
                <c:pt idx="304">
                  <c:v>31086</c:v>
                </c:pt>
                <c:pt idx="305">
                  <c:v>31089</c:v>
                </c:pt>
                <c:pt idx="306">
                  <c:v>31090</c:v>
                </c:pt>
                <c:pt idx="307">
                  <c:v>31091</c:v>
                </c:pt>
                <c:pt idx="308">
                  <c:v>31092</c:v>
                </c:pt>
                <c:pt idx="309">
                  <c:v>31093</c:v>
                </c:pt>
                <c:pt idx="310">
                  <c:v>31096</c:v>
                </c:pt>
                <c:pt idx="311">
                  <c:v>31097</c:v>
                </c:pt>
                <c:pt idx="312">
                  <c:v>31098</c:v>
                </c:pt>
                <c:pt idx="313">
                  <c:v>31099</c:v>
                </c:pt>
                <c:pt idx="314">
                  <c:v>31100</c:v>
                </c:pt>
                <c:pt idx="315">
                  <c:v>31103</c:v>
                </c:pt>
                <c:pt idx="316">
                  <c:v>31104</c:v>
                </c:pt>
                <c:pt idx="317">
                  <c:v>31105</c:v>
                </c:pt>
                <c:pt idx="318">
                  <c:v>31106</c:v>
                </c:pt>
                <c:pt idx="319">
                  <c:v>31107</c:v>
                </c:pt>
                <c:pt idx="320">
                  <c:v>31110</c:v>
                </c:pt>
                <c:pt idx="321">
                  <c:v>31111</c:v>
                </c:pt>
                <c:pt idx="322">
                  <c:v>31112</c:v>
                </c:pt>
                <c:pt idx="323">
                  <c:v>31113</c:v>
                </c:pt>
                <c:pt idx="324">
                  <c:v>31114</c:v>
                </c:pt>
                <c:pt idx="325">
                  <c:v>31117</c:v>
                </c:pt>
                <c:pt idx="326">
                  <c:v>31118</c:v>
                </c:pt>
                <c:pt idx="327">
                  <c:v>31119</c:v>
                </c:pt>
                <c:pt idx="328">
                  <c:v>31120</c:v>
                </c:pt>
                <c:pt idx="329">
                  <c:v>31121</c:v>
                </c:pt>
                <c:pt idx="330">
                  <c:v>31124</c:v>
                </c:pt>
                <c:pt idx="331">
                  <c:v>31125</c:v>
                </c:pt>
                <c:pt idx="332">
                  <c:v>31126</c:v>
                </c:pt>
                <c:pt idx="333">
                  <c:v>31127</c:v>
                </c:pt>
                <c:pt idx="334">
                  <c:v>31128</c:v>
                </c:pt>
                <c:pt idx="335">
                  <c:v>31131</c:v>
                </c:pt>
                <c:pt idx="336">
                  <c:v>31132</c:v>
                </c:pt>
                <c:pt idx="337">
                  <c:v>31133</c:v>
                </c:pt>
                <c:pt idx="338">
                  <c:v>31134</c:v>
                </c:pt>
                <c:pt idx="339">
                  <c:v>31135</c:v>
                </c:pt>
                <c:pt idx="340">
                  <c:v>31138</c:v>
                </c:pt>
                <c:pt idx="341">
                  <c:v>31139</c:v>
                </c:pt>
                <c:pt idx="342">
                  <c:v>31140</c:v>
                </c:pt>
                <c:pt idx="343">
                  <c:v>31141</c:v>
                </c:pt>
                <c:pt idx="344">
                  <c:v>31142</c:v>
                </c:pt>
                <c:pt idx="345">
                  <c:v>31145</c:v>
                </c:pt>
                <c:pt idx="346">
                  <c:v>31146</c:v>
                </c:pt>
                <c:pt idx="347">
                  <c:v>31147</c:v>
                </c:pt>
                <c:pt idx="348">
                  <c:v>31148</c:v>
                </c:pt>
                <c:pt idx="349">
                  <c:v>31149</c:v>
                </c:pt>
                <c:pt idx="350">
                  <c:v>31152</c:v>
                </c:pt>
                <c:pt idx="351">
                  <c:v>31153</c:v>
                </c:pt>
                <c:pt idx="352">
                  <c:v>31154</c:v>
                </c:pt>
                <c:pt idx="353">
                  <c:v>31155</c:v>
                </c:pt>
                <c:pt idx="354">
                  <c:v>31156</c:v>
                </c:pt>
                <c:pt idx="355">
                  <c:v>31159</c:v>
                </c:pt>
                <c:pt idx="356">
                  <c:v>31160</c:v>
                </c:pt>
                <c:pt idx="357">
                  <c:v>31161</c:v>
                </c:pt>
                <c:pt idx="358">
                  <c:v>31162</c:v>
                </c:pt>
                <c:pt idx="359">
                  <c:v>31163</c:v>
                </c:pt>
                <c:pt idx="360">
                  <c:v>31166</c:v>
                </c:pt>
                <c:pt idx="361">
                  <c:v>31167</c:v>
                </c:pt>
                <c:pt idx="362">
                  <c:v>31168</c:v>
                </c:pt>
                <c:pt idx="363">
                  <c:v>31169</c:v>
                </c:pt>
                <c:pt idx="364">
                  <c:v>31170</c:v>
                </c:pt>
                <c:pt idx="365">
                  <c:v>31173</c:v>
                </c:pt>
                <c:pt idx="366">
                  <c:v>31174</c:v>
                </c:pt>
                <c:pt idx="367">
                  <c:v>31175</c:v>
                </c:pt>
                <c:pt idx="368">
                  <c:v>31176</c:v>
                </c:pt>
                <c:pt idx="369">
                  <c:v>31177</c:v>
                </c:pt>
                <c:pt idx="370">
                  <c:v>31180</c:v>
                </c:pt>
                <c:pt idx="371">
                  <c:v>31181</c:v>
                </c:pt>
                <c:pt idx="372">
                  <c:v>31182</c:v>
                </c:pt>
                <c:pt idx="373">
                  <c:v>31183</c:v>
                </c:pt>
                <c:pt idx="374">
                  <c:v>31184</c:v>
                </c:pt>
                <c:pt idx="375">
                  <c:v>31187</c:v>
                </c:pt>
                <c:pt idx="376">
                  <c:v>31188</c:v>
                </c:pt>
                <c:pt idx="377">
                  <c:v>31189</c:v>
                </c:pt>
                <c:pt idx="378">
                  <c:v>31190</c:v>
                </c:pt>
                <c:pt idx="379">
                  <c:v>31191</c:v>
                </c:pt>
                <c:pt idx="380">
                  <c:v>31194</c:v>
                </c:pt>
                <c:pt idx="381">
                  <c:v>31195</c:v>
                </c:pt>
                <c:pt idx="382">
                  <c:v>31196</c:v>
                </c:pt>
                <c:pt idx="383">
                  <c:v>31197</c:v>
                </c:pt>
                <c:pt idx="384">
                  <c:v>31198</c:v>
                </c:pt>
                <c:pt idx="385">
                  <c:v>31201</c:v>
                </c:pt>
                <c:pt idx="386">
                  <c:v>31202</c:v>
                </c:pt>
                <c:pt idx="387">
                  <c:v>31203</c:v>
                </c:pt>
                <c:pt idx="388">
                  <c:v>31204</c:v>
                </c:pt>
                <c:pt idx="389">
                  <c:v>31205</c:v>
                </c:pt>
                <c:pt idx="390">
                  <c:v>31208</c:v>
                </c:pt>
                <c:pt idx="391">
                  <c:v>31209</c:v>
                </c:pt>
                <c:pt idx="392">
                  <c:v>31210</c:v>
                </c:pt>
                <c:pt idx="393">
                  <c:v>31211</c:v>
                </c:pt>
                <c:pt idx="394">
                  <c:v>31212</c:v>
                </c:pt>
                <c:pt idx="395">
                  <c:v>31215</c:v>
                </c:pt>
                <c:pt idx="396">
                  <c:v>31216</c:v>
                </c:pt>
                <c:pt idx="397">
                  <c:v>31217</c:v>
                </c:pt>
                <c:pt idx="398">
                  <c:v>31218</c:v>
                </c:pt>
                <c:pt idx="399">
                  <c:v>31219</c:v>
                </c:pt>
                <c:pt idx="400">
                  <c:v>31222</c:v>
                </c:pt>
                <c:pt idx="401">
                  <c:v>31223</c:v>
                </c:pt>
                <c:pt idx="402">
                  <c:v>31224</c:v>
                </c:pt>
                <c:pt idx="403">
                  <c:v>31225</c:v>
                </c:pt>
                <c:pt idx="404">
                  <c:v>31226</c:v>
                </c:pt>
                <c:pt idx="405">
                  <c:v>31229</c:v>
                </c:pt>
                <c:pt idx="406">
                  <c:v>31230</c:v>
                </c:pt>
                <c:pt idx="407">
                  <c:v>31231</c:v>
                </c:pt>
                <c:pt idx="408">
                  <c:v>31232</c:v>
                </c:pt>
                <c:pt idx="409">
                  <c:v>31233</c:v>
                </c:pt>
                <c:pt idx="410">
                  <c:v>31236</c:v>
                </c:pt>
                <c:pt idx="411">
                  <c:v>31237</c:v>
                </c:pt>
                <c:pt idx="412">
                  <c:v>31238</c:v>
                </c:pt>
                <c:pt idx="413">
                  <c:v>31239</c:v>
                </c:pt>
                <c:pt idx="414">
                  <c:v>31240</c:v>
                </c:pt>
                <c:pt idx="415">
                  <c:v>31243</c:v>
                </c:pt>
                <c:pt idx="416">
                  <c:v>31244</c:v>
                </c:pt>
                <c:pt idx="417">
                  <c:v>31245</c:v>
                </c:pt>
                <c:pt idx="418">
                  <c:v>31246</c:v>
                </c:pt>
                <c:pt idx="419">
                  <c:v>31247</c:v>
                </c:pt>
                <c:pt idx="420">
                  <c:v>31250</c:v>
                </c:pt>
                <c:pt idx="421">
                  <c:v>31251</c:v>
                </c:pt>
                <c:pt idx="422">
                  <c:v>31252</c:v>
                </c:pt>
                <c:pt idx="423">
                  <c:v>31253</c:v>
                </c:pt>
                <c:pt idx="424">
                  <c:v>31254</c:v>
                </c:pt>
                <c:pt idx="425">
                  <c:v>31257</c:v>
                </c:pt>
                <c:pt idx="426">
                  <c:v>31258</c:v>
                </c:pt>
                <c:pt idx="427">
                  <c:v>31259</c:v>
                </c:pt>
                <c:pt idx="428">
                  <c:v>31260</c:v>
                </c:pt>
                <c:pt idx="429">
                  <c:v>31261</c:v>
                </c:pt>
                <c:pt idx="430">
                  <c:v>31264</c:v>
                </c:pt>
                <c:pt idx="431">
                  <c:v>31265</c:v>
                </c:pt>
                <c:pt idx="432">
                  <c:v>31266</c:v>
                </c:pt>
                <c:pt idx="433">
                  <c:v>31267</c:v>
                </c:pt>
                <c:pt idx="434">
                  <c:v>31268</c:v>
                </c:pt>
                <c:pt idx="435">
                  <c:v>31271</c:v>
                </c:pt>
                <c:pt idx="436">
                  <c:v>31272</c:v>
                </c:pt>
                <c:pt idx="437">
                  <c:v>31273</c:v>
                </c:pt>
                <c:pt idx="438">
                  <c:v>31274</c:v>
                </c:pt>
                <c:pt idx="439">
                  <c:v>31275</c:v>
                </c:pt>
                <c:pt idx="440">
                  <c:v>31278</c:v>
                </c:pt>
                <c:pt idx="441">
                  <c:v>31279</c:v>
                </c:pt>
                <c:pt idx="442">
                  <c:v>31280</c:v>
                </c:pt>
                <c:pt idx="443">
                  <c:v>31281</c:v>
                </c:pt>
                <c:pt idx="444">
                  <c:v>31282</c:v>
                </c:pt>
                <c:pt idx="445">
                  <c:v>31285</c:v>
                </c:pt>
                <c:pt idx="446">
                  <c:v>31286</c:v>
                </c:pt>
                <c:pt idx="447">
                  <c:v>31287</c:v>
                </c:pt>
                <c:pt idx="448">
                  <c:v>31288</c:v>
                </c:pt>
                <c:pt idx="449">
                  <c:v>31289</c:v>
                </c:pt>
                <c:pt idx="450">
                  <c:v>31292</c:v>
                </c:pt>
                <c:pt idx="451">
                  <c:v>31293</c:v>
                </c:pt>
                <c:pt idx="452">
                  <c:v>31294</c:v>
                </c:pt>
                <c:pt idx="453">
                  <c:v>31295</c:v>
                </c:pt>
                <c:pt idx="454">
                  <c:v>31296</c:v>
                </c:pt>
                <c:pt idx="455">
                  <c:v>31299</c:v>
                </c:pt>
                <c:pt idx="456">
                  <c:v>31300</c:v>
                </c:pt>
                <c:pt idx="457">
                  <c:v>31301</c:v>
                </c:pt>
                <c:pt idx="458">
                  <c:v>31302</c:v>
                </c:pt>
                <c:pt idx="459">
                  <c:v>31303</c:v>
                </c:pt>
                <c:pt idx="460">
                  <c:v>31306</c:v>
                </c:pt>
                <c:pt idx="461">
                  <c:v>31307</c:v>
                </c:pt>
                <c:pt idx="462">
                  <c:v>31308</c:v>
                </c:pt>
                <c:pt idx="463">
                  <c:v>31309</c:v>
                </c:pt>
                <c:pt idx="464">
                  <c:v>31310</c:v>
                </c:pt>
                <c:pt idx="465">
                  <c:v>31313</c:v>
                </c:pt>
                <c:pt idx="466">
                  <c:v>31314</c:v>
                </c:pt>
                <c:pt idx="467">
                  <c:v>31315</c:v>
                </c:pt>
                <c:pt idx="468">
                  <c:v>31316</c:v>
                </c:pt>
                <c:pt idx="469">
                  <c:v>31317</c:v>
                </c:pt>
                <c:pt idx="470">
                  <c:v>31320</c:v>
                </c:pt>
                <c:pt idx="471">
                  <c:v>31321</c:v>
                </c:pt>
                <c:pt idx="472">
                  <c:v>31322</c:v>
                </c:pt>
                <c:pt idx="473">
                  <c:v>31323</c:v>
                </c:pt>
                <c:pt idx="474">
                  <c:v>31324</c:v>
                </c:pt>
                <c:pt idx="475">
                  <c:v>31327</c:v>
                </c:pt>
                <c:pt idx="476">
                  <c:v>31328</c:v>
                </c:pt>
                <c:pt idx="477">
                  <c:v>31329</c:v>
                </c:pt>
                <c:pt idx="478">
                  <c:v>31330</c:v>
                </c:pt>
                <c:pt idx="479">
                  <c:v>31331</c:v>
                </c:pt>
                <c:pt idx="480">
                  <c:v>31334</c:v>
                </c:pt>
                <c:pt idx="481">
                  <c:v>31335</c:v>
                </c:pt>
                <c:pt idx="482">
                  <c:v>31336</c:v>
                </c:pt>
                <c:pt idx="483">
                  <c:v>31337</c:v>
                </c:pt>
                <c:pt idx="484">
                  <c:v>31338</c:v>
                </c:pt>
                <c:pt idx="485">
                  <c:v>31341</c:v>
                </c:pt>
                <c:pt idx="486">
                  <c:v>31342</c:v>
                </c:pt>
                <c:pt idx="487">
                  <c:v>31343</c:v>
                </c:pt>
                <c:pt idx="488">
                  <c:v>31344</c:v>
                </c:pt>
                <c:pt idx="489">
                  <c:v>31345</c:v>
                </c:pt>
                <c:pt idx="490">
                  <c:v>31348</c:v>
                </c:pt>
                <c:pt idx="491">
                  <c:v>31349</c:v>
                </c:pt>
                <c:pt idx="492">
                  <c:v>31350</c:v>
                </c:pt>
                <c:pt idx="493">
                  <c:v>31351</c:v>
                </c:pt>
                <c:pt idx="494">
                  <c:v>31352</c:v>
                </c:pt>
                <c:pt idx="495">
                  <c:v>31355</c:v>
                </c:pt>
                <c:pt idx="496">
                  <c:v>31356</c:v>
                </c:pt>
                <c:pt idx="497">
                  <c:v>31357</c:v>
                </c:pt>
                <c:pt idx="498">
                  <c:v>31358</c:v>
                </c:pt>
                <c:pt idx="499">
                  <c:v>31359</c:v>
                </c:pt>
                <c:pt idx="500">
                  <c:v>31362</c:v>
                </c:pt>
                <c:pt idx="501">
                  <c:v>31363</c:v>
                </c:pt>
                <c:pt idx="502">
                  <c:v>31364</c:v>
                </c:pt>
                <c:pt idx="503">
                  <c:v>31365</c:v>
                </c:pt>
                <c:pt idx="504">
                  <c:v>31366</c:v>
                </c:pt>
                <c:pt idx="505">
                  <c:v>31369</c:v>
                </c:pt>
                <c:pt idx="506">
                  <c:v>31370</c:v>
                </c:pt>
                <c:pt idx="507">
                  <c:v>31371</c:v>
                </c:pt>
                <c:pt idx="508">
                  <c:v>31372</c:v>
                </c:pt>
                <c:pt idx="509">
                  <c:v>31373</c:v>
                </c:pt>
                <c:pt idx="510">
                  <c:v>31376</c:v>
                </c:pt>
                <c:pt idx="511">
                  <c:v>31377</c:v>
                </c:pt>
                <c:pt idx="512">
                  <c:v>31378</c:v>
                </c:pt>
                <c:pt idx="513">
                  <c:v>31379</c:v>
                </c:pt>
                <c:pt idx="514">
                  <c:v>31380</c:v>
                </c:pt>
                <c:pt idx="515">
                  <c:v>31383</c:v>
                </c:pt>
                <c:pt idx="516">
                  <c:v>31384</c:v>
                </c:pt>
                <c:pt idx="517">
                  <c:v>31385</c:v>
                </c:pt>
                <c:pt idx="518">
                  <c:v>31386</c:v>
                </c:pt>
                <c:pt idx="519">
                  <c:v>31387</c:v>
                </c:pt>
                <c:pt idx="520">
                  <c:v>31390</c:v>
                </c:pt>
                <c:pt idx="521">
                  <c:v>31391</c:v>
                </c:pt>
                <c:pt idx="522">
                  <c:v>31392</c:v>
                </c:pt>
                <c:pt idx="523">
                  <c:v>31393</c:v>
                </c:pt>
                <c:pt idx="524">
                  <c:v>31394</c:v>
                </c:pt>
                <c:pt idx="525">
                  <c:v>31397</c:v>
                </c:pt>
                <c:pt idx="526">
                  <c:v>31398</c:v>
                </c:pt>
                <c:pt idx="527">
                  <c:v>31399</c:v>
                </c:pt>
                <c:pt idx="528">
                  <c:v>31400</c:v>
                </c:pt>
                <c:pt idx="529">
                  <c:v>31401</c:v>
                </c:pt>
                <c:pt idx="530">
                  <c:v>31404</c:v>
                </c:pt>
                <c:pt idx="531">
                  <c:v>31405</c:v>
                </c:pt>
                <c:pt idx="532">
                  <c:v>31406</c:v>
                </c:pt>
                <c:pt idx="533">
                  <c:v>31407</c:v>
                </c:pt>
                <c:pt idx="534">
                  <c:v>31408</c:v>
                </c:pt>
                <c:pt idx="535">
                  <c:v>31411</c:v>
                </c:pt>
                <c:pt idx="536">
                  <c:v>31412</c:v>
                </c:pt>
                <c:pt idx="537">
                  <c:v>31413</c:v>
                </c:pt>
                <c:pt idx="538">
                  <c:v>31414</c:v>
                </c:pt>
                <c:pt idx="539">
                  <c:v>31415</c:v>
                </c:pt>
                <c:pt idx="540">
                  <c:v>31418</c:v>
                </c:pt>
                <c:pt idx="541">
                  <c:v>31419</c:v>
                </c:pt>
                <c:pt idx="542">
                  <c:v>31420</c:v>
                </c:pt>
                <c:pt idx="543">
                  <c:v>31421</c:v>
                </c:pt>
                <c:pt idx="544">
                  <c:v>31422</c:v>
                </c:pt>
                <c:pt idx="545">
                  <c:v>31425</c:v>
                </c:pt>
                <c:pt idx="546">
                  <c:v>31426</c:v>
                </c:pt>
                <c:pt idx="547">
                  <c:v>31427</c:v>
                </c:pt>
                <c:pt idx="548">
                  <c:v>31428</c:v>
                </c:pt>
                <c:pt idx="549">
                  <c:v>31429</c:v>
                </c:pt>
                <c:pt idx="550">
                  <c:v>31432</c:v>
                </c:pt>
                <c:pt idx="551">
                  <c:v>31433</c:v>
                </c:pt>
                <c:pt idx="552">
                  <c:v>31434</c:v>
                </c:pt>
                <c:pt idx="553">
                  <c:v>31435</c:v>
                </c:pt>
                <c:pt idx="554">
                  <c:v>31436</c:v>
                </c:pt>
                <c:pt idx="555">
                  <c:v>31439</c:v>
                </c:pt>
                <c:pt idx="556">
                  <c:v>31440</c:v>
                </c:pt>
                <c:pt idx="557">
                  <c:v>31441</c:v>
                </c:pt>
                <c:pt idx="558">
                  <c:v>31442</c:v>
                </c:pt>
                <c:pt idx="559">
                  <c:v>31443</c:v>
                </c:pt>
                <c:pt idx="560">
                  <c:v>31446</c:v>
                </c:pt>
                <c:pt idx="561">
                  <c:v>31447</c:v>
                </c:pt>
                <c:pt idx="562">
                  <c:v>31448</c:v>
                </c:pt>
                <c:pt idx="563">
                  <c:v>31449</c:v>
                </c:pt>
                <c:pt idx="564">
                  <c:v>31450</c:v>
                </c:pt>
                <c:pt idx="565">
                  <c:v>31453</c:v>
                </c:pt>
                <c:pt idx="566">
                  <c:v>31454</c:v>
                </c:pt>
                <c:pt idx="567">
                  <c:v>31455</c:v>
                </c:pt>
                <c:pt idx="568">
                  <c:v>31456</c:v>
                </c:pt>
                <c:pt idx="569">
                  <c:v>31457</c:v>
                </c:pt>
                <c:pt idx="570">
                  <c:v>31460</c:v>
                </c:pt>
                <c:pt idx="571">
                  <c:v>31461</c:v>
                </c:pt>
                <c:pt idx="572">
                  <c:v>31462</c:v>
                </c:pt>
                <c:pt idx="573">
                  <c:v>31463</c:v>
                </c:pt>
                <c:pt idx="574">
                  <c:v>31464</c:v>
                </c:pt>
                <c:pt idx="575">
                  <c:v>31467</c:v>
                </c:pt>
                <c:pt idx="576">
                  <c:v>31468</c:v>
                </c:pt>
                <c:pt idx="577">
                  <c:v>31469</c:v>
                </c:pt>
                <c:pt idx="578">
                  <c:v>31470</c:v>
                </c:pt>
                <c:pt idx="579">
                  <c:v>31471</c:v>
                </c:pt>
                <c:pt idx="580">
                  <c:v>31474</c:v>
                </c:pt>
                <c:pt idx="581">
                  <c:v>31475</c:v>
                </c:pt>
                <c:pt idx="582">
                  <c:v>31476</c:v>
                </c:pt>
                <c:pt idx="583">
                  <c:v>31477</c:v>
                </c:pt>
                <c:pt idx="584">
                  <c:v>31478</c:v>
                </c:pt>
                <c:pt idx="585">
                  <c:v>31481</c:v>
                </c:pt>
                <c:pt idx="586">
                  <c:v>31482</c:v>
                </c:pt>
                <c:pt idx="587">
                  <c:v>31483</c:v>
                </c:pt>
                <c:pt idx="588">
                  <c:v>31484</c:v>
                </c:pt>
                <c:pt idx="589">
                  <c:v>31485</c:v>
                </c:pt>
                <c:pt idx="590">
                  <c:v>31488</c:v>
                </c:pt>
                <c:pt idx="591">
                  <c:v>31489</c:v>
                </c:pt>
                <c:pt idx="592">
                  <c:v>31490</c:v>
                </c:pt>
                <c:pt idx="593">
                  <c:v>31491</c:v>
                </c:pt>
                <c:pt idx="594">
                  <c:v>31492</c:v>
                </c:pt>
                <c:pt idx="595">
                  <c:v>31495</c:v>
                </c:pt>
                <c:pt idx="596">
                  <c:v>31496</c:v>
                </c:pt>
                <c:pt idx="597">
                  <c:v>31497</c:v>
                </c:pt>
                <c:pt idx="598">
                  <c:v>31498</c:v>
                </c:pt>
                <c:pt idx="599">
                  <c:v>31499</c:v>
                </c:pt>
                <c:pt idx="600">
                  <c:v>31502</c:v>
                </c:pt>
                <c:pt idx="601">
                  <c:v>31503</c:v>
                </c:pt>
                <c:pt idx="602">
                  <c:v>31504</c:v>
                </c:pt>
                <c:pt idx="603">
                  <c:v>31505</c:v>
                </c:pt>
                <c:pt idx="604">
                  <c:v>31506</c:v>
                </c:pt>
                <c:pt idx="605">
                  <c:v>31509</c:v>
                </c:pt>
                <c:pt idx="606">
                  <c:v>31510</c:v>
                </c:pt>
                <c:pt idx="607">
                  <c:v>31511</c:v>
                </c:pt>
                <c:pt idx="608">
                  <c:v>31512</c:v>
                </c:pt>
                <c:pt idx="609">
                  <c:v>31513</c:v>
                </c:pt>
                <c:pt idx="610">
                  <c:v>31516</c:v>
                </c:pt>
                <c:pt idx="611">
                  <c:v>31517</c:v>
                </c:pt>
                <c:pt idx="612">
                  <c:v>31518</c:v>
                </c:pt>
                <c:pt idx="613">
                  <c:v>31519</c:v>
                </c:pt>
                <c:pt idx="614">
                  <c:v>31520</c:v>
                </c:pt>
                <c:pt idx="615">
                  <c:v>31523</c:v>
                </c:pt>
                <c:pt idx="616">
                  <c:v>31524</c:v>
                </c:pt>
                <c:pt idx="617">
                  <c:v>31525</c:v>
                </c:pt>
                <c:pt idx="618">
                  <c:v>31526</c:v>
                </c:pt>
                <c:pt idx="619">
                  <c:v>31527</c:v>
                </c:pt>
                <c:pt idx="620">
                  <c:v>31530</c:v>
                </c:pt>
                <c:pt idx="621">
                  <c:v>31531</c:v>
                </c:pt>
                <c:pt idx="622">
                  <c:v>31532</c:v>
                </c:pt>
                <c:pt idx="623">
                  <c:v>31533</c:v>
                </c:pt>
                <c:pt idx="624">
                  <c:v>31534</c:v>
                </c:pt>
                <c:pt idx="625">
                  <c:v>31537</c:v>
                </c:pt>
                <c:pt idx="626">
                  <c:v>31538</c:v>
                </c:pt>
                <c:pt idx="627">
                  <c:v>31539</c:v>
                </c:pt>
                <c:pt idx="628">
                  <c:v>31540</c:v>
                </c:pt>
                <c:pt idx="629">
                  <c:v>31541</c:v>
                </c:pt>
                <c:pt idx="630">
                  <c:v>31544</c:v>
                </c:pt>
                <c:pt idx="631">
                  <c:v>31545</c:v>
                </c:pt>
                <c:pt idx="632">
                  <c:v>31546</c:v>
                </c:pt>
                <c:pt idx="633">
                  <c:v>31547</c:v>
                </c:pt>
                <c:pt idx="634">
                  <c:v>31548</c:v>
                </c:pt>
                <c:pt idx="635">
                  <c:v>31551</c:v>
                </c:pt>
                <c:pt idx="636">
                  <c:v>31552</c:v>
                </c:pt>
                <c:pt idx="637">
                  <c:v>31553</c:v>
                </c:pt>
                <c:pt idx="638">
                  <c:v>31554</c:v>
                </c:pt>
                <c:pt idx="639">
                  <c:v>31555</c:v>
                </c:pt>
                <c:pt idx="640">
                  <c:v>31558</c:v>
                </c:pt>
                <c:pt idx="641">
                  <c:v>31559</c:v>
                </c:pt>
                <c:pt idx="642">
                  <c:v>31560</c:v>
                </c:pt>
                <c:pt idx="643">
                  <c:v>31561</c:v>
                </c:pt>
                <c:pt idx="644">
                  <c:v>31562</c:v>
                </c:pt>
                <c:pt idx="645">
                  <c:v>31565</c:v>
                </c:pt>
                <c:pt idx="646">
                  <c:v>31566</c:v>
                </c:pt>
                <c:pt idx="647">
                  <c:v>31567</c:v>
                </c:pt>
                <c:pt idx="648">
                  <c:v>31568</c:v>
                </c:pt>
                <c:pt idx="649">
                  <c:v>31569</c:v>
                </c:pt>
                <c:pt idx="650">
                  <c:v>31572</c:v>
                </c:pt>
                <c:pt idx="651">
                  <c:v>31573</c:v>
                </c:pt>
                <c:pt idx="652">
                  <c:v>31574</c:v>
                </c:pt>
                <c:pt idx="653">
                  <c:v>31575</c:v>
                </c:pt>
                <c:pt idx="654">
                  <c:v>31576</c:v>
                </c:pt>
                <c:pt idx="655">
                  <c:v>31579</c:v>
                </c:pt>
                <c:pt idx="656">
                  <c:v>31580</c:v>
                </c:pt>
                <c:pt idx="657">
                  <c:v>31581</c:v>
                </c:pt>
                <c:pt idx="658">
                  <c:v>31582</c:v>
                </c:pt>
                <c:pt idx="659">
                  <c:v>31583</c:v>
                </c:pt>
                <c:pt idx="660">
                  <c:v>31586</c:v>
                </c:pt>
                <c:pt idx="661">
                  <c:v>31587</c:v>
                </c:pt>
                <c:pt idx="662">
                  <c:v>31588</c:v>
                </c:pt>
                <c:pt idx="663">
                  <c:v>31589</c:v>
                </c:pt>
                <c:pt idx="664">
                  <c:v>31590</c:v>
                </c:pt>
                <c:pt idx="665">
                  <c:v>31593</c:v>
                </c:pt>
                <c:pt idx="666">
                  <c:v>31594</c:v>
                </c:pt>
                <c:pt idx="667">
                  <c:v>31595</c:v>
                </c:pt>
                <c:pt idx="668">
                  <c:v>31596</c:v>
                </c:pt>
                <c:pt idx="669">
                  <c:v>31597</c:v>
                </c:pt>
                <c:pt idx="670">
                  <c:v>31600</c:v>
                </c:pt>
                <c:pt idx="671">
                  <c:v>31601</c:v>
                </c:pt>
                <c:pt idx="672">
                  <c:v>31602</c:v>
                </c:pt>
                <c:pt idx="673">
                  <c:v>31603</c:v>
                </c:pt>
                <c:pt idx="674">
                  <c:v>31604</c:v>
                </c:pt>
                <c:pt idx="675">
                  <c:v>31607</c:v>
                </c:pt>
                <c:pt idx="676">
                  <c:v>31608</c:v>
                </c:pt>
                <c:pt idx="677">
                  <c:v>31609</c:v>
                </c:pt>
                <c:pt idx="678">
                  <c:v>31610</c:v>
                </c:pt>
                <c:pt idx="679">
                  <c:v>31611</c:v>
                </c:pt>
                <c:pt idx="680">
                  <c:v>31614</c:v>
                </c:pt>
                <c:pt idx="681">
                  <c:v>31615</c:v>
                </c:pt>
                <c:pt idx="682">
                  <c:v>31616</c:v>
                </c:pt>
                <c:pt idx="683">
                  <c:v>31617</c:v>
                </c:pt>
                <c:pt idx="684">
                  <c:v>31618</c:v>
                </c:pt>
                <c:pt idx="685">
                  <c:v>31621</c:v>
                </c:pt>
                <c:pt idx="686">
                  <c:v>31622</c:v>
                </c:pt>
                <c:pt idx="687">
                  <c:v>31623</c:v>
                </c:pt>
                <c:pt idx="688">
                  <c:v>31624</c:v>
                </c:pt>
                <c:pt idx="689">
                  <c:v>31625</c:v>
                </c:pt>
                <c:pt idx="690">
                  <c:v>31628</c:v>
                </c:pt>
                <c:pt idx="691">
                  <c:v>31629</c:v>
                </c:pt>
                <c:pt idx="692">
                  <c:v>31630</c:v>
                </c:pt>
                <c:pt idx="693">
                  <c:v>31631</c:v>
                </c:pt>
                <c:pt idx="694">
                  <c:v>31632</c:v>
                </c:pt>
                <c:pt idx="695">
                  <c:v>31635</c:v>
                </c:pt>
                <c:pt idx="696">
                  <c:v>31636</c:v>
                </c:pt>
                <c:pt idx="697">
                  <c:v>31637</c:v>
                </c:pt>
                <c:pt idx="698">
                  <c:v>31638</c:v>
                </c:pt>
                <c:pt idx="699">
                  <c:v>31639</c:v>
                </c:pt>
                <c:pt idx="700">
                  <c:v>31642</c:v>
                </c:pt>
                <c:pt idx="701">
                  <c:v>31643</c:v>
                </c:pt>
                <c:pt idx="702">
                  <c:v>31644</c:v>
                </c:pt>
                <c:pt idx="703">
                  <c:v>31645</c:v>
                </c:pt>
                <c:pt idx="704">
                  <c:v>31646</c:v>
                </c:pt>
                <c:pt idx="705">
                  <c:v>31649</c:v>
                </c:pt>
                <c:pt idx="706">
                  <c:v>31650</c:v>
                </c:pt>
                <c:pt idx="707">
                  <c:v>31651</c:v>
                </c:pt>
                <c:pt idx="708">
                  <c:v>31652</c:v>
                </c:pt>
                <c:pt idx="709">
                  <c:v>31653</c:v>
                </c:pt>
                <c:pt idx="710">
                  <c:v>31656</c:v>
                </c:pt>
                <c:pt idx="711">
                  <c:v>31657</c:v>
                </c:pt>
                <c:pt idx="712">
                  <c:v>31658</c:v>
                </c:pt>
                <c:pt idx="713">
                  <c:v>31659</c:v>
                </c:pt>
                <c:pt idx="714">
                  <c:v>31660</c:v>
                </c:pt>
                <c:pt idx="715">
                  <c:v>31663</c:v>
                </c:pt>
                <c:pt idx="716">
                  <c:v>31664</c:v>
                </c:pt>
                <c:pt idx="717">
                  <c:v>31665</c:v>
                </c:pt>
                <c:pt idx="718">
                  <c:v>31666</c:v>
                </c:pt>
                <c:pt idx="719">
                  <c:v>31667</c:v>
                </c:pt>
                <c:pt idx="720">
                  <c:v>31670</c:v>
                </c:pt>
                <c:pt idx="721">
                  <c:v>31671</c:v>
                </c:pt>
                <c:pt idx="722">
                  <c:v>31672</c:v>
                </c:pt>
                <c:pt idx="723">
                  <c:v>31673</c:v>
                </c:pt>
                <c:pt idx="724">
                  <c:v>31674</c:v>
                </c:pt>
                <c:pt idx="725">
                  <c:v>31677</c:v>
                </c:pt>
                <c:pt idx="726">
                  <c:v>31678</c:v>
                </c:pt>
                <c:pt idx="727">
                  <c:v>31679</c:v>
                </c:pt>
                <c:pt idx="728">
                  <c:v>31680</c:v>
                </c:pt>
                <c:pt idx="729">
                  <c:v>31681</c:v>
                </c:pt>
                <c:pt idx="730">
                  <c:v>31684</c:v>
                </c:pt>
                <c:pt idx="731">
                  <c:v>31685</c:v>
                </c:pt>
                <c:pt idx="732">
                  <c:v>31686</c:v>
                </c:pt>
                <c:pt idx="733">
                  <c:v>31687</c:v>
                </c:pt>
                <c:pt idx="734">
                  <c:v>31688</c:v>
                </c:pt>
                <c:pt idx="735">
                  <c:v>31691</c:v>
                </c:pt>
                <c:pt idx="736">
                  <c:v>31692</c:v>
                </c:pt>
                <c:pt idx="737">
                  <c:v>31693</c:v>
                </c:pt>
                <c:pt idx="738">
                  <c:v>31694</c:v>
                </c:pt>
                <c:pt idx="739">
                  <c:v>31695</c:v>
                </c:pt>
                <c:pt idx="740">
                  <c:v>31698</c:v>
                </c:pt>
                <c:pt idx="741">
                  <c:v>31699</c:v>
                </c:pt>
                <c:pt idx="742">
                  <c:v>31700</c:v>
                </c:pt>
                <c:pt idx="743">
                  <c:v>31701</c:v>
                </c:pt>
                <c:pt idx="744">
                  <c:v>31702</c:v>
                </c:pt>
                <c:pt idx="745">
                  <c:v>31705</c:v>
                </c:pt>
                <c:pt idx="746">
                  <c:v>31706</c:v>
                </c:pt>
                <c:pt idx="747">
                  <c:v>31707</c:v>
                </c:pt>
                <c:pt idx="748">
                  <c:v>31708</c:v>
                </c:pt>
                <c:pt idx="749">
                  <c:v>31709</c:v>
                </c:pt>
                <c:pt idx="750">
                  <c:v>31712</c:v>
                </c:pt>
                <c:pt idx="751">
                  <c:v>31713</c:v>
                </c:pt>
                <c:pt idx="752">
                  <c:v>31714</c:v>
                </c:pt>
                <c:pt idx="753">
                  <c:v>31715</c:v>
                </c:pt>
                <c:pt idx="754">
                  <c:v>31716</c:v>
                </c:pt>
                <c:pt idx="755">
                  <c:v>31719</c:v>
                </c:pt>
                <c:pt idx="756">
                  <c:v>31720</c:v>
                </c:pt>
                <c:pt idx="757">
                  <c:v>31721</c:v>
                </c:pt>
                <c:pt idx="758">
                  <c:v>31722</c:v>
                </c:pt>
                <c:pt idx="759">
                  <c:v>31723</c:v>
                </c:pt>
                <c:pt idx="760">
                  <c:v>31726</c:v>
                </c:pt>
                <c:pt idx="761">
                  <c:v>31727</c:v>
                </c:pt>
                <c:pt idx="762">
                  <c:v>31728</c:v>
                </c:pt>
                <c:pt idx="763">
                  <c:v>31729</c:v>
                </c:pt>
                <c:pt idx="764">
                  <c:v>31730</c:v>
                </c:pt>
                <c:pt idx="765">
                  <c:v>31733</c:v>
                </c:pt>
                <c:pt idx="766">
                  <c:v>31734</c:v>
                </c:pt>
                <c:pt idx="767">
                  <c:v>31735</c:v>
                </c:pt>
                <c:pt idx="768">
                  <c:v>31736</c:v>
                </c:pt>
                <c:pt idx="769">
                  <c:v>31737</c:v>
                </c:pt>
                <c:pt idx="770">
                  <c:v>31740</c:v>
                </c:pt>
                <c:pt idx="771">
                  <c:v>31741</c:v>
                </c:pt>
                <c:pt idx="772">
                  <c:v>31742</c:v>
                </c:pt>
                <c:pt idx="773">
                  <c:v>31743</c:v>
                </c:pt>
                <c:pt idx="774">
                  <c:v>31744</c:v>
                </c:pt>
                <c:pt idx="775">
                  <c:v>31747</c:v>
                </c:pt>
                <c:pt idx="776">
                  <c:v>31748</c:v>
                </c:pt>
                <c:pt idx="777">
                  <c:v>31749</c:v>
                </c:pt>
                <c:pt idx="778">
                  <c:v>31750</c:v>
                </c:pt>
                <c:pt idx="779">
                  <c:v>31751</c:v>
                </c:pt>
                <c:pt idx="780">
                  <c:v>31754</c:v>
                </c:pt>
                <c:pt idx="781">
                  <c:v>31755</c:v>
                </c:pt>
                <c:pt idx="782">
                  <c:v>31756</c:v>
                </c:pt>
                <c:pt idx="783">
                  <c:v>31757</c:v>
                </c:pt>
                <c:pt idx="784">
                  <c:v>31758</c:v>
                </c:pt>
                <c:pt idx="785">
                  <c:v>31761</c:v>
                </c:pt>
                <c:pt idx="786">
                  <c:v>31762</c:v>
                </c:pt>
                <c:pt idx="787">
                  <c:v>31763</c:v>
                </c:pt>
                <c:pt idx="788">
                  <c:v>31764</c:v>
                </c:pt>
                <c:pt idx="789">
                  <c:v>31765</c:v>
                </c:pt>
                <c:pt idx="790">
                  <c:v>31768</c:v>
                </c:pt>
                <c:pt idx="791">
                  <c:v>31769</c:v>
                </c:pt>
                <c:pt idx="792">
                  <c:v>31770</c:v>
                </c:pt>
                <c:pt idx="793">
                  <c:v>31771</c:v>
                </c:pt>
                <c:pt idx="794">
                  <c:v>31772</c:v>
                </c:pt>
                <c:pt idx="795">
                  <c:v>31775</c:v>
                </c:pt>
                <c:pt idx="796">
                  <c:v>31776</c:v>
                </c:pt>
                <c:pt idx="797">
                  <c:v>31777</c:v>
                </c:pt>
                <c:pt idx="798">
                  <c:v>31778</c:v>
                </c:pt>
                <c:pt idx="799">
                  <c:v>31779</c:v>
                </c:pt>
                <c:pt idx="800">
                  <c:v>31782</c:v>
                </c:pt>
                <c:pt idx="801">
                  <c:v>31783</c:v>
                </c:pt>
                <c:pt idx="802">
                  <c:v>31784</c:v>
                </c:pt>
                <c:pt idx="803">
                  <c:v>31785</c:v>
                </c:pt>
                <c:pt idx="804">
                  <c:v>31786</c:v>
                </c:pt>
                <c:pt idx="805">
                  <c:v>31789</c:v>
                </c:pt>
                <c:pt idx="806">
                  <c:v>31790</c:v>
                </c:pt>
                <c:pt idx="807">
                  <c:v>31791</c:v>
                </c:pt>
                <c:pt idx="808">
                  <c:v>31792</c:v>
                </c:pt>
                <c:pt idx="809">
                  <c:v>31793</c:v>
                </c:pt>
                <c:pt idx="810">
                  <c:v>31796</c:v>
                </c:pt>
                <c:pt idx="811">
                  <c:v>31797</c:v>
                </c:pt>
                <c:pt idx="812">
                  <c:v>31798</c:v>
                </c:pt>
                <c:pt idx="813">
                  <c:v>31799</c:v>
                </c:pt>
                <c:pt idx="814">
                  <c:v>31800</c:v>
                </c:pt>
                <c:pt idx="815">
                  <c:v>31803</c:v>
                </c:pt>
                <c:pt idx="816">
                  <c:v>31804</c:v>
                </c:pt>
                <c:pt idx="817">
                  <c:v>31805</c:v>
                </c:pt>
                <c:pt idx="818">
                  <c:v>31806</c:v>
                </c:pt>
                <c:pt idx="819">
                  <c:v>31807</c:v>
                </c:pt>
                <c:pt idx="820">
                  <c:v>31810</c:v>
                </c:pt>
                <c:pt idx="821">
                  <c:v>31811</c:v>
                </c:pt>
                <c:pt idx="822">
                  <c:v>31812</c:v>
                </c:pt>
                <c:pt idx="823">
                  <c:v>31813</c:v>
                </c:pt>
                <c:pt idx="824">
                  <c:v>31814</c:v>
                </c:pt>
                <c:pt idx="825">
                  <c:v>31817</c:v>
                </c:pt>
                <c:pt idx="826">
                  <c:v>31818</c:v>
                </c:pt>
                <c:pt idx="827">
                  <c:v>31819</c:v>
                </c:pt>
                <c:pt idx="828">
                  <c:v>31820</c:v>
                </c:pt>
                <c:pt idx="829">
                  <c:v>31821</c:v>
                </c:pt>
                <c:pt idx="830">
                  <c:v>31824</c:v>
                </c:pt>
                <c:pt idx="831">
                  <c:v>31825</c:v>
                </c:pt>
                <c:pt idx="832">
                  <c:v>31826</c:v>
                </c:pt>
                <c:pt idx="833">
                  <c:v>31827</c:v>
                </c:pt>
                <c:pt idx="834">
                  <c:v>31828</c:v>
                </c:pt>
                <c:pt idx="835">
                  <c:v>31831</c:v>
                </c:pt>
                <c:pt idx="836">
                  <c:v>31832</c:v>
                </c:pt>
                <c:pt idx="837">
                  <c:v>31833</c:v>
                </c:pt>
                <c:pt idx="838">
                  <c:v>31834</c:v>
                </c:pt>
                <c:pt idx="839">
                  <c:v>31835</c:v>
                </c:pt>
                <c:pt idx="840">
                  <c:v>31838</c:v>
                </c:pt>
                <c:pt idx="841">
                  <c:v>31839</c:v>
                </c:pt>
                <c:pt idx="842">
                  <c:v>31840</c:v>
                </c:pt>
                <c:pt idx="843">
                  <c:v>31841</c:v>
                </c:pt>
                <c:pt idx="844">
                  <c:v>31842</c:v>
                </c:pt>
                <c:pt idx="845">
                  <c:v>31845</c:v>
                </c:pt>
                <c:pt idx="846">
                  <c:v>31846</c:v>
                </c:pt>
                <c:pt idx="847">
                  <c:v>31847</c:v>
                </c:pt>
                <c:pt idx="848">
                  <c:v>31848</c:v>
                </c:pt>
                <c:pt idx="849">
                  <c:v>31849</c:v>
                </c:pt>
                <c:pt idx="850">
                  <c:v>31852</c:v>
                </c:pt>
                <c:pt idx="851">
                  <c:v>31853</c:v>
                </c:pt>
                <c:pt idx="852">
                  <c:v>31854</c:v>
                </c:pt>
                <c:pt idx="853">
                  <c:v>31855</c:v>
                </c:pt>
                <c:pt idx="854">
                  <c:v>31856</c:v>
                </c:pt>
                <c:pt idx="855">
                  <c:v>31859</c:v>
                </c:pt>
                <c:pt idx="856">
                  <c:v>31860</c:v>
                </c:pt>
                <c:pt idx="857">
                  <c:v>31861</c:v>
                </c:pt>
                <c:pt idx="858">
                  <c:v>31862</c:v>
                </c:pt>
                <c:pt idx="859">
                  <c:v>31863</c:v>
                </c:pt>
                <c:pt idx="860">
                  <c:v>31866</c:v>
                </c:pt>
                <c:pt idx="861">
                  <c:v>31867</c:v>
                </c:pt>
                <c:pt idx="862">
                  <c:v>31868</c:v>
                </c:pt>
                <c:pt idx="863">
                  <c:v>31869</c:v>
                </c:pt>
                <c:pt idx="864">
                  <c:v>31870</c:v>
                </c:pt>
                <c:pt idx="865">
                  <c:v>31873</c:v>
                </c:pt>
                <c:pt idx="866">
                  <c:v>31874</c:v>
                </c:pt>
                <c:pt idx="867">
                  <c:v>31875</c:v>
                </c:pt>
                <c:pt idx="868">
                  <c:v>31876</c:v>
                </c:pt>
                <c:pt idx="869">
                  <c:v>31877</c:v>
                </c:pt>
                <c:pt idx="870">
                  <c:v>31880</c:v>
                </c:pt>
                <c:pt idx="871">
                  <c:v>31881</c:v>
                </c:pt>
                <c:pt idx="872">
                  <c:v>31882</c:v>
                </c:pt>
                <c:pt idx="873">
                  <c:v>31883</c:v>
                </c:pt>
                <c:pt idx="874">
                  <c:v>31884</c:v>
                </c:pt>
                <c:pt idx="875">
                  <c:v>31887</c:v>
                </c:pt>
                <c:pt idx="876">
                  <c:v>31888</c:v>
                </c:pt>
                <c:pt idx="877">
                  <c:v>31889</c:v>
                </c:pt>
                <c:pt idx="878">
                  <c:v>31890</c:v>
                </c:pt>
                <c:pt idx="879">
                  <c:v>31891</c:v>
                </c:pt>
                <c:pt idx="880">
                  <c:v>31894</c:v>
                </c:pt>
                <c:pt idx="881">
                  <c:v>31895</c:v>
                </c:pt>
                <c:pt idx="882">
                  <c:v>31896</c:v>
                </c:pt>
                <c:pt idx="883">
                  <c:v>31897</c:v>
                </c:pt>
                <c:pt idx="884">
                  <c:v>31898</c:v>
                </c:pt>
                <c:pt idx="885">
                  <c:v>31901</c:v>
                </c:pt>
                <c:pt idx="886">
                  <c:v>31902</c:v>
                </c:pt>
                <c:pt idx="887">
                  <c:v>31903</c:v>
                </c:pt>
                <c:pt idx="888">
                  <c:v>31904</c:v>
                </c:pt>
                <c:pt idx="889">
                  <c:v>31905</c:v>
                </c:pt>
                <c:pt idx="890">
                  <c:v>31908</c:v>
                </c:pt>
                <c:pt idx="891">
                  <c:v>31909</c:v>
                </c:pt>
                <c:pt idx="892">
                  <c:v>31910</c:v>
                </c:pt>
                <c:pt idx="893">
                  <c:v>31911</c:v>
                </c:pt>
                <c:pt idx="894">
                  <c:v>31912</c:v>
                </c:pt>
                <c:pt idx="895">
                  <c:v>31915</c:v>
                </c:pt>
                <c:pt idx="896">
                  <c:v>31916</c:v>
                </c:pt>
                <c:pt idx="897">
                  <c:v>31917</c:v>
                </c:pt>
                <c:pt idx="898">
                  <c:v>31918</c:v>
                </c:pt>
                <c:pt idx="899">
                  <c:v>31919</c:v>
                </c:pt>
                <c:pt idx="900">
                  <c:v>31922</c:v>
                </c:pt>
                <c:pt idx="901">
                  <c:v>31923</c:v>
                </c:pt>
                <c:pt idx="902">
                  <c:v>31924</c:v>
                </c:pt>
                <c:pt idx="903">
                  <c:v>31925</c:v>
                </c:pt>
                <c:pt idx="904">
                  <c:v>31926</c:v>
                </c:pt>
                <c:pt idx="905">
                  <c:v>31929</c:v>
                </c:pt>
                <c:pt idx="906">
                  <c:v>31930</c:v>
                </c:pt>
                <c:pt idx="907">
                  <c:v>31931</c:v>
                </c:pt>
                <c:pt idx="908">
                  <c:v>31932</c:v>
                </c:pt>
                <c:pt idx="909">
                  <c:v>31933</c:v>
                </c:pt>
                <c:pt idx="910">
                  <c:v>31936</c:v>
                </c:pt>
                <c:pt idx="911">
                  <c:v>31937</c:v>
                </c:pt>
                <c:pt idx="912">
                  <c:v>31938</c:v>
                </c:pt>
                <c:pt idx="913">
                  <c:v>31939</c:v>
                </c:pt>
                <c:pt idx="914">
                  <c:v>31940</c:v>
                </c:pt>
                <c:pt idx="915">
                  <c:v>31943</c:v>
                </c:pt>
                <c:pt idx="916">
                  <c:v>31944</c:v>
                </c:pt>
                <c:pt idx="917">
                  <c:v>31945</c:v>
                </c:pt>
                <c:pt idx="918">
                  <c:v>31946</c:v>
                </c:pt>
                <c:pt idx="919">
                  <c:v>31947</c:v>
                </c:pt>
                <c:pt idx="920">
                  <c:v>31950</c:v>
                </c:pt>
                <c:pt idx="921">
                  <c:v>31951</c:v>
                </c:pt>
                <c:pt idx="922">
                  <c:v>31952</c:v>
                </c:pt>
                <c:pt idx="923">
                  <c:v>31953</c:v>
                </c:pt>
                <c:pt idx="924">
                  <c:v>31954</c:v>
                </c:pt>
                <c:pt idx="925">
                  <c:v>31957</c:v>
                </c:pt>
                <c:pt idx="926">
                  <c:v>31958</c:v>
                </c:pt>
                <c:pt idx="927">
                  <c:v>31959</c:v>
                </c:pt>
                <c:pt idx="928">
                  <c:v>31960</c:v>
                </c:pt>
                <c:pt idx="929">
                  <c:v>31961</c:v>
                </c:pt>
                <c:pt idx="930">
                  <c:v>31964</c:v>
                </c:pt>
                <c:pt idx="931">
                  <c:v>31965</c:v>
                </c:pt>
                <c:pt idx="932">
                  <c:v>31966</c:v>
                </c:pt>
                <c:pt idx="933">
                  <c:v>31967</c:v>
                </c:pt>
                <c:pt idx="934">
                  <c:v>31968</c:v>
                </c:pt>
                <c:pt idx="935">
                  <c:v>31971</c:v>
                </c:pt>
                <c:pt idx="936">
                  <c:v>31972</c:v>
                </c:pt>
                <c:pt idx="937">
                  <c:v>31973</c:v>
                </c:pt>
                <c:pt idx="938">
                  <c:v>31974</c:v>
                </c:pt>
                <c:pt idx="939">
                  <c:v>31975</c:v>
                </c:pt>
                <c:pt idx="940">
                  <c:v>31978</c:v>
                </c:pt>
                <c:pt idx="941">
                  <c:v>31979</c:v>
                </c:pt>
                <c:pt idx="942">
                  <c:v>31980</c:v>
                </c:pt>
                <c:pt idx="943">
                  <c:v>31981</c:v>
                </c:pt>
                <c:pt idx="944">
                  <c:v>31982</c:v>
                </c:pt>
                <c:pt idx="945">
                  <c:v>31985</c:v>
                </c:pt>
                <c:pt idx="946">
                  <c:v>31986</c:v>
                </c:pt>
                <c:pt idx="947">
                  <c:v>31987</c:v>
                </c:pt>
                <c:pt idx="948">
                  <c:v>31988</c:v>
                </c:pt>
                <c:pt idx="949">
                  <c:v>31989</c:v>
                </c:pt>
                <c:pt idx="950">
                  <c:v>31992</c:v>
                </c:pt>
                <c:pt idx="951">
                  <c:v>31993</c:v>
                </c:pt>
                <c:pt idx="952">
                  <c:v>31994</c:v>
                </c:pt>
                <c:pt idx="953">
                  <c:v>31995</c:v>
                </c:pt>
                <c:pt idx="954">
                  <c:v>31996</c:v>
                </c:pt>
                <c:pt idx="955">
                  <c:v>31999</c:v>
                </c:pt>
                <c:pt idx="956">
                  <c:v>32000</c:v>
                </c:pt>
                <c:pt idx="957">
                  <c:v>32001</c:v>
                </c:pt>
                <c:pt idx="958">
                  <c:v>32002</c:v>
                </c:pt>
                <c:pt idx="959">
                  <c:v>32003</c:v>
                </c:pt>
                <c:pt idx="960">
                  <c:v>32006</c:v>
                </c:pt>
                <c:pt idx="961">
                  <c:v>32007</c:v>
                </c:pt>
                <c:pt idx="962">
                  <c:v>32008</c:v>
                </c:pt>
                <c:pt idx="963">
                  <c:v>32009</c:v>
                </c:pt>
                <c:pt idx="964">
                  <c:v>32010</c:v>
                </c:pt>
                <c:pt idx="965">
                  <c:v>32013</c:v>
                </c:pt>
                <c:pt idx="966">
                  <c:v>32014</c:v>
                </c:pt>
                <c:pt idx="967">
                  <c:v>32015</c:v>
                </c:pt>
                <c:pt idx="968">
                  <c:v>32016</c:v>
                </c:pt>
                <c:pt idx="969">
                  <c:v>32017</c:v>
                </c:pt>
                <c:pt idx="970">
                  <c:v>32020</c:v>
                </c:pt>
                <c:pt idx="971">
                  <c:v>32021</c:v>
                </c:pt>
                <c:pt idx="972">
                  <c:v>32022</c:v>
                </c:pt>
                <c:pt idx="973">
                  <c:v>32023</c:v>
                </c:pt>
                <c:pt idx="974">
                  <c:v>32024</c:v>
                </c:pt>
                <c:pt idx="975">
                  <c:v>32027</c:v>
                </c:pt>
                <c:pt idx="976">
                  <c:v>32028</c:v>
                </c:pt>
                <c:pt idx="977">
                  <c:v>32029</c:v>
                </c:pt>
                <c:pt idx="978">
                  <c:v>32030</c:v>
                </c:pt>
                <c:pt idx="979">
                  <c:v>32031</c:v>
                </c:pt>
                <c:pt idx="980">
                  <c:v>32034</c:v>
                </c:pt>
                <c:pt idx="981">
                  <c:v>32035</c:v>
                </c:pt>
                <c:pt idx="982">
                  <c:v>32036</c:v>
                </c:pt>
                <c:pt idx="983">
                  <c:v>32037</c:v>
                </c:pt>
                <c:pt idx="984">
                  <c:v>32038</c:v>
                </c:pt>
                <c:pt idx="985">
                  <c:v>32041</c:v>
                </c:pt>
                <c:pt idx="986">
                  <c:v>32042</c:v>
                </c:pt>
                <c:pt idx="987">
                  <c:v>32043</c:v>
                </c:pt>
                <c:pt idx="988">
                  <c:v>32044</c:v>
                </c:pt>
                <c:pt idx="989">
                  <c:v>32045</c:v>
                </c:pt>
                <c:pt idx="990">
                  <c:v>32048</c:v>
                </c:pt>
                <c:pt idx="991">
                  <c:v>32049</c:v>
                </c:pt>
                <c:pt idx="992">
                  <c:v>32050</c:v>
                </c:pt>
                <c:pt idx="993">
                  <c:v>32051</c:v>
                </c:pt>
                <c:pt idx="994">
                  <c:v>32052</c:v>
                </c:pt>
                <c:pt idx="995">
                  <c:v>32055</c:v>
                </c:pt>
                <c:pt idx="996">
                  <c:v>32056</c:v>
                </c:pt>
                <c:pt idx="997">
                  <c:v>32057</c:v>
                </c:pt>
                <c:pt idx="998">
                  <c:v>32058</c:v>
                </c:pt>
                <c:pt idx="999">
                  <c:v>32059</c:v>
                </c:pt>
                <c:pt idx="1000">
                  <c:v>32062</c:v>
                </c:pt>
                <c:pt idx="1001">
                  <c:v>32063</c:v>
                </c:pt>
                <c:pt idx="1002">
                  <c:v>32064</c:v>
                </c:pt>
                <c:pt idx="1003">
                  <c:v>32065</c:v>
                </c:pt>
                <c:pt idx="1004">
                  <c:v>32066</c:v>
                </c:pt>
                <c:pt idx="1005">
                  <c:v>32069</c:v>
                </c:pt>
                <c:pt idx="1006">
                  <c:v>32070</c:v>
                </c:pt>
                <c:pt idx="1007">
                  <c:v>32071</c:v>
                </c:pt>
                <c:pt idx="1008">
                  <c:v>32072</c:v>
                </c:pt>
                <c:pt idx="1009">
                  <c:v>32073</c:v>
                </c:pt>
                <c:pt idx="1010">
                  <c:v>32076</c:v>
                </c:pt>
                <c:pt idx="1011">
                  <c:v>32077</c:v>
                </c:pt>
                <c:pt idx="1012">
                  <c:v>32078</c:v>
                </c:pt>
                <c:pt idx="1013">
                  <c:v>32079</c:v>
                </c:pt>
                <c:pt idx="1014">
                  <c:v>32080</c:v>
                </c:pt>
                <c:pt idx="1015">
                  <c:v>32083</c:v>
                </c:pt>
                <c:pt idx="1016">
                  <c:v>32084</c:v>
                </c:pt>
                <c:pt idx="1017">
                  <c:v>32085</c:v>
                </c:pt>
                <c:pt idx="1018">
                  <c:v>32086</c:v>
                </c:pt>
                <c:pt idx="1019">
                  <c:v>32087</c:v>
                </c:pt>
                <c:pt idx="1020">
                  <c:v>32090</c:v>
                </c:pt>
                <c:pt idx="1021">
                  <c:v>32091</c:v>
                </c:pt>
                <c:pt idx="1022">
                  <c:v>32092</c:v>
                </c:pt>
                <c:pt idx="1023">
                  <c:v>32093</c:v>
                </c:pt>
                <c:pt idx="1024">
                  <c:v>32094</c:v>
                </c:pt>
                <c:pt idx="1025">
                  <c:v>32097</c:v>
                </c:pt>
                <c:pt idx="1026">
                  <c:v>32098</c:v>
                </c:pt>
                <c:pt idx="1027">
                  <c:v>32099</c:v>
                </c:pt>
                <c:pt idx="1028">
                  <c:v>32100</c:v>
                </c:pt>
                <c:pt idx="1029">
                  <c:v>32101</c:v>
                </c:pt>
                <c:pt idx="1030">
                  <c:v>32104</c:v>
                </c:pt>
                <c:pt idx="1031">
                  <c:v>32105</c:v>
                </c:pt>
                <c:pt idx="1032">
                  <c:v>32106</c:v>
                </c:pt>
                <c:pt idx="1033">
                  <c:v>32107</c:v>
                </c:pt>
                <c:pt idx="1034">
                  <c:v>32108</c:v>
                </c:pt>
                <c:pt idx="1035">
                  <c:v>32111</c:v>
                </c:pt>
                <c:pt idx="1036">
                  <c:v>32112</c:v>
                </c:pt>
                <c:pt idx="1037">
                  <c:v>32113</c:v>
                </c:pt>
                <c:pt idx="1038">
                  <c:v>32114</c:v>
                </c:pt>
                <c:pt idx="1039">
                  <c:v>32115</c:v>
                </c:pt>
                <c:pt idx="1040">
                  <c:v>32118</c:v>
                </c:pt>
                <c:pt idx="1041">
                  <c:v>32119</c:v>
                </c:pt>
                <c:pt idx="1042">
                  <c:v>32120</c:v>
                </c:pt>
                <c:pt idx="1043">
                  <c:v>32121</c:v>
                </c:pt>
                <c:pt idx="1044">
                  <c:v>32122</c:v>
                </c:pt>
                <c:pt idx="1045">
                  <c:v>32125</c:v>
                </c:pt>
                <c:pt idx="1046">
                  <c:v>32126</c:v>
                </c:pt>
                <c:pt idx="1047">
                  <c:v>32127</c:v>
                </c:pt>
                <c:pt idx="1048">
                  <c:v>32128</c:v>
                </c:pt>
                <c:pt idx="1049">
                  <c:v>32129</c:v>
                </c:pt>
                <c:pt idx="1050">
                  <c:v>32132</c:v>
                </c:pt>
                <c:pt idx="1051">
                  <c:v>32133</c:v>
                </c:pt>
                <c:pt idx="1052">
                  <c:v>32134</c:v>
                </c:pt>
                <c:pt idx="1053">
                  <c:v>32135</c:v>
                </c:pt>
                <c:pt idx="1054">
                  <c:v>32136</c:v>
                </c:pt>
                <c:pt idx="1055">
                  <c:v>32139</c:v>
                </c:pt>
                <c:pt idx="1056">
                  <c:v>32140</c:v>
                </c:pt>
                <c:pt idx="1057">
                  <c:v>32141</c:v>
                </c:pt>
                <c:pt idx="1058">
                  <c:v>32142</c:v>
                </c:pt>
                <c:pt idx="1059">
                  <c:v>32143</c:v>
                </c:pt>
                <c:pt idx="1060">
                  <c:v>32146</c:v>
                </c:pt>
                <c:pt idx="1061">
                  <c:v>32147</c:v>
                </c:pt>
                <c:pt idx="1062">
                  <c:v>32148</c:v>
                </c:pt>
                <c:pt idx="1063">
                  <c:v>32149</c:v>
                </c:pt>
                <c:pt idx="1064">
                  <c:v>32150</c:v>
                </c:pt>
                <c:pt idx="1065">
                  <c:v>32153</c:v>
                </c:pt>
                <c:pt idx="1066">
                  <c:v>32154</c:v>
                </c:pt>
                <c:pt idx="1067">
                  <c:v>32155</c:v>
                </c:pt>
                <c:pt idx="1068">
                  <c:v>32156</c:v>
                </c:pt>
                <c:pt idx="1069">
                  <c:v>32157</c:v>
                </c:pt>
                <c:pt idx="1070">
                  <c:v>32160</c:v>
                </c:pt>
                <c:pt idx="1071">
                  <c:v>32161</c:v>
                </c:pt>
                <c:pt idx="1072">
                  <c:v>32162</c:v>
                </c:pt>
                <c:pt idx="1073">
                  <c:v>32163</c:v>
                </c:pt>
                <c:pt idx="1074">
                  <c:v>32164</c:v>
                </c:pt>
                <c:pt idx="1075">
                  <c:v>32167</c:v>
                </c:pt>
                <c:pt idx="1076">
                  <c:v>32168</c:v>
                </c:pt>
                <c:pt idx="1077">
                  <c:v>32169</c:v>
                </c:pt>
                <c:pt idx="1078">
                  <c:v>32170</c:v>
                </c:pt>
                <c:pt idx="1079">
                  <c:v>32171</c:v>
                </c:pt>
                <c:pt idx="1080">
                  <c:v>32174</c:v>
                </c:pt>
                <c:pt idx="1081">
                  <c:v>32175</c:v>
                </c:pt>
                <c:pt idx="1082">
                  <c:v>32176</c:v>
                </c:pt>
                <c:pt idx="1083">
                  <c:v>32177</c:v>
                </c:pt>
                <c:pt idx="1084">
                  <c:v>32178</c:v>
                </c:pt>
                <c:pt idx="1085">
                  <c:v>32181</c:v>
                </c:pt>
                <c:pt idx="1086">
                  <c:v>32182</c:v>
                </c:pt>
                <c:pt idx="1087">
                  <c:v>32183</c:v>
                </c:pt>
                <c:pt idx="1088">
                  <c:v>32184</c:v>
                </c:pt>
                <c:pt idx="1089">
                  <c:v>32185</c:v>
                </c:pt>
                <c:pt idx="1090">
                  <c:v>32188</c:v>
                </c:pt>
                <c:pt idx="1091">
                  <c:v>32189</c:v>
                </c:pt>
                <c:pt idx="1092">
                  <c:v>32190</c:v>
                </c:pt>
                <c:pt idx="1093">
                  <c:v>32191</c:v>
                </c:pt>
                <c:pt idx="1094">
                  <c:v>32192</c:v>
                </c:pt>
                <c:pt idx="1095">
                  <c:v>32195</c:v>
                </c:pt>
                <c:pt idx="1096">
                  <c:v>32196</c:v>
                </c:pt>
                <c:pt idx="1097">
                  <c:v>32197</c:v>
                </c:pt>
                <c:pt idx="1098">
                  <c:v>32198</c:v>
                </c:pt>
                <c:pt idx="1099">
                  <c:v>32199</c:v>
                </c:pt>
                <c:pt idx="1100">
                  <c:v>32202</c:v>
                </c:pt>
                <c:pt idx="1101">
                  <c:v>32203</c:v>
                </c:pt>
                <c:pt idx="1102">
                  <c:v>32204</c:v>
                </c:pt>
                <c:pt idx="1103">
                  <c:v>32205</c:v>
                </c:pt>
                <c:pt idx="1104">
                  <c:v>32206</c:v>
                </c:pt>
                <c:pt idx="1105">
                  <c:v>32209</c:v>
                </c:pt>
                <c:pt idx="1106">
                  <c:v>32210</c:v>
                </c:pt>
                <c:pt idx="1107">
                  <c:v>32211</c:v>
                </c:pt>
                <c:pt idx="1108">
                  <c:v>32212</c:v>
                </c:pt>
                <c:pt idx="1109">
                  <c:v>32213</c:v>
                </c:pt>
                <c:pt idx="1110">
                  <c:v>32216</c:v>
                </c:pt>
                <c:pt idx="1111">
                  <c:v>32217</c:v>
                </c:pt>
                <c:pt idx="1112">
                  <c:v>32218</c:v>
                </c:pt>
                <c:pt idx="1113">
                  <c:v>32219</c:v>
                </c:pt>
                <c:pt idx="1114">
                  <c:v>32220</c:v>
                </c:pt>
                <c:pt idx="1115">
                  <c:v>32223</c:v>
                </c:pt>
                <c:pt idx="1116">
                  <c:v>32224</c:v>
                </c:pt>
                <c:pt idx="1117">
                  <c:v>32225</c:v>
                </c:pt>
                <c:pt idx="1118">
                  <c:v>32226</c:v>
                </c:pt>
                <c:pt idx="1119">
                  <c:v>32227</c:v>
                </c:pt>
                <c:pt idx="1120">
                  <c:v>32230</c:v>
                </c:pt>
                <c:pt idx="1121">
                  <c:v>32231</c:v>
                </c:pt>
                <c:pt idx="1122">
                  <c:v>32232</c:v>
                </c:pt>
                <c:pt idx="1123">
                  <c:v>32233</c:v>
                </c:pt>
                <c:pt idx="1124">
                  <c:v>32234</c:v>
                </c:pt>
                <c:pt idx="1125">
                  <c:v>32237</c:v>
                </c:pt>
                <c:pt idx="1126">
                  <c:v>32238</c:v>
                </c:pt>
                <c:pt idx="1127">
                  <c:v>32239</c:v>
                </c:pt>
                <c:pt idx="1128">
                  <c:v>32240</c:v>
                </c:pt>
                <c:pt idx="1129">
                  <c:v>32241</c:v>
                </c:pt>
                <c:pt idx="1130">
                  <c:v>32244</c:v>
                </c:pt>
                <c:pt idx="1131">
                  <c:v>32245</c:v>
                </c:pt>
                <c:pt idx="1132">
                  <c:v>32246</c:v>
                </c:pt>
                <c:pt idx="1133">
                  <c:v>32247</c:v>
                </c:pt>
                <c:pt idx="1134">
                  <c:v>32248</c:v>
                </c:pt>
                <c:pt idx="1135">
                  <c:v>32251</c:v>
                </c:pt>
                <c:pt idx="1136">
                  <c:v>32252</c:v>
                </c:pt>
                <c:pt idx="1137">
                  <c:v>32253</c:v>
                </c:pt>
                <c:pt idx="1138">
                  <c:v>32254</c:v>
                </c:pt>
                <c:pt idx="1139">
                  <c:v>32255</c:v>
                </c:pt>
                <c:pt idx="1140">
                  <c:v>32258</c:v>
                </c:pt>
                <c:pt idx="1141">
                  <c:v>32259</c:v>
                </c:pt>
                <c:pt idx="1142">
                  <c:v>32260</c:v>
                </c:pt>
                <c:pt idx="1143">
                  <c:v>32261</c:v>
                </c:pt>
                <c:pt idx="1144">
                  <c:v>32262</c:v>
                </c:pt>
                <c:pt idx="1145">
                  <c:v>32265</c:v>
                </c:pt>
                <c:pt idx="1146">
                  <c:v>32266</c:v>
                </c:pt>
                <c:pt idx="1147">
                  <c:v>32267</c:v>
                </c:pt>
                <c:pt idx="1148">
                  <c:v>32268</c:v>
                </c:pt>
                <c:pt idx="1149">
                  <c:v>32269</c:v>
                </c:pt>
                <c:pt idx="1150">
                  <c:v>32272</c:v>
                </c:pt>
                <c:pt idx="1151">
                  <c:v>32273</c:v>
                </c:pt>
                <c:pt idx="1152">
                  <c:v>32274</c:v>
                </c:pt>
                <c:pt idx="1153">
                  <c:v>32275</c:v>
                </c:pt>
                <c:pt idx="1154">
                  <c:v>32276</c:v>
                </c:pt>
                <c:pt idx="1155">
                  <c:v>32279</c:v>
                </c:pt>
                <c:pt idx="1156">
                  <c:v>32280</c:v>
                </c:pt>
                <c:pt idx="1157">
                  <c:v>32281</c:v>
                </c:pt>
                <c:pt idx="1158">
                  <c:v>32282</c:v>
                </c:pt>
                <c:pt idx="1159">
                  <c:v>32283</c:v>
                </c:pt>
                <c:pt idx="1160">
                  <c:v>32286</c:v>
                </c:pt>
                <c:pt idx="1161">
                  <c:v>32287</c:v>
                </c:pt>
                <c:pt idx="1162">
                  <c:v>32288</c:v>
                </c:pt>
                <c:pt idx="1163">
                  <c:v>32289</c:v>
                </c:pt>
                <c:pt idx="1164">
                  <c:v>32290</c:v>
                </c:pt>
                <c:pt idx="1165">
                  <c:v>32293</c:v>
                </c:pt>
                <c:pt idx="1166">
                  <c:v>32294</c:v>
                </c:pt>
                <c:pt idx="1167">
                  <c:v>32295</c:v>
                </c:pt>
                <c:pt idx="1168">
                  <c:v>32296</c:v>
                </c:pt>
                <c:pt idx="1169">
                  <c:v>32297</c:v>
                </c:pt>
                <c:pt idx="1170">
                  <c:v>32300</c:v>
                </c:pt>
                <c:pt idx="1171">
                  <c:v>32301</c:v>
                </c:pt>
                <c:pt idx="1172">
                  <c:v>32302</c:v>
                </c:pt>
                <c:pt idx="1173">
                  <c:v>32303</c:v>
                </c:pt>
                <c:pt idx="1174">
                  <c:v>32304</c:v>
                </c:pt>
                <c:pt idx="1175">
                  <c:v>32307</c:v>
                </c:pt>
                <c:pt idx="1176">
                  <c:v>32308</c:v>
                </c:pt>
                <c:pt idx="1177">
                  <c:v>32309</c:v>
                </c:pt>
                <c:pt idx="1178">
                  <c:v>32310</c:v>
                </c:pt>
                <c:pt idx="1179">
                  <c:v>32311</c:v>
                </c:pt>
                <c:pt idx="1180">
                  <c:v>32314</c:v>
                </c:pt>
                <c:pt idx="1181">
                  <c:v>32315</c:v>
                </c:pt>
                <c:pt idx="1182">
                  <c:v>32316</c:v>
                </c:pt>
                <c:pt idx="1183">
                  <c:v>32317</c:v>
                </c:pt>
                <c:pt idx="1184">
                  <c:v>32318</c:v>
                </c:pt>
                <c:pt idx="1185">
                  <c:v>32321</c:v>
                </c:pt>
                <c:pt idx="1186">
                  <c:v>32322</c:v>
                </c:pt>
                <c:pt idx="1187">
                  <c:v>32323</c:v>
                </c:pt>
                <c:pt idx="1188">
                  <c:v>32324</c:v>
                </c:pt>
                <c:pt idx="1189">
                  <c:v>32325</c:v>
                </c:pt>
                <c:pt idx="1190">
                  <c:v>32328</c:v>
                </c:pt>
                <c:pt idx="1191">
                  <c:v>32329</c:v>
                </c:pt>
                <c:pt idx="1192">
                  <c:v>32330</c:v>
                </c:pt>
                <c:pt idx="1193">
                  <c:v>32331</c:v>
                </c:pt>
                <c:pt idx="1194">
                  <c:v>32332</c:v>
                </c:pt>
                <c:pt idx="1195">
                  <c:v>32335</c:v>
                </c:pt>
                <c:pt idx="1196">
                  <c:v>32336</c:v>
                </c:pt>
                <c:pt idx="1197">
                  <c:v>32337</c:v>
                </c:pt>
                <c:pt idx="1198">
                  <c:v>32338</c:v>
                </c:pt>
                <c:pt idx="1199">
                  <c:v>32339</c:v>
                </c:pt>
                <c:pt idx="1200">
                  <c:v>32342</c:v>
                </c:pt>
                <c:pt idx="1201">
                  <c:v>32343</c:v>
                </c:pt>
                <c:pt idx="1202">
                  <c:v>32344</c:v>
                </c:pt>
                <c:pt idx="1203">
                  <c:v>32345</c:v>
                </c:pt>
                <c:pt idx="1204">
                  <c:v>32346</c:v>
                </c:pt>
                <c:pt idx="1205">
                  <c:v>32349</c:v>
                </c:pt>
                <c:pt idx="1206">
                  <c:v>32350</c:v>
                </c:pt>
                <c:pt idx="1207">
                  <c:v>32351</c:v>
                </c:pt>
                <c:pt idx="1208">
                  <c:v>32352</c:v>
                </c:pt>
                <c:pt idx="1209">
                  <c:v>32353</c:v>
                </c:pt>
                <c:pt idx="1210">
                  <c:v>32356</c:v>
                </c:pt>
                <c:pt idx="1211">
                  <c:v>32357</c:v>
                </c:pt>
                <c:pt idx="1212">
                  <c:v>32358</c:v>
                </c:pt>
                <c:pt idx="1213">
                  <c:v>32359</c:v>
                </c:pt>
                <c:pt idx="1214">
                  <c:v>32360</c:v>
                </c:pt>
                <c:pt idx="1215">
                  <c:v>32363</c:v>
                </c:pt>
                <c:pt idx="1216">
                  <c:v>32364</c:v>
                </c:pt>
                <c:pt idx="1217">
                  <c:v>32365</c:v>
                </c:pt>
                <c:pt idx="1218">
                  <c:v>32366</c:v>
                </c:pt>
                <c:pt idx="1219">
                  <c:v>32367</c:v>
                </c:pt>
                <c:pt idx="1220">
                  <c:v>32370</c:v>
                </c:pt>
                <c:pt idx="1221">
                  <c:v>32371</c:v>
                </c:pt>
                <c:pt idx="1222">
                  <c:v>32372</c:v>
                </c:pt>
                <c:pt idx="1223">
                  <c:v>32373</c:v>
                </c:pt>
                <c:pt idx="1224">
                  <c:v>32374</c:v>
                </c:pt>
                <c:pt idx="1225">
                  <c:v>32377</c:v>
                </c:pt>
                <c:pt idx="1226">
                  <c:v>32378</c:v>
                </c:pt>
                <c:pt idx="1227">
                  <c:v>32379</c:v>
                </c:pt>
                <c:pt idx="1228">
                  <c:v>32380</c:v>
                </c:pt>
                <c:pt idx="1229">
                  <c:v>32381</c:v>
                </c:pt>
                <c:pt idx="1230">
                  <c:v>32384</c:v>
                </c:pt>
                <c:pt idx="1231">
                  <c:v>32385</c:v>
                </c:pt>
                <c:pt idx="1232">
                  <c:v>32386</c:v>
                </c:pt>
                <c:pt idx="1233">
                  <c:v>32387</c:v>
                </c:pt>
                <c:pt idx="1234">
                  <c:v>32388</c:v>
                </c:pt>
                <c:pt idx="1235">
                  <c:v>32391</c:v>
                </c:pt>
                <c:pt idx="1236">
                  <c:v>32392</c:v>
                </c:pt>
                <c:pt idx="1237">
                  <c:v>32393</c:v>
                </c:pt>
                <c:pt idx="1238">
                  <c:v>32394</c:v>
                </c:pt>
                <c:pt idx="1239">
                  <c:v>32395</c:v>
                </c:pt>
                <c:pt idx="1240">
                  <c:v>32398</c:v>
                </c:pt>
                <c:pt idx="1241">
                  <c:v>32399</c:v>
                </c:pt>
                <c:pt idx="1242">
                  <c:v>32400</c:v>
                </c:pt>
                <c:pt idx="1243">
                  <c:v>32401</c:v>
                </c:pt>
                <c:pt idx="1244">
                  <c:v>32402</c:v>
                </c:pt>
                <c:pt idx="1245">
                  <c:v>32405</c:v>
                </c:pt>
                <c:pt idx="1246">
                  <c:v>32406</c:v>
                </c:pt>
                <c:pt idx="1247">
                  <c:v>32407</c:v>
                </c:pt>
                <c:pt idx="1248">
                  <c:v>32408</c:v>
                </c:pt>
                <c:pt idx="1249">
                  <c:v>32409</c:v>
                </c:pt>
                <c:pt idx="1250">
                  <c:v>32412</c:v>
                </c:pt>
                <c:pt idx="1251">
                  <c:v>32413</c:v>
                </c:pt>
                <c:pt idx="1252">
                  <c:v>32414</c:v>
                </c:pt>
                <c:pt idx="1253">
                  <c:v>32415</c:v>
                </c:pt>
                <c:pt idx="1254">
                  <c:v>32416</c:v>
                </c:pt>
                <c:pt idx="1255">
                  <c:v>32419</c:v>
                </c:pt>
                <c:pt idx="1256">
                  <c:v>32420</c:v>
                </c:pt>
                <c:pt idx="1257">
                  <c:v>32421</c:v>
                </c:pt>
                <c:pt idx="1258">
                  <c:v>32422</c:v>
                </c:pt>
                <c:pt idx="1259">
                  <c:v>32423</c:v>
                </c:pt>
                <c:pt idx="1260">
                  <c:v>32426</c:v>
                </c:pt>
                <c:pt idx="1261">
                  <c:v>32427</c:v>
                </c:pt>
                <c:pt idx="1262">
                  <c:v>32428</c:v>
                </c:pt>
                <c:pt idx="1263">
                  <c:v>32429</c:v>
                </c:pt>
                <c:pt idx="1264">
                  <c:v>32430</c:v>
                </c:pt>
                <c:pt idx="1265">
                  <c:v>32433</c:v>
                </c:pt>
                <c:pt idx="1266">
                  <c:v>32434</c:v>
                </c:pt>
                <c:pt idx="1267">
                  <c:v>32435</c:v>
                </c:pt>
                <c:pt idx="1268">
                  <c:v>32436</c:v>
                </c:pt>
                <c:pt idx="1269">
                  <c:v>32437</c:v>
                </c:pt>
                <c:pt idx="1270">
                  <c:v>32440</c:v>
                </c:pt>
                <c:pt idx="1271">
                  <c:v>32441</c:v>
                </c:pt>
                <c:pt idx="1272">
                  <c:v>32442</c:v>
                </c:pt>
                <c:pt idx="1273">
                  <c:v>32443</c:v>
                </c:pt>
                <c:pt idx="1274">
                  <c:v>32444</c:v>
                </c:pt>
                <c:pt idx="1275">
                  <c:v>32447</c:v>
                </c:pt>
                <c:pt idx="1276">
                  <c:v>32448</c:v>
                </c:pt>
                <c:pt idx="1277">
                  <c:v>32449</c:v>
                </c:pt>
                <c:pt idx="1278">
                  <c:v>32450</c:v>
                </c:pt>
                <c:pt idx="1279">
                  <c:v>32451</c:v>
                </c:pt>
                <c:pt idx="1280">
                  <c:v>32454</c:v>
                </c:pt>
                <c:pt idx="1281">
                  <c:v>32455</c:v>
                </c:pt>
                <c:pt idx="1282">
                  <c:v>32456</c:v>
                </c:pt>
                <c:pt idx="1283">
                  <c:v>32457</c:v>
                </c:pt>
                <c:pt idx="1284">
                  <c:v>32458</c:v>
                </c:pt>
                <c:pt idx="1285">
                  <c:v>32461</c:v>
                </c:pt>
                <c:pt idx="1286">
                  <c:v>32462</c:v>
                </c:pt>
                <c:pt idx="1287">
                  <c:v>32463</c:v>
                </c:pt>
                <c:pt idx="1288">
                  <c:v>32464</c:v>
                </c:pt>
                <c:pt idx="1289">
                  <c:v>32465</c:v>
                </c:pt>
                <c:pt idx="1290">
                  <c:v>32468</c:v>
                </c:pt>
                <c:pt idx="1291">
                  <c:v>32469</c:v>
                </c:pt>
                <c:pt idx="1292">
                  <c:v>32470</c:v>
                </c:pt>
                <c:pt idx="1293">
                  <c:v>32471</c:v>
                </c:pt>
                <c:pt idx="1294">
                  <c:v>32472</c:v>
                </c:pt>
                <c:pt idx="1295">
                  <c:v>32475</c:v>
                </c:pt>
                <c:pt idx="1296">
                  <c:v>32476</c:v>
                </c:pt>
                <c:pt idx="1297">
                  <c:v>32477</c:v>
                </c:pt>
                <c:pt idx="1298">
                  <c:v>32478</c:v>
                </c:pt>
                <c:pt idx="1299">
                  <c:v>32479</c:v>
                </c:pt>
                <c:pt idx="1300">
                  <c:v>32482</c:v>
                </c:pt>
                <c:pt idx="1301">
                  <c:v>32483</c:v>
                </c:pt>
                <c:pt idx="1302">
                  <c:v>32484</c:v>
                </c:pt>
                <c:pt idx="1303">
                  <c:v>32485</c:v>
                </c:pt>
                <c:pt idx="1304">
                  <c:v>32486</c:v>
                </c:pt>
                <c:pt idx="1305">
                  <c:v>32489</c:v>
                </c:pt>
                <c:pt idx="1306">
                  <c:v>32490</c:v>
                </c:pt>
                <c:pt idx="1307">
                  <c:v>32491</c:v>
                </c:pt>
                <c:pt idx="1308">
                  <c:v>32492</c:v>
                </c:pt>
                <c:pt idx="1309">
                  <c:v>32493</c:v>
                </c:pt>
                <c:pt idx="1310">
                  <c:v>32496</c:v>
                </c:pt>
                <c:pt idx="1311">
                  <c:v>32497</c:v>
                </c:pt>
                <c:pt idx="1312">
                  <c:v>32498</c:v>
                </c:pt>
                <c:pt idx="1313">
                  <c:v>32499</c:v>
                </c:pt>
                <c:pt idx="1314">
                  <c:v>32500</c:v>
                </c:pt>
                <c:pt idx="1315">
                  <c:v>32503</c:v>
                </c:pt>
                <c:pt idx="1316">
                  <c:v>32504</c:v>
                </c:pt>
                <c:pt idx="1317">
                  <c:v>32505</c:v>
                </c:pt>
                <c:pt idx="1318">
                  <c:v>32506</c:v>
                </c:pt>
                <c:pt idx="1319">
                  <c:v>32507</c:v>
                </c:pt>
                <c:pt idx="1320">
                  <c:v>32510</c:v>
                </c:pt>
                <c:pt idx="1321">
                  <c:v>32511</c:v>
                </c:pt>
                <c:pt idx="1322">
                  <c:v>32512</c:v>
                </c:pt>
                <c:pt idx="1323">
                  <c:v>32513</c:v>
                </c:pt>
                <c:pt idx="1324">
                  <c:v>32514</c:v>
                </c:pt>
                <c:pt idx="1325">
                  <c:v>32517</c:v>
                </c:pt>
                <c:pt idx="1326">
                  <c:v>32518</c:v>
                </c:pt>
                <c:pt idx="1327">
                  <c:v>32519</c:v>
                </c:pt>
                <c:pt idx="1328">
                  <c:v>32520</c:v>
                </c:pt>
                <c:pt idx="1329">
                  <c:v>32521</c:v>
                </c:pt>
                <c:pt idx="1330">
                  <c:v>32524</c:v>
                </c:pt>
                <c:pt idx="1331">
                  <c:v>32525</c:v>
                </c:pt>
                <c:pt idx="1332">
                  <c:v>32526</c:v>
                </c:pt>
                <c:pt idx="1333">
                  <c:v>32527</c:v>
                </c:pt>
                <c:pt idx="1334">
                  <c:v>32528</c:v>
                </c:pt>
                <c:pt idx="1335">
                  <c:v>32531</c:v>
                </c:pt>
                <c:pt idx="1336">
                  <c:v>32532</c:v>
                </c:pt>
                <c:pt idx="1337">
                  <c:v>32533</c:v>
                </c:pt>
                <c:pt idx="1338">
                  <c:v>32534</c:v>
                </c:pt>
                <c:pt idx="1339">
                  <c:v>32535</c:v>
                </c:pt>
                <c:pt idx="1340">
                  <c:v>32538</c:v>
                </c:pt>
                <c:pt idx="1341">
                  <c:v>32539</c:v>
                </c:pt>
                <c:pt idx="1342">
                  <c:v>32540</c:v>
                </c:pt>
                <c:pt idx="1343">
                  <c:v>32541</c:v>
                </c:pt>
                <c:pt idx="1344">
                  <c:v>32542</c:v>
                </c:pt>
                <c:pt idx="1345">
                  <c:v>32545</c:v>
                </c:pt>
                <c:pt idx="1346">
                  <c:v>32546</c:v>
                </c:pt>
                <c:pt idx="1347">
                  <c:v>32547</c:v>
                </c:pt>
                <c:pt idx="1348">
                  <c:v>32548</c:v>
                </c:pt>
                <c:pt idx="1349">
                  <c:v>32549</c:v>
                </c:pt>
                <c:pt idx="1350">
                  <c:v>32552</c:v>
                </c:pt>
                <c:pt idx="1351">
                  <c:v>32553</c:v>
                </c:pt>
                <c:pt idx="1352">
                  <c:v>32554</c:v>
                </c:pt>
                <c:pt idx="1353">
                  <c:v>32555</c:v>
                </c:pt>
                <c:pt idx="1354">
                  <c:v>32556</c:v>
                </c:pt>
                <c:pt idx="1355">
                  <c:v>32559</c:v>
                </c:pt>
                <c:pt idx="1356">
                  <c:v>32560</c:v>
                </c:pt>
                <c:pt idx="1357">
                  <c:v>32561</c:v>
                </c:pt>
                <c:pt idx="1358">
                  <c:v>32562</c:v>
                </c:pt>
                <c:pt idx="1359">
                  <c:v>32563</c:v>
                </c:pt>
                <c:pt idx="1360">
                  <c:v>32566</c:v>
                </c:pt>
                <c:pt idx="1361">
                  <c:v>32567</c:v>
                </c:pt>
                <c:pt idx="1362">
                  <c:v>32568</c:v>
                </c:pt>
                <c:pt idx="1363">
                  <c:v>32569</c:v>
                </c:pt>
                <c:pt idx="1364">
                  <c:v>32570</c:v>
                </c:pt>
                <c:pt idx="1365">
                  <c:v>32573</c:v>
                </c:pt>
                <c:pt idx="1366">
                  <c:v>32574</c:v>
                </c:pt>
                <c:pt idx="1367">
                  <c:v>32575</c:v>
                </c:pt>
                <c:pt idx="1368">
                  <c:v>32576</c:v>
                </c:pt>
                <c:pt idx="1369">
                  <c:v>32577</c:v>
                </c:pt>
                <c:pt idx="1370">
                  <c:v>32580</c:v>
                </c:pt>
                <c:pt idx="1371">
                  <c:v>32581</c:v>
                </c:pt>
                <c:pt idx="1372">
                  <c:v>32582</c:v>
                </c:pt>
                <c:pt idx="1373">
                  <c:v>32583</c:v>
                </c:pt>
                <c:pt idx="1374">
                  <c:v>32584</c:v>
                </c:pt>
                <c:pt idx="1375">
                  <c:v>32587</c:v>
                </c:pt>
                <c:pt idx="1376">
                  <c:v>32588</c:v>
                </c:pt>
                <c:pt idx="1377">
                  <c:v>32589</c:v>
                </c:pt>
                <c:pt idx="1378">
                  <c:v>32590</c:v>
                </c:pt>
                <c:pt idx="1379">
                  <c:v>32591</c:v>
                </c:pt>
                <c:pt idx="1380">
                  <c:v>32594</c:v>
                </c:pt>
                <c:pt idx="1381">
                  <c:v>32595</c:v>
                </c:pt>
                <c:pt idx="1382">
                  <c:v>32596</c:v>
                </c:pt>
                <c:pt idx="1383">
                  <c:v>32597</c:v>
                </c:pt>
                <c:pt idx="1384">
                  <c:v>32598</c:v>
                </c:pt>
                <c:pt idx="1385">
                  <c:v>32601</c:v>
                </c:pt>
                <c:pt idx="1386">
                  <c:v>32602</c:v>
                </c:pt>
                <c:pt idx="1387">
                  <c:v>32603</c:v>
                </c:pt>
                <c:pt idx="1388">
                  <c:v>32604</c:v>
                </c:pt>
                <c:pt idx="1389">
                  <c:v>32605</c:v>
                </c:pt>
                <c:pt idx="1390">
                  <c:v>32608</c:v>
                </c:pt>
                <c:pt idx="1391">
                  <c:v>32609</c:v>
                </c:pt>
                <c:pt idx="1392">
                  <c:v>32610</c:v>
                </c:pt>
                <c:pt idx="1393">
                  <c:v>32611</c:v>
                </c:pt>
                <c:pt idx="1394">
                  <c:v>32612</c:v>
                </c:pt>
                <c:pt idx="1395">
                  <c:v>32615</c:v>
                </c:pt>
                <c:pt idx="1396">
                  <c:v>32616</c:v>
                </c:pt>
                <c:pt idx="1397">
                  <c:v>32617</c:v>
                </c:pt>
                <c:pt idx="1398">
                  <c:v>32618</c:v>
                </c:pt>
                <c:pt idx="1399">
                  <c:v>32619</c:v>
                </c:pt>
                <c:pt idx="1400">
                  <c:v>32622</c:v>
                </c:pt>
                <c:pt idx="1401">
                  <c:v>32623</c:v>
                </c:pt>
                <c:pt idx="1402">
                  <c:v>32624</c:v>
                </c:pt>
                <c:pt idx="1403">
                  <c:v>32625</c:v>
                </c:pt>
                <c:pt idx="1404">
                  <c:v>32626</c:v>
                </c:pt>
                <c:pt idx="1405">
                  <c:v>32629</c:v>
                </c:pt>
                <c:pt idx="1406">
                  <c:v>32630</c:v>
                </c:pt>
                <c:pt idx="1407">
                  <c:v>32631</c:v>
                </c:pt>
                <c:pt idx="1408">
                  <c:v>32632</c:v>
                </c:pt>
                <c:pt idx="1409">
                  <c:v>32633</c:v>
                </c:pt>
                <c:pt idx="1410">
                  <c:v>32636</c:v>
                </c:pt>
                <c:pt idx="1411">
                  <c:v>32637</c:v>
                </c:pt>
                <c:pt idx="1412">
                  <c:v>32638</c:v>
                </c:pt>
                <c:pt idx="1413">
                  <c:v>32639</c:v>
                </c:pt>
                <c:pt idx="1414">
                  <c:v>32640</c:v>
                </c:pt>
                <c:pt idx="1415">
                  <c:v>32643</c:v>
                </c:pt>
                <c:pt idx="1416">
                  <c:v>32644</c:v>
                </c:pt>
                <c:pt idx="1417">
                  <c:v>32645</c:v>
                </c:pt>
                <c:pt idx="1418">
                  <c:v>32646</c:v>
                </c:pt>
                <c:pt idx="1419">
                  <c:v>32647</c:v>
                </c:pt>
                <c:pt idx="1420">
                  <c:v>32650</c:v>
                </c:pt>
                <c:pt idx="1421">
                  <c:v>32651</c:v>
                </c:pt>
                <c:pt idx="1422">
                  <c:v>32652</c:v>
                </c:pt>
                <c:pt idx="1423">
                  <c:v>32653</c:v>
                </c:pt>
                <c:pt idx="1424">
                  <c:v>32654</c:v>
                </c:pt>
                <c:pt idx="1425">
                  <c:v>32657</c:v>
                </c:pt>
                <c:pt idx="1426">
                  <c:v>32658</c:v>
                </c:pt>
                <c:pt idx="1427">
                  <c:v>32659</c:v>
                </c:pt>
                <c:pt idx="1428">
                  <c:v>32660</c:v>
                </c:pt>
                <c:pt idx="1429">
                  <c:v>32661</c:v>
                </c:pt>
                <c:pt idx="1430">
                  <c:v>32664</c:v>
                </c:pt>
                <c:pt idx="1431">
                  <c:v>32665</c:v>
                </c:pt>
                <c:pt idx="1432">
                  <c:v>32666</c:v>
                </c:pt>
                <c:pt idx="1433">
                  <c:v>32667</c:v>
                </c:pt>
                <c:pt idx="1434">
                  <c:v>32668</c:v>
                </c:pt>
                <c:pt idx="1435">
                  <c:v>32671</c:v>
                </c:pt>
                <c:pt idx="1436">
                  <c:v>32672</c:v>
                </c:pt>
                <c:pt idx="1437">
                  <c:v>32673</c:v>
                </c:pt>
                <c:pt idx="1438">
                  <c:v>32674</c:v>
                </c:pt>
                <c:pt idx="1439">
                  <c:v>32675</c:v>
                </c:pt>
                <c:pt idx="1440">
                  <c:v>32678</c:v>
                </c:pt>
                <c:pt idx="1441">
                  <c:v>32679</c:v>
                </c:pt>
                <c:pt idx="1442">
                  <c:v>32680</c:v>
                </c:pt>
                <c:pt idx="1443">
                  <c:v>32681</c:v>
                </c:pt>
                <c:pt idx="1444">
                  <c:v>32682</c:v>
                </c:pt>
                <c:pt idx="1445">
                  <c:v>32685</c:v>
                </c:pt>
                <c:pt idx="1446">
                  <c:v>32686</c:v>
                </c:pt>
                <c:pt idx="1447">
                  <c:v>32687</c:v>
                </c:pt>
                <c:pt idx="1448">
                  <c:v>32688</c:v>
                </c:pt>
                <c:pt idx="1449">
                  <c:v>32689</c:v>
                </c:pt>
                <c:pt idx="1450">
                  <c:v>32692</c:v>
                </c:pt>
                <c:pt idx="1451">
                  <c:v>32693</c:v>
                </c:pt>
                <c:pt idx="1452">
                  <c:v>32694</c:v>
                </c:pt>
                <c:pt idx="1453">
                  <c:v>32695</c:v>
                </c:pt>
                <c:pt idx="1454">
                  <c:v>32696</c:v>
                </c:pt>
                <c:pt idx="1455">
                  <c:v>32699</c:v>
                </c:pt>
                <c:pt idx="1456">
                  <c:v>32700</c:v>
                </c:pt>
                <c:pt idx="1457">
                  <c:v>32701</c:v>
                </c:pt>
                <c:pt idx="1458">
                  <c:v>32702</c:v>
                </c:pt>
                <c:pt idx="1459">
                  <c:v>32703</c:v>
                </c:pt>
                <c:pt idx="1460">
                  <c:v>32706</c:v>
                </c:pt>
                <c:pt idx="1461">
                  <c:v>32707</c:v>
                </c:pt>
                <c:pt idx="1462">
                  <c:v>32708</c:v>
                </c:pt>
                <c:pt idx="1463">
                  <c:v>32709</c:v>
                </c:pt>
                <c:pt idx="1464">
                  <c:v>32710</c:v>
                </c:pt>
                <c:pt idx="1465">
                  <c:v>32713</c:v>
                </c:pt>
                <c:pt idx="1466">
                  <c:v>32714</c:v>
                </c:pt>
                <c:pt idx="1467">
                  <c:v>32715</c:v>
                </c:pt>
                <c:pt idx="1468">
                  <c:v>32716</c:v>
                </c:pt>
                <c:pt idx="1469">
                  <c:v>32717</c:v>
                </c:pt>
                <c:pt idx="1470">
                  <c:v>32720</c:v>
                </c:pt>
                <c:pt idx="1471">
                  <c:v>32721</c:v>
                </c:pt>
                <c:pt idx="1472">
                  <c:v>32722</c:v>
                </c:pt>
                <c:pt idx="1473">
                  <c:v>32723</c:v>
                </c:pt>
                <c:pt idx="1474">
                  <c:v>32724</c:v>
                </c:pt>
                <c:pt idx="1475">
                  <c:v>32727</c:v>
                </c:pt>
                <c:pt idx="1476">
                  <c:v>32728</c:v>
                </c:pt>
                <c:pt idx="1477">
                  <c:v>32729</c:v>
                </c:pt>
                <c:pt idx="1478">
                  <c:v>32730</c:v>
                </c:pt>
                <c:pt idx="1479">
                  <c:v>32731</c:v>
                </c:pt>
                <c:pt idx="1480">
                  <c:v>32734</c:v>
                </c:pt>
                <c:pt idx="1481">
                  <c:v>32735</c:v>
                </c:pt>
                <c:pt idx="1482">
                  <c:v>32736</c:v>
                </c:pt>
                <c:pt idx="1483">
                  <c:v>32737</c:v>
                </c:pt>
                <c:pt idx="1484">
                  <c:v>32738</c:v>
                </c:pt>
                <c:pt idx="1485">
                  <c:v>32741</c:v>
                </c:pt>
                <c:pt idx="1486">
                  <c:v>32742</c:v>
                </c:pt>
                <c:pt idx="1487">
                  <c:v>32743</c:v>
                </c:pt>
                <c:pt idx="1488">
                  <c:v>32744</c:v>
                </c:pt>
                <c:pt idx="1489">
                  <c:v>32745</c:v>
                </c:pt>
                <c:pt idx="1490">
                  <c:v>32748</c:v>
                </c:pt>
                <c:pt idx="1491">
                  <c:v>32749</c:v>
                </c:pt>
                <c:pt idx="1492">
                  <c:v>32750</c:v>
                </c:pt>
                <c:pt idx="1493">
                  <c:v>32751</c:v>
                </c:pt>
                <c:pt idx="1494">
                  <c:v>32752</c:v>
                </c:pt>
                <c:pt idx="1495">
                  <c:v>32755</c:v>
                </c:pt>
                <c:pt idx="1496">
                  <c:v>32756</c:v>
                </c:pt>
                <c:pt idx="1497">
                  <c:v>32757</c:v>
                </c:pt>
                <c:pt idx="1498">
                  <c:v>32758</c:v>
                </c:pt>
                <c:pt idx="1499">
                  <c:v>32759</c:v>
                </c:pt>
                <c:pt idx="1500">
                  <c:v>32762</c:v>
                </c:pt>
                <c:pt idx="1501">
                  <c:v>32763</c:v>
                </c:pt>
                <c:pt idx="1502">
                  <c:v>32764</c:v>
                </c:pt>
                <c:pt idx="1503">
                  <c:v>32765</c:v>
                </c:pt>
                <c:pt idx="1504">
                  <c:v>32766</c:v>
                </c:pt>
                <c:pt idx="1505">
                  <c:v>32769</c:v>
                </c:pt>
                <c:pt idx="1506">
                  <c:v>32770</c:v>
                </c:pt>
                <c:pt idx="1507">
                  <c:v>32771</c:v>
                </c:pt>
                <c:pt idx="1508">
                  <c:v>32772</c:v>
                </c:pt>
                <c:pt idx="1509">
                  <c:v>32773</c:v>
                </c:pt>
                <c:pt idx="1510">
                  <c:v>32776</c:v>
                </c:pt>
                <c:pt idx="1511">
                  <c:v>32777</c:v>
                </c:pt>
                <c:pt idx="1512">
                  <c:v>32778</c:v>
                </c:pt>
                <c:pt idx="1513">
                  <c:v>32779</c:v>
                </c:pt>
                <c:pt idx="1514">
                  <c:v>32780</c:v>
                </c:pt>
                <c:pt idx="1515">
                  <c:v>32783</c:v>
                </c:pt>
                <c:pt idx="1516">
                  <c:v>32784</c:v>
                </c:pt>
                <c:pt idx="1517">
                  <c:v>32785</c:v>
                </c:pt>
                <c:pt idx="1518">
                  <c:v>32786</c:v>
                </c:pt>
                <c:pt idx="1519">
                  <c:v>32787</c:v>
                </c:pt>
                <c:pt idx="1520">
                  <c:v>32790</c:v>
                </c:pt>
                <c:pt idx="1521">
                  <c:v>32791</c:v>
                </c:pt>
                <c:pt idx="1522">
                  <c:v>32792</c:v>
                </c:pt>
                <c:pt idx="1523">
                  <c:v>32793</c:v>
                </c:pt>
                <c:pt idx="1524">
                  <c:v>32794</c:v>
                </c:pt>
                <c:pt idx="1525">
                  <c:v>32797</c:v>
                </c:pt>
                <c:pt idx="1526">
                  <c:v>32798</c:v>
                </c:pt>
                <c:pt idx="1527">
                  <c:v>32799</c:v>
                </c:pt>
                <c:pt idx="1528">
                  <c:v>32800</c:v>
                </c:pt>
                <c:pt idx="1529">
                  <c:v>32801</c:v>
                </c:pt>
                <c:pt idx="1530">
                  <c:v>32804</c:v>
                </c:pt>
                <c:pt idx="1531">
                  <c:v>32805</c:v>
                </c:pt>
                <c:pt idx="1532">
                  <c:v>32806</c:v>
                </c:pt>
                <c:pt idx="1533">
                  <c:v>32807</c:v>
                </c:pt>
                <c:pt idx="1534">
                  <c:v>32808</c:v>
                </c:pt>
                <c:pt idx="1535">
                  <c:v>32811</c:v>
                </c:pt>
                <c:pt idx="1536">
                  <c:v>32812</c:v>
                </c:pt>
                <c:pt idx="1537">
                  <c:v>32813</c:v>
                </c:pt>
                <c:pt idx="1538">
                  <c:v>32814</c:v>
                </c:pt>
                <c:pt idx="1539">
                  <c:v>32815</c:v>
                </c:pt>
                <c:pt idx="1540">
                  <c:v>32818</c:v>
                </c:pt>
                <c:pt idx="1541">
                  <c:v>32819</c:v>
                </c:pt>
                <c:pt idx="1542">
                  <c:v>32820</c:v>
                </c:pt>
                <c:pt idx="1543">
                  <c:v>32821</c:v>
                </c:pt>
                <c:pt idx="1544">
                  <c:v>32822</c:v>
                </c:pt>
                <c:pt idx="1545">
                  <c:v>32825</c:v>
                </c:pt>
                <c:pt idx="1546">
                  <c:v>32826</c:v>
                </c:pt>
                <c:pt idx="1547">
                  <c:v>32827</c:v>
                </c:pt>
                <c:pt idx="1548">
                  <c:v>32828</c:v>
                </c:pt>
                <c:pt idx="1549">
                  <c:v>32829</c:v>
                </c:pt>
                <c:pt idx="1550">
                  <c:v>32832</c:v>
                </c:pt>
                <c:pt idx="1551">
                  <c:v>32833</c:v>
                </c:pt>
                <c:pt idx="1552">
                  <c:v>32834</c:v>
                </c:pt>
                <c:pt idx="1553">
                  <c:v>32835</c:v>
                </c:pt>
                <c:pt idx="1554">
                  <c:v>32836</c:v>
                </c:pt>
                <c:pt idx="1555">
                  <c:v>32839</c:v>
                </c:pt>
                <c:pt idx="1556">
                  <c:v>32840</c:v>
                </c:pt>
                <c:pt idx="1557">
                  <c:v>32841</c:v>
                </c:pt>
                <c:pt idx="1558">
                  <c:v>32842</c:v>
                </c:pt>
                <c:pt idx="1559">
                  <c:v>32843</c:v>
                </c:pt>
                <c:pt idx="1560">
                  <c:v>32846</c:v>
                </c:pt>
                <c:pt idx="1561">
                  <c:v>32847</c:v>
                </c:pt>
                <c:pt idx="1562">
                  <c:v>32848</c:v>
                </c:pt>
                <c:pt idx="1563">
                  <c:v>32849</c:v>
                </c:pt>
                <c:pt idx="1564">
                  <c:v>32850</c:v>
                </c:pt>
                <c:pt idx="1565">
                  <c:v>32853</c:v>
                </c:pt>
                <c:pt idx="1566">
                  <c:v>32854</c:v>
                </c:pt>
                <c:pt idx="1567">
                  <c:v>32855</c:v>
                </c:pt>
                <c:pt idx="1568">
                  <c:v>32856</c:v>
                </c:pt>
                <c:pt idx="1569">
                  <c:v>32857</c:v>
                </c:pt>
                <c:pt idx="1570">
                  <c:v>32860</c:v>
                </c:pt>
                <c:pt idx="1571">
                  <c:v>32861</c:v>
                </c:pt>
                <c:pt idx="1572">
                  <c:v>32862</c:v>
                </c:pt>
                <c:pt idx="1573">
                  <c:v>32863</c:v>
                </c:pt>
                <c:pt idx="1574">
                  <c:v>32864</c:v>
                </c:pt>
                <c:pt idx="1575">
                  <c:v>32867</c:v>
                </c:pt>
                <c:pt idx="1576">
                  <c:v>32868</c:v>
                </c:pt>
                <c:pt idx="1577">
                  <c:v>32869</c:v>
                </c:pt>
                <c:pt idx="1578">
                  <c:v>32870</c:v>
                </c:pt>
                <c:pt idx="1579">
                  <c:v>32871</c:v>
                </c:pt>
                <c:pt idx="1580">
                  <c:v>32874</c:v>
                </c:pt>
                <c:pt idx="1581">
                  <c:v>32875</c:v>
                </c:pt>
                <c:pt idx="1582">
                  <c:v>32876</c:v>
                </c:pt>
                <c:pt idx="1583">
                  <c:v>32877</c:v>
                </c:pt>
                <c:pt idx="1584">
                  <c:v>32878</c:v>
                </c:pt>
                <c:pt idx="1585">
                  <c:v>32881</c:v>
                </c:pt>
                <c:pt idx="1586">
                  <c:v>32882</c:v>
                </c:pt>
                <c:pt idx="1587">
                  <c:v>32883</c:v>
                </c:pt>
                <c:pt idx="1588">
                  <c:v>32884</c:v>
                </c:pt>
                <c:pt idx="1589">
                  <c:v>32885</c:v>
                </c:pt>
                <c:pt idx="1590">
                  <c:v>32888</c:v>
                </c:pt>
                <c:pt idx="1591">
                  <c:v>32889</c:v>
                </c:pt>
                <c:pt idx="1592">
                  <c:v>32890</c:v>
                </c:pt>
                <c:pt idx="1593">
                  <c:v>32891</c:v>
                </c:pt>
                <c:pt idx="1594">
                  <c:v>32892</c:v>
                </c:pt>
                <c:pt idx="1595">
                  <c:v>32895</c:v>
                </c:pt>
                <c:pt idx="1596">
                  <c:v>32896</c:v>
                </c:pt>
                <c:pt idx="1597">
                  <c:v>32897</c:v>
                </c:pt>
                <c:pt idx="1598">
                  <c:v>32898</c:v>
                </c:pt>
                <c:pt idx="1599">
                  <c:v>32899</c:v>
                </c:pt>
                <c:pt idx="1600">
                  <c:v>32902</c:v>
                </c:pt>
                <c:pt idx="1601">
                  <c:v>32903</c:v>
                </c:pt>
                <c:pt idx="1602">
                  <c:v>32904</c:v>
                </c:pt>
                <c:pt idx="1603">
                  <c:v>32905</c:v>
                </c:pt>
                <c:pt idx="1604">
                  <c:v>32906</c:v>
                </c:pt>
                <c:pt idx="1605">
                  <c:v>32909</c:v>
                </c:pt>
                <c:pt idx="1606">
                  <c:v>32910</c:v>
                </c:pt>
                <c:pt idx="1607">
                  <c:v>32911</c:v>
                </c:pt>
                <c:pt idx="1608">
                  <c:v>32912</c:v>
                </c:pt>
                <c:pt idx="1609">
                  <c:v>32913</c:v>
                </c:pt>
                <c:pt idx="1610">
                  <c:v>32916</c:v>
                </c:pt>
                <c:pt idx="1611">
                  <c:v>32917</c:v>
                </c:pt>
                <c:pt idx="1612">
                  <c:v>32918</c:v>
                </c:pt>
                <c:pt idx="1613">
                  <c:v>32919</c:v>
                </c:pt>
                <c:pt idx="1614">
                  <c:v>32920</c:v>
                </c:pt>
                <c:pt idx="1615">
                  <c:v>32923</c:v>
                </c:pt>
                <c:pt idx="1616">
                  <c:v>32924</c:v>
                </c:pt>
                <c:pt idx="1617">
                  <c:v>32925</c:v>
                </c:pt>
                <c:pt idx="1618">
                  <c:v>32926</c:v>
                </c:pt>
                <c:pt idx="1619">
                  <c:v>32927</c:v>
                </c:pt>
                <c:pt idx="1620">
                  <c:v>32930</c:v>
                </c:pt>
                <c:pt idx="1621">
                  <c:v>32931</c:v>
                </c:pt>
                <c:pt idx="1622">
                  <c:v>32932</c:v>
                </c:pt>
                <c:pt idx="1623">
                  <c:v>32933</c:v>
                </c:pt>
                <c:pt idx="1624">
                  <c:v>32934</c:v>
                </c:pt>
                <c:pt idx="1625">
                  <c:v>32937</c:v>
                </c:pt>
                <c:pt idx="1626">
                  <c:v>32938</c:v>
                </c:pt>
                <c:pt idx="1627">
                  <c:v>32939</c:v>
                </c:pt>
                <c:pt idx="1628">
                  <c:v>32940</c:v>
                </c:pt>
                <c:pt idx="1629">
                  <c:v>32941</c:v>
                </c:pt>
                <c:pt idx="1630">
                  <c:v>32944</c:v>
                </c:pt>
                <c:pt idx="1631">
                  <c:v>32945</c:v>
                </c:pt>
                <c:pt idx="1632">
                  <c:v>32946</c:v>
                </c:pt>
                <c:pt idx="1633">
                  <c:v>32947</c:v>
                </c:pt>
                <c:pt idx="1634">
                  <c:v>32948</c:v>
                </c:pt>
                <c:pt idx="1635">
                  <c:v>32951</c:v>
                </c:pt>
                <c:pt idx="1636">
                  <c:v>32952</c:v>
                </c:pt>
                <c:pt idx="1637">
                  <c:v>32953</c:v>
                </c:pt>
                <c:pt idx="1638">
                  <c:v>32954</c:v>
                </c:pt>
                <c:pt idx="1639">
                  <c:v>32955</c:v>
                </c:pt>
                <c:pt idx="1640">
                  <c:v>32958</c:v>
                </c:pt>
                <c:pt idx="1641">
                  <c:v>32959</c:v>
                </c:pt>
                <c:pt idx="1642">
                  <c:v>32960</c:v>
                </c:pt>
                <c:pt idx="1643">
                  <c:v>32961</c:v>
                </c:pt>
                <c:pt idx="1644">
                  <c:v>32962</c:v>
                </c:pt>
                <c:pt idx="1645">
                  <c:v>32965</c:v>
                </c:pt>
                <c:pt idx="1646">
                  <c:v>32966</c:v>
                </c:pt>
                <c:pt idx="1647">
                  <c:v>32967</c:v>
                </c:pt>
                <c:pt idx="1648">
                  <c:v>32968</c:v>
                </c:pt>
                <c:pt idx="1649">
                  <c:v>32969</c:v>
                </c:pt>
                <c:pt idx="1650">
                  <c:v>32972</c:v>
                </c:pt>
                <c:pt idx="1651">
                  <c:v>32973</c:v>
                </c:pt>
                <c:pt idx="1652">
                  <c:v>32974</c:v>
                </c:pt>
                <c:pt idx="1653">
                  <c:v>32975</c:v>
                </c:pt>
                <c:pt idx="1654">
                  <c:v>32976</c:v>
                </c:pt>
                <c:pt idx="1655">
                  <c:v>32979</c:v>
                </c:pt>
                <c:pt idx="1656">
                  <c:v>32980</c:v>
                </c:pt>
                <c:pt idx="1657">
                  <c:v>32981</c:v>
                </c:pt>
                <c:pt idx="1658">
                  <c:v>32982</c:v>
                </c:pt>
                <c:pt idx="1659">
                  <c:v>32983</c:v>
                </c:pt>
                <c:pt idx="1660">
                  <c:v>32986</c:v>
                </c:pt>
                <c:pt idx="1661">
                  <c:v>32987</c:v>
                </c:pt>
                <c:pt idx="1662">
                  <c:v>32988</c:v>
                </c:pt>
                <c:pt idx="1663">
                  <c:v>32989</c:v>
                </c:pt>
                <c:pt idx="1664">
                  <c:v>32990</c:v>
                </c:pt>
                <c:pt idx="1665">
                  <c:v>32993</c:v>
                </c:pt>
                <c:pt idx="1666">
                  <c:v>32994</c:v>
                </c:pt>
                <c:pt idx="1667">
                  <c:v>32995</c:v>
                </c:pt>
                <c:pt idx="1668">
                  <c:v>32996</c:v>
                </c:pt>
                <c:pt idx="1669">
                  <c:v>32997</c:v>
                </c:pt>
                <c:pt idx="1670">
                  <c:v>33000</c:v>
                </c:pt>
                <c:pt idx="1671">
                  <c:v>33001</c:v>
                </c:pt>
                <c:pt idx="1672">
                  <c:v>33002</c:v>
                </c:pt>
                <c:pt idx="1673">
                  <c:v>33003</c:v>
                </c:pt>
                <c:pt idx="1674">
                  <c:v>33004</c:v>
                </c:pt>
                <c:pt idx="1675">
                  <c:v>33007</c:v>
                </c:pt>
                <c:pt idx="1676">
                  <c:v>33008</c:v>
                </c:pt>
                <c:pt idx="1677">
                  <c:v>33009</c:v>
                </c:pt>
                <c:pt idx="1678">
                  <c:v>33010</c:v>
                </c:pt>
                <c:pt idx="1679">
                  <c:v>33011</c:v>
                </c:pt>
                <c:pt idx="1680">
                  <c:v>33014</c:v>
                </c:pt>
                <c:pt idx="1681">
                  <c:v>33015</c:v>
                </c:pt>
                <c:pt idx="1682">
                  <c:v>33016</c:v>
                </c:pt>
                <c:pt idx="1683">
                  <c:v>33017</c:v>
                </c:pt>
                <c:pt idx="1684">
                  <c:v>33018</c:v>
                </c:pt>
                <c:pt idx="1685">
                  <c:v>33021</c:v>
                </c:pt>
                <c:pt idx="1686">
                  <c:v>33022</c:v>
                </c:pt>
                <c:pt idx="1687">
                  <c:v>33023</c:v>
                </c:pt>
                <c:pt idx="1688">
                  <c:v>33024</c:v>
                </c:pt>
                <c:pt idx="1689">
                  <c:v>33025</c:v>
                </c:pt>
                <c:pt idx="1690">
                  <c:v>33028</c:v>
                </c:pt>
                <c:pt idx="1691">
                  <c:v>33029</c:v>
                </c:pt>
                <c:pt idx="1692">
                  <c:v>33030</c:v>
                </c:pt>
                <c:pt idx="1693">
                  <c:v>33031</c:v>
                </c:pt>
                <c:pt idx="1694">
                  <c:v>33032</c:v>
                </c:pt>
                <c:pt idx="1695">
                  <c:v>33035</c:v>
                </c:pt>
                <c:pt idx="1696">
                  <c:v>33036</c:v>
                </c:pt>
                <c:pt idx="1697">
                  <c:v>33037</c:v>
                </c:pt>
                <c:pt idx="1698">
                  <c:v>33038</c:v>
                </c:pt>
                <c:pt idx="1699">
                  <c:v>33039</c:v>
                </c:pt>
                <c:pt idx="1700">
                  <c:v>33042</c:v>
                </c:pt>
                <c:pt idx="1701">
                  <c:v>33043</c:v>
                </c:pt>
                <c:pt idx="1702">
                  <c:v>33044</c:v>
                </c:pt>
                <c:pt idx="1703">
                  <c:v>33045</c:v>
                </c:pt>
                <c:pt idx="1704">
                  <c:v>33046</c:v>
                </c:pt>
                <c:pt idx="1705">
                  <c:v>33049</c:v>
                </c:pt>
                <c:pt idx="1706">
                  <c:v>33050</c:v>
                </c:pt>
                <c:pt idx="1707">
                  <c:v>33051</c:v>
                </c:pt>
                <c:pt idx="1708">
                  <c:v>33052</c:v>
                </c:pt>
                <c:pt idx="1709">
                  <c:v>33053</c:v>
                </c:pt>
                <c:pt idx="1710">
                  <c:v>33056</c:v>
                </c:pt>
                <c:pt idx="1711">
                  <c:v>33057</c:v>
                </c:pt>
                <c:pt idx="1712">
                  <c:v>33058</c:v>
                </c:pt>
                <c:pt idx="1713">
                  <c:v>33059</c:v>
                </c:pt>
                <c:pt idx="1714">
                  <c:v>33060</c:v>
                </c:pt>
                <c:pt idx="1715">
                  <c:v>33063</c:v>
                </c:pt>
                <c:pt idx="1716">
                  <c:v>33064</c:v>
                </c:pt>
                <c:pt idx="1717">
                  <c:v>33065</c:v>
                </c:pt>
                <c:pt idx="1718">
                  <c:v>33066</c:v>
                </c:pt>
                <c:pt idx="1719">
                  <c:v>33067</c:v>
                </c:pt>
                <c:pt idx="1720">
                  <c:v>33070</c:v>
                </c:pt>
                <c:pt idx="1721">
                  <c:v>33071</c:v>
                </c:pt>
                <c:pt idx="1722">
                  <c:v>33072</c:v>
                </c:pt>
                <c:pt idx="1723">
                  <c:v>33073</c:v>
                </c:pt>
                <c:pt idx="1724">
                  <c:v>33074</c:v>
                </c:pt>
                <c:pt idx="1725">
                  <c:v>33077</c:v>
                </c:pt>
                <c:pt idx="1726">
                  <c:v>33078</c:v>
                </c:pt>
                <c:pt idx="1727">
                  <c:v>33079</c:v>
                </c:pt>
                <c:pt idx="1728">
                  <c:v>33080</c:v>
                </c:pt>
                <c:pt idx="1729">
                  <c:v>33081</c:v>
                </c:pt>
                <c:pt idx="1730">
                  <c:v>33084</c:v>
                </c:pt>
                <c:pt idx="1731">
                  <c:v>33085</c:v>
                </c:pt>
                <c:pt idx="1732">
                  <c:v>33086</c:v>
                </c:pt>
                <c:pt idx="1733">
                  <c:v>33087</c:v>
                </c:pt>
                <c:pt idx="1734">
                  <c:v>33088</c:v>
                </c:pt>
                <c:pt idx="1735">
                  <c:v>33091</c:v>
                </c:pt>
                <c:pt idx="1736">
                  <c:v>33092</c:v>
                </c:pt>
                <c:pt idx="1737">
                  <c:v>33093</c:v>
                </c:pt>
                <c:pt idx="1738">
                  <c:v>33094</c:v>
                </c:pt>
                <c:pt idx="1739">
                  <c:v>33095</c:v>
                </c:pt>
                <c:pt idx="1740">
                  <c:v>33098</c:v>
                </c:pt>
                <c:pt idx="1741">
                  <c:v>33099</c:v>
                </c:pt>
                <c:pt idx="1742">
                  <c:v>33100</c:v>
                </c:pt>
                <c:pt idx="1743">
                  <c:v>33101</c:v>
                </c:pt>
                <c:pt idx="1744">
                  <c:v>33102</c:v>
                </c:pt>
                <c:pt idx="1745">
                  <c:v>33105</c:v>
                </c:pt>
                <c:pt idx="1746">
                  <c:v>33106</c:v>
                </c:pt>
                <c:pt idx="1747">
                  <c:v>33107</c:v>
                </c:pt>
                <c:pt idx="1748">
                  <c:v>33108</c:v>
                </c:pt>
                <c:pt idx="1749">
                  <c:v>33109</c:v>
                </c:pt>
                <c:pt idx="1750">
                  <c:v>33112</c:v>
                </c:pt>
                <c:pt idx="1751">
                  <c:v>33113</c:v>
                </c:pt>
                <c:pt idx="1752">
                  <c:v>33114</c:v>
                </c:pt>
                <c:pt idx="1753">
                  <c:v>33115</c:v>
                </c:pt>
                <c:pt idx="1754">
                  <c:v>33116</c:v>
                </c:pt>
                <c:pt idx="1755">
                  <c:v>33119</c:v>
                </c:pt>
                <c:pt idx="1756">
                  <c:v>33120</c:v>
                </c:pt>
                <c:pt idx="1757">
                  <c:v>33121</c:v>
                </c:pt>
                <c:pt idx="1758">
                  <c:v>33122</c:v>
                </c:pt>
                <c:pt idx="1759">
                  <c:v>33123</c:v>
                </c:pt>
                <c:pt idx="1760">
                  <c:v>33126</c:v>
                </c:pt>
                <c:pt idx="1761">
                  <c:v>33127</c:v>
                </c:pt>
                <c:pt idx="1762">
                  <c:v>33128</c:v>
                </c:pt>
                <c:pt idx="1763">
                  <c:v>33129</c:v>
                </c:pt>
                <c:pt idx="1764">
                  <c:v>33130</c:v>
                </c:pt>
                <c:pt idx="1765">
                  <c:v>33133</c:v>
                </c:pt>
                <c:pt idx="1766">
                  <c:v>33134</c:v>
                </c:pt>
                <c:pt idx="1767">
                  <c:v>33135</c:v>
                </c:pt>
                <c:pt idx="1768">
                  <c:v>33136</c:v>
                </c:pt>
                <c:pt idx="1769">
                  <c:v>33137</c:v>
                </c:pt>
                <c:pt idx="1770">
                  <c:v>33140</c:v>
                </c:pt>
                <c:pt idx="1771">
                  <c:v>33141</c:v>
                </c:pt>
                <c:pt idx="1772">
                  <c:v>33142</c:v>
                </c:pt>
                <c:pt idx="1773">
                  <c:v>33143</c:v>
                </c:pt>
                <c:pt idx="1774">
                  <c:v>33144</c:v>
                </c:pt>
                <c:pt idx="1775">
                  <c:v>33147</c:v>
                </c:pt>
                <c:pt idx="1776">
                  <c:v>33148</c:v>
                </c:pt>
                <c:pt idx="1777">
                  <c:v>33149</c:v>
                </c:pt>
                <c:pt idx="1778">
                  <c:v>33150</c:v>
                </c:pt>
                <c:pt idx="1779">
                  <c:v>33151</c:v>
                </c:pt>
                <c:pt idx="1780">
                  <c:v>33154</c:v>
                </c:pt>
                <c:pt idx="1781">
                  <c:v>33155</c:v>
                </c:pt>
                <c:pt idx="1782">
                  <c:v>33156</c:v>
                </c:pt>
                <c:pt idx="1783">
                  <c:v>33157</c:v>
                </c:pt>
                <c:pt idx="1784">
                  <c:v>33158</c:v>
                </c:pt>
                <c:pt idx="1785">
                  <c:v>33161</c:v>
                </c:pt>
                <c:pt idx="1786">
                  <c:v>33162</c:v>
                </c:pt>
                <c:pt idx="1787">
                  <c:v>33163</c:v>
                </c:pt>
                <c:pt idx="1788">
                  <c:v>33164</c:v>
                </c:pt>
                <c:pt idx="1789">
                  <c:v>33165</c:v>
                </c:pt>
                <c:pt idx="1790">
                  <c:v>33168</c:v>
                </c:pt>
                <c:pt idx="1791">
                  <c:v>33169</c:v>
                </c:pt>
                <c:pt idx="1792">
                  <c:v>33170</c:v>
                </c:pt>
                <c:pt idx="1793">
                  <c:v>33171</c:v>
                </c:pt>
                <c:pt idx="1794">
                  <c:v>33172</c:v>
                </c:pt>
                <c:pt idx="1795">
                  <c:v>33175</c:v>
                </c:pt>
                <c:pt idx="1796">
                  <c:v>33176</c:v>
                </c:pt>
                <c:pt idx="1797">
                  <c:v>33177</c:v>
                </c:pt>
                <c:pt idx="1798">
                  <c:v>33178</c:v>
                </c:pt>
                <c:pt idx="1799">
                  <c:v>33179</c:v>
                </c:pt>
                <c:pt idx="1800">
                  <c:v>33182</c:v>
                </c:pt>
                <c:pt idx="1801">
                  <c:v>33183</c:v>
                </c:pt>
                <c:pt idx="1802">
                  <c:v>33184</c:v>
                </c:pt>
                <c:pt idx="1803">
                  <c:v>33185</c:v>
                </c:pt>
                <c:pt idx="1804">
                  <c:v>33186</c:v>
                </c:pt>
                <c:pt idx="1805">
                  <c:v>33189</c:v>
                </c:pt>
                <c:pt idx="1806">
                  <c:v>33190</c:v>
                </c:pt>
                <c:pt idx="1807">
                  <c:v>33191</c:v>
                </c:pt>
                <c:pt idx="1808">
                  <c:v>33192</c:v>
                </c:pt>
                <c:pt idx="1809">
                  <c:v>33193</c:v>
                </c:pt>
                <c:pt idx="1810">
                  <c:v>33196</c:v>
                </c:pt>
                <c:pt idx="1811">
                  <c:v>33197</c:v>
                </c:pt>
                <c:pt idx="1812">
                  <c:v>33198</c:v>
                </c:pt>
                <c:pt idx="1813">
                  <c:v>33199</c:v>
                </c:pt>
                <c:pt idx="1814">
                  <c:v>33200</c:v>
                </c:pt>
                <c:pt idx="1815">
                  <c:v>33203</c:v>
                </c:pt>
                <c:pt idx="1816">
                  <c:v>33204</c:v>
                </c:pt>
                <c:pt idx="1817">
                  <c:v>33205</c:v>
                </c:pt>
                <c:pt idx="1818">
                  <c:v>33206</c:v>
                </c:pt>
                <c:pt idx="1819">
                  <c:v>33207</c:v>
                </c:pt>
                <c:pt idx="1820">
                  <c:v>33210</c:v>
                </c:pt>
                <c:pt idx="1821">
                  <c:v>33211</c:v>
                </c:pt>
                <c:pt idx="1822">
                  <c:v>33212</c:v>
                </c:pt>
                <c:pt idx="1823">
                  <c:v>33213</c:v>
                </c:pt>
                <c:pt idx="1824">
                  <c:v>33214</c:v>
                </c:pt>
                <c:pt idx="1825">
                  <c:v>33217</c:v>
                </c:pt>
                <c:pt idx="1826">
                  <c:v>33218</c:v>
                </c:pt>
                <c:pt idx="1827">
                  <c:v>33219</c:v>
                </c:pt>
                <c:pt idx="1828">
                  <c:v>33220</c:v>
                </c:pt>
                <c:pt idx="1829">
                  <c:v>33221</c:v>
                </c:pt>
                <c:pt idx="1830">
                  <c:v>33224</c:v>
                </c:pt>
                <c:pt idx="1831">
                  <c:v>33225</c:v>
                </c:pt>
                <c:pt idx="1832">
                  <c:v>33226</c:v>
                </c:pt>
                <c:pt idx="1833">
                  <c:v>33227</c:v>
                </c:pt>
                <c:pt idx="1834">
                  <c:v>33228</c:v>
                </c:pt>
                <c:pt idx="1835">
                  <c:v>33231</c:v>
                </c:pt>
                <c:pt idx="1836">
                  <c:v>33232</c:v>
                </c:pt>
                <c:pt idx="1837">
                  <c:v>33233</c:v>
                </c:pt>
                <c:pt idx="1838">
                  <c:v>33234</c:v>
                </c:pt>
                <c:pt idx="1839">
                  <c:v>33235</c:v>
                </c:pt>
                <c:pt idx="1840">
                  <c:v>33238</c:v>
                </c:pt>
                <c:pt idx="1841">
                  <c:v>33239</c:v>
                </c:pt>
                <c:pt idx="1842">
                  <c:v>33240</c:v>
                </c:pt>
                <c:pt idx="1843">
                  <c:v>33241</c:v>
                </c:pt>
                <c:pt idx="1844">
                  <c:v>33242</c:v>
                </c:pt>
                <c:pt idx="1845">
                  <c:v>33245</c:v>
                </c:pt>
                <c:pt idx="1846">
                  <c:v>33246</c:v>
                </c:pt>
                <c:pt idx="1847">
                  <c:v>33247</c:v>
                </c:pt>
                <c:pt idx="1848">
                  <c:v>33248</c:v>
                </c:pt>
                <c:pt idx="1849">
                  <c:v>33249</c:v>
                </c:pt>
                <c:pt idx="1850">
                  <c:v>33252</c:v>
                </c:pt>
                <c:pt idx="1851">
                  <c:v>33253</c:v>
                </c:pt>
                <c:pt idx="1852">
                  <c:v>33254</c:v>
                </c:pt>
                <c:pt idx="1853">
                  <c:v>33255</c:v>
                </c:pt>
                <c:pt idx="1854">
                  <c:v>33256</c:v>
                </c:pt>
                <c:pt idx="1855">
                  <c:v>33259</c:v>
                </c:pt>
                <c:pt idx="1856">
                  <c:v>33260</c:v>
                </c:pt>
                <c:pt idx="1857">
                  <c:v>33261</c:v>
                </c:pt>
                <c:pt idx="1858">
                  <c:v>33262</c:v>
                </c:pt>
                <c:pt idx="1859">
                  <c:v>33263</c:v>
                </c:pt>
                <c:pt idx="1860">
                  <c:v>33266</c:v>
                </c:pt>
                <c:pt idx="1861">
                  <c:v>33267</c:v>
                </c:pt>
                <c:pt idx="1862">
                  <c:v>33268</c:v>
                </c:pt>
                <c:pt idx="1863">
                  <c:v>33269</c:v>
                </c:pt>
                <c:pt idx="1864">
                  <c:v>33270</c:v>
                </c:pt>
                <c:pt idx="1865">
                  <c:v>33273</c:v>
                </c:pt>
                <c:pt idx="1866">
                  <c:v>33274</c:v>
                </c:pt>
                <c:pt idx="1867">
                  <c:v>33275</c:v>
                </c:pt>
                <c:pt idx="1868">
                  <c:v>33276</c:v>
                </c:pt>
                <c:pt idx="1869">
                  <c:v>33277</c:v>
                </c:pt>
                <c:pt idx="1870">
                  <c:v>33280</c:v>
                </c:pt>
                <c:pt idx="1871">
                  <c:v>33281</c:v>
                </c:pt>
                <c:pt idx="1872">
                  <c:v>33282</c:v>
                </c:pt>
                <c:pt idx="1873">
                  <c:v>33283</c:v>
                </c:pt>
                <c:pt idx="1874">
                  <c:v>33284</c:v>
                </c:pt>
                <c:pt idx="1875">
                  <c:v>33287</c:v>
                </c:pt>
                <c:pt idx="1876">
                  <c:v>33288</c:v>
                </c:pt>
                <c:pt idx="1877">
                  <c:v>33289</c:v>
                </c:pt>
                <c:pt idx="1878">
                  <c:v>33290</c:v>
                </c:pt>
                <c:pt idx="1879">
                  <c:v>33291</c:v>
                </c:pt>
                <c:pt idx="1880">
                  <c:v>33294</c:v>
                </c:pt>
                <c:pt idx="1881">
                  <c:v>33295</c:v>
                </c:pt>
                <c:pt idx="1882">
                  <c:v>33296</c:v>
                </c:pt>
                <c:pt idx="1883">
                  <c:v>33297</c:v>
                </c:pt>
                <c:pt idx="1884">
                  <c:v>33298</c:v>
                </c:pt>
                <c:pt idx="1885">
                  <c:v>33301</c:v>
                </c:pt>
                <c:pt idx="1886">
                  <c:v>33302</c:v>
                </c:pt>
                <c:pt idx="1887">
                  <c:v>33303</c:v>
                </c:pt>
                <c:pt idx="1888">
                  <c:v>33304</c:v>
                </c:pt>
                <c:pt idx="1889">
                  <c:v>33305</c:v>
                </c:pt>
                <c:pt idx="1890">
                  <c:v>33308</c:v>
                </c:pt>
                <c:pt idx="1891">
                  <c:v>33309</c:v>
                </c:pt>
                <c:pt idx="1892">
                  <c:v>33310</c:v>
                </c:pt>
                <c:pt idx="1893">
                  <c:v>33311</c:v>
                </c:pt>
                <c:pt idx="1894">
                  <c:v>33312</c:v>
                </c:pt>
                <c:pt idx="1895">
                  <c:v>33315</c:v>
                </c:pt>
                <c:pt idx="1896">
                  <c:v>33316</c:v>
                </c:pt>
                <c:pt idx="1897">
                  <c:v>33317</c:v>
                </c:pt>
                <c:pt idx="1898">
                  <c:v>33318</c:v>
                </c:pt>
                <c:pt idx="1899">
                  <c:v>33319</c:v>
                </c:pt>
                <c:pt idx="1900">
                  <c:v>33322</c:v>
                </c:pt>
                <c:pt idx="1901">
                  <c:v>33323</c:v>
                </c:pt>
                <c:pt idx="1902">
                  <c:v>33324</c:v>
                </c:pt>
                <c:pt idx="1903">
                  <c:v>33325</c:v>
                </c:pt>
                <c:pt idx="1904">
                  <c:v>33326</c:v>
                </c:pt>
                <c:pt idx="1905">
                  <c:v>33329</c:v>
                </c:pt>
                <c:pt idx="1906">
                  <c:v>33330</c:v>
                </c:pt>
                <c:pt idx="1907">
                  <c:v>33331</c:v>
                </c:pt>
                <c:pt idx="1908">
                  <c:v>33332</c:v>
                </c:pt>
                <c:pt idx="1909">
                  <c:v>33333</c:v>
                </c:pt>
                <c:pt idx="1910">
                  <c:v>33336</c:v>
                </c:pt>
                <c:pt idx="1911">
                  <c:v>33337</c:v>
                </c:pt>
                <c:pt idx="1912">
                  <c:v>33338</c:v>
                </c:pt>
                <c:pt idx="1913">
                  <c:v>33339</c:v>
                </c:pt>
                <c:pt idx="1914">
                  <c:v>33340</c:v>
                </c:pt>
                <c:pt idx="1915">
                  <c:v>33343</c:v>
                </c:pt>
                <c:pt idx="1916">
                  <c:v>33344</c:v>
                </c:pt>
                <c:pt idx="1917">
                  <c:v>33345</c:v>
                </c:pt>
                <c:pt idx="1918">
                  <c:v>33346</c:v>
                </c:pt>
                <c:pt idx="1919">
                  <c:v>33347</c:v>
                </c:pt>
                <c:pt idx="1920">
                  <c:v>33350</c:v>
                </c:pt>
                <c:pt idx="1921">
                  <c:v>33351</c:v>
                </c:pt>
                <c:pt idx="1922">
                  <c:v>33352</c:v>
                </c:pt>
                <c:pt idx="1923">
                  <c:v>33353</c:v>
                </c:pt>
                <c:pt idx="1924">
                  <c:v>33354</c:v>
                </c:pt>
                <c:pt idx="1925">
                  <c:v>33357</c:v>
                </c:pt>
                <c:pt idx="1926">
                  <c:v>33358</c:v>
                </c:pt>
                <c:pt idx="1927">
                  <c:v>33359</c:v>
                </c:pt>
                <c:pt idx="1928">
                  <c:v>33360</c:v>
                </c:pt>
                <c:pt idx="1929">
                  <c:v>33361</c:v>
                </c:pt>
                <c:pt idx="1930">
                  <c:v>33364</c:v>
                </c:pt>
                <c:pt idx="1931">
                  <c:v>33365</c:v>
                </c:pt>
                <c:pt idx="1932">
                  <c:v>33366</c:v>
                </c:pt>
                <c:pt idx="1933">
                  <c:v>33367</c:v>
                </c:pt>
                <c:pt idx="1934">
                  <c:v>33368</c:v>
                </c:pt>
                <c:pt idx="1935">
                  <c:v>33371</c:v>
                </c:pt>
                <c:pt idx="1936">
                  <c:v>33372</c:v>
                </c:pt>
                <c:pt idx="1937">
                  <c:v>33373</c:v>
                </c:pt>
                <c:pt idx="1938">
                  <c:v>33374</c:v>
                </c:pt>
                <c:pt idx="1939">
                  <c:v>33375</c:v>
                </c:pt>
                <c:pt idx="1940">
                  <c:v>33378</c:v>
                </c:pt>
                <c:pt idx="1941">
                  <c:v>33379</c:v>
                </c:pt>
                <c:pt idx="1942">
                  <c:v>33380</c:v>
                </c:pt>
                <c:pt idx="1943">
                  <c:v>33381</c:v>
                </c:pt>
                <c:pt idx="1944">
                  <c:v>33382</c:v>
                </c:pt>
                <c:pt idx="1945">
                  <c:v>33385</c:v>
                </c:pt>
                <c:pt idx="1946">
                  <c:v>33386</c:v>
                </c:pt>
                <c:pt idx="1947">
                  <c:v>33387</c:v>
                </c:pt>
                <c:pt idx="1948">
                  <c:v>33388</c:v>
                </c:pt>
                <c:pt idx="1949">
                  <c:v>33389</c:v>
                </c:pt>
                <c:pt idx="1950">
                  <c:v>33392</c:v>
                </c:pt>
                <c:pt idx="1951">
                  <c:v>33393</c:v>
                </c:pt>
                <c:pt idx="1952">
                  <c:v>33394</c:v>
                </c:pt>
                <c:pt idx="1953">
                  <c:v>33395</c:v>
                </c:pt>
                <c:pt idx="1954">
                  <c:v>33396</c:v>
                </c:pt>
                <c:pt idx="1955">
                  <c:v>33399</c:v>
                </c:pt>
                <c:pt idx="1956">
                  <c:v>33400</c:v>
                </c:pt>
                <c:pt idx="1957">
                  <c:v>33401</c:v>
                </c:pt>
                <c:pt idx="1958">
                  <c:v>33402</c:v>
                </c:pt>
                <c:pt idx="1959">
                  <c:v>33403</c:v>
                </c:pt>
                <c:pt idx="1960">
                  <c:v>33406</c:v>
                </c:pt>
                <c:pt idx="1961">
                  <c:v>33407</c:v>
                </c:pt>
                <c:pt idx="1962">
                  <c:v>33408</c:v>
                </c:pt>
                <c:pt idx="1963">
                  <c:v>33409</c:v>
                </c:pt>
                <c:pt idx="1964">
                  <c:v>33410</c:v>
                </c:pt>
                <c:pt idx="1965">
                  <c:v>33413</c:v>
                </c:pt>
                <c:pt idx="1966">
                  <c:v>33414</c:v>
                </c:pt>
                <c:pt idx="1967">
                  <c:v>33415</c:v>
                </c:pt>
                <c:pt idx="1968">
                  <c:v>33416</c:v>
                </c:pt>
                <c:pt idx="1969">
                  <c:v>33417</c:v>
                </c:pt>
                <c:pt idx="1970">
                  <c:v>33420</c:v>
                </c:pt>
                <c:pt idx="1971">
                  <c:v>33421</c:v>
                </c:pt>
                <c:pt idx="1972">
                  <c:v>33422</c:v>
                </c:pt>
                <c:pt idx="1973">
                  <c:v>33423</c:v>
                </c:pt>
                <c:pt idx="1974">
                  <c:v>33424</c:v>
                </c:pt>
                <c:pt idx="1975">
                  <c:v>33427</c:v>
                </c:pt>
                <c:pt idx="1976">
                  <c:v>33428</c:v>
                </c:pt>
                <c:pt idx="1977">
                  <c:v>33429</c:v>
                </c:pt>
                <c:pt idx="1978">
                  <c:v>33430</c:v>
                </c:pt>
                <c:pt idx="1979">
                  <c:v>33431</c:v>
                </c:pt>
                <c:pt idx="1980">
                  <c:v>33434</c:v>
                </c:pt>
                <c:pt idx="1981">
                  <c:v>33435</c:v>
                </c:pt>
                <c:pt idx="1982">
                  <c:v>33436</c:v>
                </c:pt>
                <c:pt idx="1983">
                  <c:v>33437</c:v>
                </c:pt>
                <c:pt idx="1984">
                  <c:v>33438</c:v>
                </c:pt>
                <c:pt idx="1985">
                  <c:v>33441</c:v>
                </c:pt>
                <c:pt idx="1986">
                  <c:v>33442</c:v>
                </c:pt>
                <c:pt idx="1987">
                  <c:v>33443</c:v>
                </c:pt>
                <c:pt idx="1988">
                  <c:v>33444</c:v>
                </c:pt>
                <c:pt idx="1989">
                  <c:v>33445</c:v>
                </c:pt>
                <c:pt idx="1990">
                  <c:v>33448</c:v>
                </c:pt>
                <c:pt idx="1991">
                  <c:v>33449</c:v>
                </c:pt>
                <c:pt idx="1992">
                  <c:v>33450</c:v>
                </c:pt>
                <c:pt idx="1993">
                  <c:v>33451</c:v>
                </c:pt>
                <c:pt idx="1994">
                  <c:v>33452</c:v>
                </c:pt>
                <c:pt idx="1995">
                  <c:v>33455</c:v>
                </c:pt>
                <c:pt idx="1996">
                  <c:v>33456</c:v>
                </c:pt>
                <c:pt idx="1997">
                  <c:v>33457</c:v>
                </c:pt>
                <c:pt idx="1998">
                  <c:v>33458</c:v>
                </c:pt>
                <c:pt idx="1999">
                  <c:v>33459</c:v>
                </c:pt>
                <c:pt idx="2000">
                  <c:v>33462</c:v>
                </c:pt>
                <c:pt idx="2001">
                  <c:v>33463</c:v>
                </c:pt>
                <c:pt idx="2002">
                  <c:v>33464</c:v>
                </c:pt>
                <c:pt idx="2003">
                  <c:v>33465</c:v>
                </c:pt>
                <c:pt idx="2004">
                  <c:v>33466</c:v>
                </c:pt>
                <c:pt idx="2005">
                  <c:v>33469</c:v>
                </c:pt>
                <c:pt idx="2006">
                  <c:v>33470</c:v>
                </c:pt>
                <c:pt idx="2007">
                  <c:v>33471</c:v>
                </c:pt>
                <c:pt idx="2008">
                  <c:v>33472</c:v>
                </c:pt>
                <c:pt idx="2009">
                  <c:v>33473</c:v>
                </c:pt>
                <c:pt idx="2010">
                  <c:v>33476</c:v>
                </c:pt>
                <c:pt idx="2011">
                  <c:v>33477</c:v>
                </c:pt>
                <c:pt idx="2012">
                  <c:v>33478</c:v>
                </c:pt>
                <c:pt idx="2013">
                  <c:v>33479</c:v>
                </c:pt>
                <c:pt idx="2014">
                  <c:v>33480</c:v>
                </c:pt>
                <c:pt idx="2015">
                  <c:v>33483</c:v>
                </c:pt>
                <c:pt idx="2016">
                  <c:v>33484</c:v>
                </c:pt>
                <c:pt idx="2017">
                  <c:v>33485</c:v>
                </c:pt>
                <c:pt idx="2018">
                  <c:v>33486</c:v>
                </c:pt>
                <c:pt idx="2019">
                  <c:v>33487</c:v>
                </c:pt>
                <c:pt idx="2020">
                  <c:v>33490</c:v>
                </c:pt>
                <c:pt idx="2021">
                  <c:v>33491</c:v>
                </c:pt>
                <c:pt idx="2022">
                  <c:v>33492</c:v>
                </c:pt>
                <c:pt idx="2023">
                  <c:v>33493</c:v>
                </c:pt>
                <c:pt idx="2024">
                  <c:v>33494</c:v>
                </c:pt>
                <c:pt idx="2025">
                  <c:v>33497</c:v>
                </c:pt>
                <c:pt idx="2026">
                  <c:v>33498</c:v>
                </c:pt>
                <c:pt idx="2027">
                  <c:v>33499</c:v>
                </c:pt>
                <c:pt idx="2028">
                  <c:v>33500</c:v>
                </c:pt>
                <c:pt idx="2029">
                  <c:v>33501</c:v>
                </c:pt>
                <c:pt idx="2030">
                  <c:v>33504</c:v>
                </c:pt>
                <c:pt idx="2031">
                  <c:v>33505</c:v>
                </c:pt>
                <c:pt idx="2032">
                  <c:v>33506</c:v>
                </c:pt>
                <c:pt idx="2033">
                  <c:v>33507</c:v>
                </c:pt>
                <c:pt idx="2034">
                  <c:v>33508</c:v>
                </c:pt>
                <c:pt idx="2035">
                  <c:v>33511</c:v>
                </c:pt>
                <c:pt idx="2036">
                  <c:v>33512</c:v>
                </c:pt>
                <c:pt idx="2037">
                  <c:v>33513</c:v>
                </c:pt>
                <c:pt idx="2038">
                  <c:v>33514</c:v>
                </c:pt>
                <c:pt idx="2039">
                  <c:v>33515</c:v>
                </c:pt>
                <c:pt idx="2040">
                  <c:v>33518</c:v>
                </c:pt>
                <c:pt idx="2041">
                  <c:v>33519</c:v>
                </c:pt>
                <c:pt idx="2042">
                  <c:v>33520</c:v>
                </c:pt>
                <c:pt idx="2043">
                  <c:v>33521</c:v>
                </c:pt>
                <c:pt idx="2044">
                  <c:v>33522</c:v>
                </c:pt>
                <c:pt idx="2045">
                  <c:v>33525</c:v>
                </c:pt>
                <c:pt idx="2046">
                  <c:v>33526</c:v>
                </c:pt>
                <c:pt idx="2047">
                  <c:v>33527</c:v>
                </c:pt>
                <c:pt idx="2048">
                  <c:v>33528</c:v>
                </c:pt>
                <c:pt idx="2049">
                  <c:v>33529</c:v>
                </c:pt>
                <c:pt idx="2050">
                  <c:v>33532</c:v>
                </c:pt>
                <c:pt idx="2051">
                  <c:v>33533</c:v>
                </c:pt>
                <c:pt idx="2052">
                  <c:v>33534</c:v>
                </c:pt>
                <c:pt idx="2053">
                  <c:v>33535</c:v>
                </c:pt>
                <c:pt idx="2054">
                  <c:v>33536</c:v>
                </c:pt>
                <c:pt idx="2055">
                  <c:v>33539</c:v>
                </c:pt>
                <c:pt idx="2056">
                  <c:v>33540</c:v>
                </c:pt>
                <c:pt idx="2057">
                  <c:v>33541</c:v>
                </c:pt>
                <c:pt idx="2058">
                  <c:v>33542</c:v>
                </c:pt>
                <c:pt idx="2059">
                  <c:v>33543</c:v>
                </c:pt>
                <c:pt idx="2060">
                  <c:v>33546</c:v>
                </c:pt>
                <c:pt idx="2061">
                  <c:v>33547</c:v>
                </c:pt>
                <c:pt idx="2062">
                  <c:v>33548</c:v>
                </c:pt>
                <c:pt idx="2063">
                  <c:v>33549</c:v>
                </c:pt>
                <c:pt idx="2064">
                  <c:v>33550</c:v>
                </c:pt>
                <c:pt idx="2065">
                  <c:v>33553</c:v>
                </c:pt>
                <c:pt idx="2066">
                  <c:v>33554</c:v>
                </c:pt>
                <c:pt idx="2067">
                  <c:v>33555</c:v>
                </c:pt>
                <c:pt idx="2068">
                  <c:v>33556</c:v>
                </c:pt>
                <c:pt idx="2069">
                  <c:v>33557</c:v>
                </c:pt>
                <c:pt idx="2070">
                  <c:v>33560</c:v>
                </c:pt>
                <c:pt idx="2071">
                  <c:v>33561</c:v>
                </c:pt>
                <c:pt idx="2072">
                  <c:v>33562</c:v>
                </c:pt>
                <c:pt idx="2073">
                  <c:v>33563</c:v>
                </c:pt>
                <c:pt idx="2074">
                  <c:v>33564</c:v>
                </c:pt>
                <c:pt idx="2075">
                  <c:v>33567</c:v>
                </c:pt>
                <c:pt idx="2076">
                  <c:v>33568</c:v>
                </c:pt>
                <c:pt idx="2077">
                  <c:v>33569</c:v>
                </c:pt>
                <c:pt idx="2078">
                  <c:v>33570</c:v>
                </c:pt>
                <c:pt idx="2079">
                  <c:v>33571</c:v>
                </c:pt>
                <c:pt idx="2080">
                  <c:v>33574</c:v>
                </c:pt>
                <c:pt idx="2081">
                  <c:v>33575</c:v>
                </c:pt>
                <c:pt idx="2082">
                  <c:v>33576</c:v>
                </c:pt>
                <c:pt idx="2083">
                  <c:v>33577</c:v>
                </c:pt>
                <c:pt idx="2084">
                  <c:v>33578</c:v>
                </c:pt>
                <c:pt idx="2085">
                  <c:v>33581</c:v>
                </c:pt>
                <c:pt idx="2086">
                  <c:v>33582</c:v>
                </c:pt>
                <c:pt idx="2087">
                  <c:v>33583</c:v>
                </c:pt>
                <c:pt idx="2088">
                  <c:v>33584</c:v>
                </c:pt>
                <c:pt idx="2089">
                  <c:v>33585</c:v>
                </c:pt>
                <c:pt idx="2090">
                  <c:v>33588</c:v>
                </c:pt>
                <c:pt idx="2091">
                  <c:v>33589</c:v>
                </c:pt>
                <c:pt idx="2092">
                  <c:v>33590</c:v>
                </c:pt>
                <c:pt idx="2093">
                  <c:v>33591</c:v>
                </c:pt>
                <c:pt idx="2094">
                  <c:v>33592</c:v>
                </c:pt>
                <c:pt idx="2095">
                  <c:v>33595</c:v>
                </c:pt>
                <c:pt idx="2096">
                  <c:v>33596</c:v>
                </c:pt>
                <c:pt idx="2097">
                  <c:v>33597</c:v>
                </c:pt>
                <c:pt idx="2098">
                  <c:v>33598</c:v>
                </c:pt>
                <c:pt idx="2099">
                  <c:v>33599</c:v>
                </c:pt>
                <c:pt idx="2100">
                  <c:v>33602</c:v>
                </c:pt>
                <c:pt idx="2101">
                  <c:v>33603</c:v>
                </c:pt>
                <c:pt idx="2102">
                  <c:v>33604</c:v>
                </c:pt>
                <c:pt idx="2103">
                  <c:v>33605</c:v>
                </c:pt>
                <c:pt idx="2104">
                  <c:v>33606</c:v>
                </c:pt>
                <c:pt idx="2105">
                  <c:v>33609</c:v>
                </c:pt>
                <c:pt idx="2106">
                  <c:v>33610</c:v>
                </c:pt>
                <c:pt idx="2107">
                  <c:v>33611</c:v>
                </c:pt>
                <c:pt idx="2108">
                  <c:v>33612</c:v>
                </c:pt>
                <c:pt idx="2109">
                  <c:v>33613</c:v>
                </c:pt>
                <c:pt idx="2110">
                  <c:v>33616</c:v>
                </c:pt>
                <c:pt idx="2111">
                  <c:v>33617</c:v>
                </c:pt>
                <c:pt idx="2112">
                  <c:v>33618</c:v>
                </c:pt>
                <c:pt idx="2113">
                  <c:v>33619</c:v>
                </c:pt>
                <c:pt idx="2114">
                  <c:v>33620</c:v>
                </c:pt>
                <c:pt idx="2115">
                  <c:v>33623</c:v>
                </c:pt>
                <c:pt idx="2116">
                  <c:v>33624</c:v>
                </c:pt>
                <c:pt idx="2117">
                  <c:v>33625</c:v>
                </c:pt>
                <c:pt idx="2118">
                  <c:v>33626</c:v>
                </c:pt>
                <c:pt idx="2119">
                  <c:v>33627</c:v>
                </c:pt>
                <c:pt idx="2120">
                  <c:v>33630</c:v>
                </c:pt>
                <c:pt idx="2121">
                  <c:v>33631</c:v>
                </c:pt>
                <c:pt idx="2122">
                  <c:v>33632</c:v>
                </c:pt>
                <c:pt idx="2123">
                  <c:v>33633</c:v>
                </c:pt>
                <c:pt idx="2124">
                  <c:v>33634</c:v>
                </c:pt>
                <c:pt idx="2125">
                  <c:v>33637</c:v>
                </c:pt>
                <c:pt idx="2126">
                  <c:v>33638</c:v>
                </c:pt>
                <c:pt idx="2127">
                  <c:v>33639</c:v>
                </c:pt>
                <c:pt idx="2128">
                  <c:v>33640</c:v>
                </c:pt>
                <c:pt idx="2129">
                  <c:v>33641</c:v>
                </c:pt>
                <c:pt idx="2130">
                  <c:v>33644</c:v>
                </c:pt>
                <c:pt idx="2131">
                  <c:v>33645</c:v>
                </c:pt>
                <c:pt idx="2132">
                  <c:v>33646</c:v>
                </c:pt>
                <c:pt idx="2133">
                  <c:v>33647</c:v>
                </c:pt>
                <c:pt idx="2134">
                  <c:v>33648</c:v>
                </c:pt>
                <c:pt idx="2135">
                  <c:v>33651</c:v>
                </c:pt>
                <c:pt idx="2136">
                  <c:v>33652</c:v>
                </c:pt>
                <c:pt idx="2137">
                  <c:v>33653</c:v>
                </c:pt>
                <c:pt idx="2138">
                  <c:v>33654</c:v>
                </c:pt>
                <c:pt idx="2139">
                  <c:v>33655</c:v>
                </c:pt>
                <c:pt idx="2140">
                  <c:v>33658</c:v>
                </c:pt>
                <c:pt idx="2141">
                  <c:v>33659</c:v>
                </c:pt>
                <c:pt idx="2142">
                  <c:v>33660</c:v>
                </c:pt>
                <c:pt idx="2143">
                  <c:v>33661</c:v>
                </c:pt>
                <c:pt idx="2144">
                  <c:v>33662</c:v>
                </c:pt>
                <c:pt idx="2145">
                  <c:v>33665</c:v>
                </c:pt>
                <c:pt idx="2146">
                  <c:v>33666</c:v>
                </c:pt>
                <c:pt idx="2147">
                  <c:v>33667</c:v>
                </c:pt>
                <c:pt idx="2148">
                  <c:v>33668</c:v>
                </c:pt>
                <c:pt idx="2149">
                  <c:v>33669</c:v>
                </c:pt>
                <c:pt idx="2150">
                  <c:v>33672</c:v>
                </c:pt>
                <c:pt idx="2151">
                  <c:v>33673</c:v>
                </c:pt>
                <c:pt idx="2152">
                  <c:v>33674</c:v>
                </c:pt>
                <c:pt idx="2153">
                  <c:v>33675</c:v>
                </c:pt>
                <c:pt idx="2154">
                  <c:v>33676</c:v>
                </c:pt>
                <c:pt idx="2155">
                  <c:v>33679</c:v>
                </c:pt>
                <c:pt idx="2156">
                  <c:v>33680</c:v>
                </c:pt>
                <c:pt idx="2157">
                  <c:v>33681</c:v>
                </c:pt>
                <c:pt idx="2158">
                  <c:v>33682</c:v>
                </c:pt>
                <c:pt idx="2159">
                  <c:v>33683</c:v>
                </c:pt>
                <c:pt idx="2160">
                  <c:v>33686</c:v>
                </c:pt>
                <c:pt idx="2161">
                  <c:v>33687</c:v>
                </c:pt>
                <c:pt idx="2162">
                  <c:v>33688</c:v>
                </c:pt>
                <c:pt idx="2163">
                  <c:v>33689</c:v>
                </c:pt>
                <c:pt idx="2164">
                  <c:v>33690</c:v>
                </c:pt>
                <c:pt idx="2165">
                  <c:v>33693</c:v>
                </c:pt>
                <c:pt idx="2166">
                  <c:v>33694</c:v>
                </c:pt>
                <c:pt idx="2167">
                  <c:v>33695</c:v>
                </c:pt>
                <c:pt idx="2168">
                  <c:v>33696</c:v>
                </c:pt>
                <c:pt idx="2169">
                  <c:v>33697</c:v>
                </c:pt>
                <c:pt idx="2170">
                  <c:v>33700</c:v>
                </c:pt>
                <c:pt idx="2171">
                  <c:v>33701</c:v>
                </c:pt>
                <c:pt idx="2172">
                  <c:v>33702</c:v>
                </c:pt>
                <c:pt idx="2173">
                  <c:v>33703</c:v>
                </c:pt>
                <c:pt idx="2174">
                  <c:v>33704</c:v>
                </c:pt>
                <c:pt idx="2175">
                  <c:v>33707</c:v>
                </c:pt>
                <c:pt idx="2176">
                  <c:v>33708</c:v>
                </c:pt>
                <c:pt idx="2177">
                  <c:v>33709</c:v>
                </c:pt>
                <c:pt idx="2178">
                  <c:v>33710</c:v>
                </c:pt>
                <c:pt idx="2179">
                  <c:v>33711</c:v>
                </c:pt>
                <c:pt idx="2180">
                  <c:v>33714</c:v>
                </c:pt>
                <c:pt idx="2181">
                  <c:v>33715</c:v>
                </c:pt>
                <c:pt idx="2182">
                  <c:v>33716</c:v>
                </c:pt>
                <c:pt idx="2183">
                  <c:v>33717</c:v>
                </c:pt>
                <c:pt idx="2184">
                  <c:v>33718</c:v>
                </c:pt>
                <c:pt idx="2185">
                  <c:v>33721</c:v>
                </c:pt>
                <c:pt idx="2186">
                  <c:v>33722</c:v>
                </c:pt>
                <c:pt idx="2187">
                  <c:v>33723</c:v>
                </c:pt>
                <c:pt idx="2188">
                  <c:v>33724</c:v>
                </c:pt>
                <c:pt idx="2189">
                  <c:v>33725</c:v>
                </c:pt>
                <c:pt idx="2190">
                  <c:v>33728</c:v>
                </c:pt>
                <c:pt idx="2191">
                  <c:v>33729</c:v>
                </c:pt>
                <c:pt idx="2192">
                  <c:v>33730</c:v>
                </c:pt>
                <c:pt idx="2193">
                  <c:v>33731</c:v>
                </c:pt>
                <c:pt idx="2194">
                  <c:v>33732</c:v>
                </c:pt>
                <c:pt idx="2195">
                  <c:v>33735</c:v>
                </c:pt>
                <c:pt idx="2196">
                  <c:v>33736</c:v>
                </c:pt>
                <c:pt idx="2197">
                  <c:v>33737</c:v>
                </c:pt>
                <c:pt idx="2198">
                  <c:v>33738</c:v>
                </c:pt>
                <c:pt idx="2199">
                  <c:v>33739</c:v>
                </c:pt>
                <c:pt idx="2200">
                  <c:v>33742</c:v>
                </c:pt>
                <c:pt idx="2201">
                  <c:v>33743</c:v>
                </c:pt>
                <c:pt idx="2202">
                  <c:v>33744</c:v>
                </c:pt>
                <c:pt idx="2203">
                  <c:v>33745</c:v>
                </c:pt>
                <c:pt idx="2204">
                  <c:v>33746</c:v>
                </c:pt>
                <c:pt idx="2205">
                  <c:v>33749</c:v>
                </c:pt>
                <c:pt idx="2206">
                  <c:v>33750</c:v>
                </c:pt>
                <c:pt idx="2207">
                  <c:v>33751</c:v>
                </c:pt>
                <c:pt idx="2208">
                  <c:v>33752</c:v>
                </c:pt>
                <c:pt idx="2209">
                  <c:v>33753</c:v>
                </c:pt>
                <c:pt idx="2210">
                  <c:v>33756</c:v>
                </c:pt>
                <c:pt idx="2211">
                  <c:v>33757</c:v>
                </c:pt>
                <c:pt idx="2212">
                  <c:v>33758</c:v>
                </c:pt>
                <c:pt idx="2213">
                  <c:v>33759</c:v>
                </c:pt>
                <c:pt idx="2214">
                  <c:v>33760</c:v>
                </c:pt>
                <c:pt idx="2215">
                  <c:v>33763</c:v>
                </c:pt>
                <c:pt idx="2216">
                  <c:v>33764</c:v>
                </c:pt>
                <c:pt idx="2217">
                  <c:v>33765</c:v>
                </c:pt>
                <c:pt idx="2218">
                  <c:v>33766</c:v>
                </c:pt>
                <c:pt idx="2219">
                  <c:v>33767</c:v>
                </c:pt>
                <c:pt idx="2220">
                  <c:v>33770</c:v>
                </c:pt>
                <c:pt idx="2221">
                  <c:v>33771</c:v>
                </c:pt>
                <c:pt idx="2222">
                  <c:v>33772</c:v>
                </c:pt>
                <c:pt idx="2223">
                  <c:v>33773</c:v>
                </c:pt>
                <c:pt idx="2224">
                  <c:v>33774</c:v>
                </c:pt>
                <c:pt idx="2225">
                  <c:v>33777</c:v>
                </c:pt>
                <c:pt idx="2226">
                  <c:v>33778</c:v>
                </c:pt>
                <c:pt idx="2227">
                  <c:v>33779</c:v>
                </c:pt>
                <c:pt idx="2228">
                  <c:v>33780</c:v>
                </c:pt>
                <c:pt idx="2229">
                  <c:v>33781</c:v>
                </c:pt>
                <c:pt idx="2230">
                  <c:v>33784</c:v>
                </c:pt>
                <c:pt idx="2231">
                  <c:v>33785</c:v>
                </c:pt>
                <c:pt idx="2232">
                  <c:v>33786</c:v>
                </c:pt>
                <c:pt idx="2233">
                  <c:v>33787</c:v>
                </c:pt>
                <c:pt idx="2234">
                  <c:v>33788</c:v>
                </c:pt>
                <c:pt idx="2235">
                  <c:v>33791</c:v>
                </c:pt>
                <c:pt idx="2236">
                  <c:v>33792</c:v>
                </c:pt>
                <c:pt idx="2237">
                  <c:v>33793</c:v>
                </c:pt>
                <c:pt idx="2238">
                  <c:v>33794</c:v>
                </c:pt>
                <c:pt idx="2239">
                  <c:v>33795</c:v>
                </c:pt>
                <c:pt idx="2240">
                  <c:v>33798</c:v>
                </c:pt>
                <c:pt idx="2241">
                  <c:v>33799</c:v>
                </c:pt>
                <c:pt idx="2242">
                  <c:v>33800</c:v>
                </c:pt>
                <c:pt idx="2243">
                  <c:v>33801</c:v>
                </c:pt>
                <c:pt idx="2244">
                  <c:v>33802</c:v>
                </c:pt>
                <c:pt idx="2245">
                  <c:v>33805</c:v>
                </c:pt>
                <c:pt idx="2246">
                  <c:v>33806</c:v>
                </c:pt>
                <c:pt idx="2247">
                  <c:v>33807</c:v>
                </c:pt>
                <c:pt idx="2248">
                  <c:v>33808</c:v>
                </c:pt>
                <c:pt idx="2249">
                  <c:v>33809</c:v>
                </c:pt>
                <c:pt idx="2250">
                  <c:v>33812</c:v>
                </c:pt>
                <c:pt idx="2251">
                  <c:v>33813</c:v>
                </c:pt>
                <c:pt idx="2252">
                  <c:v>33814</c:v>
                </c:pt>
                <c:pt idx="2253">
                  <c:v>33815</c:v>
                </c:pt>
                <c:pt idx="2254">
                  <c:v>33816</c:v>
                </c:pt>
                <c:pt idx="2255">
                  <c:v>33819</c:v>
                </c:pt>
                <c:pt idx="2256">
                  <c:v>33820</c:v>
                </c:pt>
                <c:pt idx="2257">
                  <c:v>33821</c:v>
                </c:pt>
                <c:pt idx="2258">
                  <c:v>33822</c:v>
                </c:pt>
                <c:pt idx="2259">
                  <c:v>33823</c:v>
                </c:pt>
                <c:pt idx="2260">
                  <c:v>33826</c:v>
                </c:pt>
                <c:pt idx="2261">
                  <c:v>33827</c:v>
                </c:pt>
                <c:pt idx="2262">
                  <c:v>33828</c:v>
                </c:pt>
                <c:pt idx="2263">
                  <c:v>33829</c:v>
                </c:pt>
                <c:pt idx="2264">
                  <c:v>33830</c:v>
                </c:pt>
                <c:pt idx="2265">
                  <c:v>33833</c:v>
                </c:pt>
                <c:pt idx="2266">
                  <c:v>33834</c:v>
                </c:pt>
                <c:pt idx="2267">
                  <c:v>33835</c:v>
                </c:pt>
                <c:pt idx="2268">
                  <c:v>33836</c:v>
                </c:pt>
                <c:pt idx="2269">
                  <c:v>33837</c:v>
                </c:pt>
                <c:pt idx="2270">
                  <c:v>33840</c:v>
                </c:pt>
                <c:pt idx="2271">
                  <c:v>33841</c:v>
                </c:pt>
                <c:pt idx="2272">
                  <c:v>33842</c:v>
                </c:pt>
                <c:pt idx="2273">
                  <c:v>33843</c:v>
                </c:pt>
                <c:pt idx="2274">
                  <c:v>33844</c:v>
                </c:pt>
                <c:pt idx="2275">
                  <c:v>33847</c:v>
                </c:pt>
                <c:pt idx="2276">
                  <c:v>33848</c:v>
                </c:pt>
                <c:pt idx="2277">
                  <c:v>33849</c:v>
                </c:pt>
                <c:pt idx="2278">
                  <c:v>33850</c:v>
                </c:pt>
                <c:pt idx="2279">
                  <c:v>33851</c:v>
                </c:pt>
                <c:pt idx="2280">
                  <c:v>33854</c:v>
                </c:pt>
                <c:pt idx="2281">
                  <c:v>33855</c:v>
                </c:pt>
                <c:pt idx="2282">
                  <c:v>33856</c:v>
                </c:pt>
                <c:pt idx="2283">
                  <c:v>33857</c:v>
                </c:pt>
                <c:pt idx="2284">
                  <c:v>33858</c:v>
                </c:pt>
                <c:pt idx="2285">
                  <c:v>33861</c:v>
                </c:pt>
                <c:pt idx="2286">
                  <c:v>33862</c:v>
                </c:pt>
                <c:pt idx="2287">
                  <c:v>33863</c:v>
                </c:pt>
                <c:pt idx="2288">
                  <c:v>33864</c:v>
                </c:pt>
                <c:pt idx="2289">
                  <c:v>33865</c:v>
                </c:pt>
                <c:pt idx="2290">
                  <c:v>33868</c:v>
                </c:pt>
                <c:pt idx="2291">
                  <c:v>33869</c:v>
                </c:pt>
                <c:pt idx="2292">
                  <c:v>33870</c:v>
                </c:pt>
                <c:pt idx="2293">
                  <c:v>33871</c:v>
                </c:pt>
                <c:pt idx="2294">
                  <c:v>33872</c:v>
                </c:pt>
                <c:pt idx="2295">
                  <c:v>33875</c:v>
                </c:pt>
                <c:pt idx="2296">
                  <c:v>33876</c:v>
                </c:pt>
                <c:pt idx="2297">
                  <c:v>33877</c:v>
                </c:pt>
                <c:pt idx="2298">
                  <c:v>33878</c:v>
                </c:pt>
                <c:pt idx="2299">
                  <c:v>33879</c:v>
                </c:pt>
                <c:pt idx="2300">
                  <c:v>33882</c:v>
                </c:pt>
                <c:pt idx="2301">
                  <c:v>33883</c:v>
                </c:pt>
                <c:pt idx="2302">
                  <c:v>33884</c:v>
                </c:pt>
                <c:pt idx="2303">
                  <c:v>33885</c:v>
                </c:pt>
                <c:pt idx="2304">
                  <c:v>33886</c:v>
                </c:pt>
                <c:pt idx="2305">
                  <c:v>33889</c:v>
                </c:pt>
                <c:pt idx="2306">
                  <c:v>33890</c:v>
                </c:pt>
                <c:pt idx="2307">
                  <c:v>33891</c:v>
                </c:pt>
                <c:pt idx="2308">
                  <c:v>33892</c:v>
                </c:pt>
                <c:pt idx="2309">
                  <c:v>33893</c:v>
                </c:pt>
                <c:pt idx="2310">
                  <c:v>33896</c:v>
                </c:pt>
                <c:pt idx="2311">
                  <c:v>33897</c:v>
                </c:pt>
                <c:pt idx="2312">
                  <c:v>33898</c:v>
                </c:pt>
                <c:pt idx="2313">
                  <c:v>33899</c:v>
                </c:pt>
                <c:pt idx="2314">
                  <c:v>33900</c:v>
                </c:pt>
                <c:pt idx="2315">
                  <c:v>33903</c:v>
                </c:pt>
                <c:pt idx="2316">
                  <c:v>33904</c:v>
                </c:pt>
                <c:pt idx="2317">
                  <c:v>33905</c:v>
                </c:pt>
                <c:pt idx="2318">
                  <c:v>33906</c:v>
                </c:pt>
                <c:pt idx="2319">
                  <c:v>33907</c:v>
                </c:pt>
                <c:pt idx="2320">
                  <c:v>33910</c:v>
                </c:pt>
                <c:pt idx="2321">
                  <c:v>33911</c:v>
                </c:pt>
                <c:pt idx="2322">
                  <c:v>33912</c:v>
                </c:pt>
                <c:pt idx="2323">
                  <c:v>33913</c:v>
                </c:pt>
                <c:pt idx="2324">
                  <c:v>33914</c:v>
                </c:pt>
                <c:pt idx="2325">
                  <c:v>33917</c:v>
                </c:pt>
                <c:pt idx="2326">
                  <c:v>33918</c:v>
                </c:pt>
                <c:pt idx="2327">
                  <c:v>33919</c:v>
                </c:pt>
                <c:pt idx="2328">
                  <c:v>33920</c:v>
                </c:pt>
                <c:pt idx="2329">
                  <c:v>33921</c:v>
                </c:pt>
                <c:pt idx="2330">
                  <c:v>33924</c:v>
                </c:pt>
                <c:pt idx="2331">
                  <c:v>33925</c:v>
                </c:pt>
                <c:pt idx="2332">
                  <c:v>33926</c:v>
                </c:pt>
                <c:pt idx="2333">
                  <c:v>33927</c:v>
                </c:pt>
                <c:pt idx="2334">
                  <c:v>33928</c:v>
                </c:pt>
                <c:pt idx="2335">
                  <c:v>33931</c:v>
                </c:pt>
                <c:pt idx="2336">
                  <c:v>33932</c:v>
                </c:pt>
                <c:pt idx="2337">
                  <c:v>33933</c:v>
                </c:pt>
                <c:pt idx="2338">
                  <c:v>33934</c:v>
                </c:pt>
                <c:pt idx="2339">
                  <c:v>33935</c:v>
                </c:pt>
                <c:pt idx="2340">
                  <c:v>33938</c:v>
                </c:pt>
                <c:pt idx="2341">
                  <c:v>33939</c:v>
                </c:pt>
                <c:pt idx="2342">
                  <c:v>33940</c:v>
                </c:pt>
                <c:pt idx="2343">
                  <c:v>33941</c:v>
                </c:pt>
                <c:pt idx="2344">
                  <c:v>33942</c:v>
                </c:pt>
                <c:pt idx="2345">
                  <c:v>33945</c:v>
                </c:pt>
                <c:pt idx="2346">
                  <c:v>33946</c:v>
                </c:pt>
                <c:pt idx="2347">
                  <c:v>33947</c:v>
                </c:pt>
                <c:pt idx="2348">
                  <c:v>33948</c:v>
                </c:pt>
                <c:pt idx="2349">
                  <c:v>33949</c:v>
                </c:pt>
                <c:pt idx="2350">
                  <c:v>33952</c:v>
                </c:pt>
                <c:pt idx="2351">
                  <c:v>33953</c:v>
                </c:pt>
                <c:pt idx="2352">
                  <c:v>33954</c:v>
                </c:pt>
                <c:pt idx="2353">
                  <c:v>33955</c:v>
                </c:pt>
                <c:pt idx="2354">
                  <c:v>33956</c:v>
                </c:pt>
                <c:pt idx="2355">
                  <c:v>33959</c:v>
                </c:pt>
                <c:pt idx="2356">
                  <c:v>33960</c:v>
                </c:pt>
                <c:pt idx="2357">
                  <c:v>33961</c:v>
                </c:pt>
                <c:pt idx="2358">
                  <c:v>33962</c:v>
                </c:pt>
                <c:pt idx="2359">
                  <c:v>33963</c:v>
                </c:pt>
                <c:pt idx="2360">
                  <c:v>33966</c:v>
                </c:pt>
                <c:pt idx="2361">
                  <c:v>33967</c:v>
                </c:pt>
                <c:pt idx="2362">
                  <c:v>33968</c:v>
                </c:pt>
                <c:pt idx="2363">
                  <c:v>33969</c:v>
                </c:pt>
                <c:pt idx="2364">
                  <c:v>33970</c:v>
                </c:pt>
                <c:pt idx="2365">
                  <c:v>33973</c:v>
                </c:pt>
                <c:pt idx="2366">
                  <c:v>33974</c:v>
                </c:pt>
                <c:pt idx="2367">
                  <c:v>33975</c:v>
                </c:pt>
                <c:pt idx="2368">
                  <c:v>33976</c:v>
                </c:pt>
                <c:pt idx="2369">
                  <c:v>33977</c:v>
                </c:pt>
                <c:pt idx="2370">
                  <c:v>33980</c:v>
                </c:pt>
                <c:pt idx="2371">
                  <c:v>33981</c:v>
                </c:pt>
                <c:pt idx="2372">
                  <c:v>33982</c:v>
                </c:pt>
                <c:pt idx="2373">
                  <c:v>33983</c:v>
                </c:pt>
                <c:pt idx="2374">
                  <c:v>33984</c:v>
                </c:pt>
                <c:pt idx="2375">
                  <c:v>33987</c:v>
                </c:pt>
                <c:pt idx="2376">
                  <c:v>33988</c:v>
                </c:pt>
                <c:pt idx="2377">
                  <c:v>33989</c:v>
                </c:pt>
                <c:pt idx="2378">
                  <c:v>33990</c:v>
                </c:pt>
                <c:pt idx="2379">
                  <c:v>33991</c:v>
                </c:pt>
                <c:pt idx="2380">
                  <c:v>33994</c:v>
                </c:pt>
                <c:pt idx="2381">
                  <c:v>33995</c:v>
                </c:pt>
                <c:pt idx="2382">
                  <c:v>33996</c:v>
                </c:pt>
                <c:pt idx="2383">
                  <c:v>33997</c:v>
                </c:pt>
                <c:pt idx="2384">
                  <c:v>33998</c:v>
                </c:pt>
                <c:pt idx="2385">
                  <c:v>34001</c:v>
                </c:pt>
                <c:pt idx="2386">
                  <c:v>34002</c:v>
                </c:pt>
                <c:pt idx="2387">
                  <c:v>34003</c:v>
                </c:pt>
                <c:pt idx="2388">
                  <c:v>34004</c:v>
                </c:pt>
                <c:pt idx="2389">
                  <c:v>34005</c:v>
                </c:pt>
                <c:pt idx="2390">
                  <c:v>34008</c:v>
                </c:pt>
                <c:pt idx="2391">
                  <c:v>34009</c:v>
                </c:pt>
                <c:pt idx="2392">
                  <c:v>34010</c:v>
                </c:pt>
                <c:pt idx="2393">
                  <c:v>34011</c:v>
                </c:pt>
                <c:pt idx="2394">
                  <c:v>34012</c:v>
                </c:pt>
                <c:pt idx="2395">
                  <c:v>34015</c:v>
                </c:pt>
                <c:pt idx="2396">
                  <c:v>34016</c:v>
                </c:pt>
                <c:pt idx="2397">
                  <c:v>34017</c:v>
                </c:pt>
                <c:pt idx="2398">
                  <c:v>34018</c:v>
                </c:pt>
                <c:pt idx="2399">
                  <c:v>34019</c:v>
                </c:pt>
                <c:pt idx="2400">
                  <c:v>34022</c:v>
                </c:pt>
                <c:pt idx="2401">
                  <c:v>34023</c:v>
                </c:pt>
                <c:pt idx="2402">
                  <c:v>34024</c:v>
                </c:pt>
                <c:pt idx="2403">
                  <c:v>34025</c:v>
                </c:pt>
                <c:pt idx="2404">
                  <c:v>34026</c:v>
                </c:pt>
                <c:pt idx="2405">
                  <c:v>34029</c:v>
                </c:pt>
                <c:pt idx="2406">
                  <c:v>34030</c:v>
                </c:pt>
                <c:pt idx="2407">
                  <c:v>34031</c:v>
                </c:pt>
                <c:pt idx="2408">
                  <c:v>34032</c:v>
                </c:pt>
                <c:pt idx="2409">
                  <c:v>34033</c:v>
                </c:pt>
                <c:pt idx="2410">
                  <c:v>34036</c:v>
                </c:pt>
                <c:pt idx="2411">
                  <c:v>34037</c:v>
                </c:pt>
                <c:pt idx="2412">
                  <c:v>34038</c:v>
                </c:pt>
                <c:pt idx="2413">
                  <c:v>34039</c:v>
                </c:pt>
                <c:pt idx="2414">
                  <c:v>34040</c:v>
                </c:pt>
                <c:pt idx="2415">
                  <c:v>34043</c:v>
                </c:pt>
                <c:pt idx="2416">
                  <c:v>34044</c:v>
                </c:pt>
                <c:pt idx="2417">
                  <c:v>34045</c:v>
                </c:pt>
                <c:pt idx="2418">
                  <c:v>34046</c:v>
                </c:pt>
                <c:pt idx="2419">
                  <c:v>34047</c:v>
                </c:pt>
                <c:pt idx="2420">
                  <c:v>34050</c:v>
                </c:pt>
                <c:pt idx="2421">
                  <c:v>34051</c:v>
                </c:pt>
                <c:pt idx="2422">
                  <c:v>34052</c:v>
                </c:pt>
                <c:pt idx="2423">
                  <c:v>34053</c:v>
                </c:pt>
                <c:pt idx="2424">
                  <c:v>34054</c:v>
                </c:pt>
                <c:pt idx="2425">
                  <c:v>34057</c:v>
                </c:pt>
                <c:pt idx="2426">
                  <c:v>34058</c:v>
                </c:pt>
                <c:pt idx="2427">
                  <c:v>34059</c:v>
                </c:pt>
                <c:pt idx="2428">
                  <c:v>34060</c:v>
                </c:pt>
                <c:pt idx="2429">
                  <c:v>34061</c:v>
                </c:pt>
                <c:pt idx="2430">
                  <c:v>34064</c:v>
                </c:pt>
                <c:pt idx="2431">
                  <c:v>34065</c:v>
                </c:pt>
                <c:pt idx="2432">
                  <c:v>34066</c:v>
                </c:pt>
                <c:pt idx="2433">
                  <c:v>34067</c:v>
                </c:pt>
                <c:pt idx="2434">
                  <c:v>34068</c:v>
                </c:pt>
                <c:pt idx="2435">
                  <c:v>34071</c:v>
                </c:pt>
                <c:pt idx="2436">
                  <c:v>34072</c:v>
                </c:pt>
                <c:pt idx="2437">
                  <c:v>34073</c:v>
                </c:pt>
                <c:pt idx="2438">
                  <c:v>34074</c:v>
                </c:pt>
                <c:pt idx="2439">
                  <c:v>34075</c:v>
                </c:pt>
                <c:pt idx="2440">
                  <c:v>34078</c:v>
                </c:pt>
                <c:pt idx="2441">
                  <c:v>34079</c:v>
                </c:pt>
                <c:pt idx="2442">
                  <c:v>34080</c:v>
                </c:pt>
                <c:pt idx="2443">
                  <c:v>34081</c:v>
                </c:pt>
                <c:pt idx="2444">
                  <c:v>34082</c:v>
                </c:pt>
                <c:pt idx="2445">
                  <c:v>34085</c:v>
                </c:pt>
                <c:pt idx="2446">
                  <c:v>34086</c:v>
                </c:pt>
                <c:pt idx="2447">
                  <c:v>34087</c:v>
                </c:pt>
                <c:pt idx="2448">
                  <c:v>34088</c:v>
                </c:pt>
                <c:pt idx="2449">
                  <c:v>34089</c:v>
                </c:pt>
                <c:pt idx="2450">
                  <c:v>34092</c:v>
                </c:pt>
                <c:pt idx="2451">
                  <c:v>34093</c:v>
                </c:pt>
                <c:pt idx="2452">
                  <c:v>34094</c:v>
                </c:pt>
                <c:pt idx="2453">
                  <c:v>34095</c:v>
                </c:pt>
                <c:pt idx="2454">
                  <c:v>34096</c:v>
                </c:pt>
                <c:pt idx="2455">
                  <c:v>34099</c:v>
                </c:pt>
                <c:pt idx="2456">
                  <c:v>34100</c:v>
                </c:pt>
                <c:pt idx="2457">
                  <c:v>34101</c:v>
                </c:pt>
                <c:pt idx="2458">
                  <c:v>34102</c:v>
                </c:pt>
                <c:pt idx="2459">
                  <c:v>34103</c:v>
                </c:pt>
                <c:pt idx="2460">
                  <c:v>34106</c:v>
                </c:pt>
                <c:pt idx="2461">
                  <c:v>34107</c:v>
                </c:pt>
                <c:pt idx="2462">
                  <c:v>34108</c:v>
                </c:pt>
                <c:pt idx="2463">
                  <c:v>34109</c:v>
                </c:pt>
                <c:pt idx="2464">
                  <c:v>34110</c:v>
                </c:pt>
                <c:pt idx="2465">
                  <c:v>34113</c:v>
                </c:pt>
                <c:pt idx="2466">
                  <c:v>34114</c:v>
                </c:pt>
                <c:pt idx="2467">
                  <c:v>34115</c:v>
                </c:pt>
                <c:pt idx="2468">
                  <c:v>34116</c:v>
                </c:pt>
                <c:pt idx="2469">
                  <c:v>34117</c:v>
                </c:pt>
                <c:pt idx="2470">
                  <c:v>34120</c:v>
                </c:pt>
                <c:pt idx="2471">
                  <c:v>34121</c:v>
                </c:pt>
                <c:pt idx="2472">
                  <c:v>34122</c:v>
                </c:pt>
                <c:pt idx="2473">
                  <c:v>34123</c:v>
                </c:pt>
                <c:pt idx="2474">
                  <c:v>34124</c:v>
                </c:pt>
                <c:pt idx="2475">
                  <c:v>34127</c:v>
                </c:pt>
                <c:pt idx="2476">
                  <c:v>34128</c:v>
                </c:pt>
                <c:pt idx="2477">
                  <c:v>34129</c:v>
                </c:pt>
                <c:pt idx="2478">
                  <c:v>34130</c:v>
                </c:pt>
                <c:pt idx="2479">
                  <c:v>34131</c:v>
                </c:pt>
                <c:pt idx="2480">
                  <c:v>34134</c:v>
                </c:pt>
                <c:pt idx="2481">
                  <c:v>34135</c:v>
                </c:pt>
                <c:pt idx="2482">
                  <c:v>34136</c:v>
                </c:pt>
                <c:pt idx="2483">
                  <c:v>34137</c:v>
                </c:pt>
                <c:pt idx="2484">
                  <c:v>34138</c:v>
                </c:pt>
                <c:pt idx="2485">
                  <c:v>34141</c:v>
                </c:pt>
                <c:pt idx="2486">
                  <c:v>34142</c:v>
                </c:pt>
                <c:pt idx="2487">
                  <c:v>34143</c:v>
                </c:pt>
                <c:pt idx="2488">
                  <c:v>34144</c:v>
                </c:pt>
                <c:pt idx="2489">
                  <c:v>34145</c:v>
                </c:pt>
                <c:pt idx="2490">
                  <c:v>34148</c:v>
                </c:pt>
                <c:pt idx="2491">
                  <c:v>34149</c:v>
                </c:pt>
                <c:pt idx="2492">
                  <c:v>34150</c:v>
                </c:pt>
                <c:pt idx="2493">
                  <c:v>34151</c:v>
                </c:pt>
                <c:pt idx="2494">
                  <c:v>34152</c:v>
                </c:pt>
                <c:pt idx="2495">
                  <c:v>34155</c:v>
                </c:pt>
                <c:pt idx="2496">
                  <c:v>34156</c:v>
                </c:pt>
                <c:pt idx="2497">
                  <c:v>34157</c:v>
                </c:pt>
                <c:pt idx="2498">
                  <c:v>34158</c:v>
                </c:pt>
                <c:pt idx="2499">
                  <c:v>34159</c:v>
                </c:pt>
                <c:pt idx="2500">
                  <c:v>34162</c:v>
                </c:pt>
                <c:pt idx="2501">
                  <c:v>34163</c:v>
                </c:pt>
                <c:pt idx="2502">
                  <c:v>34164</c:v>
                </c:pt>
                <c:pt idx="2503">
                  <c:v>34165</c:v>
                </c:pt>
                <c:pt idx="2504">
                  <c:v>34166</c:v>
                </c:pt>
                <c:pt idx="2505">
                  <c:v>34169</c:v>
                </c:pt>
                <c:pt idx="2506">
                  <c:v>34170</c:v>
                </c:pt>
                <c:pt idx="2507">
                  <c:v>34171</c:v>
                </c:pt>
                <c:pt idx="2508">
                  <c:v>34172</c:v>
                </c:pt>
                <c:pt idx="2509">
                  <c:v>34173</c:v>
                </c:pt>
                <c:pt idx="2510">
                  <c:v>34176</c:v>
                </c:pt>
                <c:pt idx="2511">
                  <c:v>34177</c:v>
                </c:pt>
                <c:pt idx="2512">
                  <c:v>34178</c:v>
                </c:pt>
                <c:pt idx="2513">
                  <c:v>34179</c:v>
                </c:pt>
                <c:pt idx="2514">
                  <c:v>34180</c:v>
                </c:pt>
                <c:pt idx="2515">
                  <c:v>34183</c:v>
                </c:pt>
                <c:pt idx="2516">
                  <c:v>34184</c:v>
                </c:pt>
                <c:pt idx="2517">
                  <c:v>34185</c:v>
                </c:pt>
                <c:pt idx="2518">
                  <c:v>34186</c:v>
                </c:pt>
                <c:pt idx="2519">
                  <c:v>34187</c:v>
                </c:pt>
                <c:pt idx="2520">
                  <c:v>34190</c:v>
                </c:pt>
                <c:pt idx="2521">
                  <c:v>34191</c:v>
                </c:pt>
                <c:pt idx="2522">
                  <c:v>34192</c:v>
                </c:pt>
                <c:pt idx="2523">
                  <c:v>34193</c:v>
                </c:pt>
                <c:pt idx="2524">
                  <c:v>34194</c:v>
                </c:pt>
                <c:pt idx="2525">
                  <c:v>34197</c:v>
                </c:pt>
                <c:pt idx="2526">
                  <c:v>34198</c:v>
                </c:pt>
                <c:pt idx="2527">
                  <c:v>34199</c:v>
                </c:pt>
                <c:pt idx="2528">
                  <c:v>34200</c:v>
                </c:pt>
                <c:pt idx="2529">
                  <c:v>34201</c:v>
                </c:pt>
                <c:pt idx="2530">
                  <c:v>34204</c:v>
                </c:pt>
                <c:pt idx="2531">
                  <c:v>34205</c:v>
                </c:pt>
                <c:pt idx="2532">
                  <c:v>34206</c:v>
                </c:pt>
                <c:pt idx="2533">
                  <c:v>34207</c:v>
                </c:pt>
                <c:pt idx="2534">
                  <c:v>34208</c:v>
                </c:pt>
                <c:pt idx="2535">
                  <c:v>34211</c:v>
                </c:pt>
                <c:pt idx="2536">
                  <c:v>34212</c:v>
                </c:pt>
                <c:pt idx="2537">
                  <c:v>34213</c:v>
                </c:pt>
                <c:pt idx="2538">
                  <c:v>34214</c:v>
                </c:pt>
                <c:pt idx="2539">
                  <c:v>34215</c:v>
                </c:pt>
                <c:pt idx="2540">
                  <c:v>34218</c:v>
                </c:pt>
                <c:pt idx="2541">
                  <c:v>34219</c:v>
                </c:pt>
                <c:pt idx="2542">
                  <c:v>34220</c:v>
                </c:pt>
                <c:pt idx="2543">
                  <c:v>34221</c:v>
                </c:pt>
                <c:pt idx="2544">
                  <c:v>34222</c:v>
                </c:pt>
                <c:pt idx="2545">
                  <c:v>34225</c:v>
                </c:pt>
                <c:pt idx="2546">
                  <c:v>34226</c:v>
                </c:pt>
                <c:pt idx="2547">
                  <c:v>34227</c:v>
                </c:pt>
                <c:pt idx="2548">
                  <c:v>34228</c:v>
                </c:pt>
                <c:pt idx="2549">
                  <c:v>34229</c:v>
                </c:pt>
                <c:pt idx="2550">
                  <c:v>34232</c:v>
                </c:pt>
                <c:pt idx="2551">
                  <c:v>34233</c:v>
                </c:pt>
                <c:pt idx="2552">
                  <c:v>34234</c:v>
                </c:pt>
                <c:pt idx="2553">
                  <c:v>34235</c:v>
                </c:pt>
                <c:pt idx="2554">
                  <c:v>34236</c:v>
                </c:pt>
                <c:pt idx="2555">
                  <c:v>34239</c:v>
                </c:pt>
                <c:pt idx="2556">
                  <c:v>34240</c:v>
                </c:pt>
                <c:pt idx="2557">
                  <c:v>34241</c:v>
                </c:pt>
                <c:pt idx="2558">
                  <c:v>34242</c:v>
                </c:pt>
                <c:pt idx="2559">
                  <c:v>34243</c:v>
                </c:pt>
                <c:pt idx="2560">
                  <c:v>34246</c:v>
                </c:pt>
                <c:pt idx="2561">
                  <c:v>34247</c:v>
                </c:pt>
                <c:pt idx="2562">
                  <c:v>34248</c:v>
                </c:pt>
                <c:pt idx="2563">
                  <c:v>34249</c:v>
                </c:pt>
                <c:pt idx="2564">
                  <c:v>34250</c:v>
                </c:pt>
                <c:pt idx="2565">
                  <c:v>34253</c:v>
                </c:pt>
                <c:pt idx="2566">
                  <c:v>34254</c:v>
                </c:pt>
                <c:pt idx="2567">
                  <c:v>34255</c:v>
                </c:pt>
                <c:pt idx="2568">
                  <c:v>34256</c:v>
                </c:pt>
                <c:pt idx="2569">
                  <c:v>34257</c:v>
                </c:pt>
                <c:pt idx="2570">
                  <c:v>34260</c:v>
                </c:pt>
                <c:pt idx="2571">
                  <c:v>34261</c:v>
                </c:pt>
                <c:pt idx="2572">
                  <c:v>34262</c:v>
                </c:pt>
                <c:pt idx="2573">
                  <c:v>34263</c:v>
                </c:pt>
                <c:pt idx="2574">
                  <c:v>34264</c:v>
                </c:pt>
                <c:pt idx="2575">
                  <c:v>34267</c:v>
                </c:pt>
                <c:pt idx="2576">
                  <c:v>34268</c:v>
                </c:pt>
                <c:pt idx="2577">
                  <c:v>34269</c:v>
                </c:pt>
                <c:pt idx="2578">
                  <c:v>34270</c:v>
                </c:pt>
                <c:pt idx="2579">
                  <c:v>34271</c:v>
                </c:pt>
                <c:pt idx="2580">
                  <c:v>34274</c:v>
                </c:pt>
                <c:pt idx="2581">
                  <c:v>34275</c:v>
                </c:pt>
                <c:pt idx="2582">
                  <c:v>34276</c:v>
                </c:pt>
                <c:pt idx="2583">
                  <c:v>34277</c:v>
                </c:pt>
                <c:pt idx="2584">
                  <c:v>34278</c:v>
                </c:pt>
                <c:pt idx="2585">
                  <c:v>34281</c:v>
                </c:pt>
                <c:pt idx="2586">
                  <c:v>34282</c:v>
                </c:pt>
                <c:pt idx="2587">
                  <c:v>34283</c:v>
                </c:pt>
                <c:pt idx="2588">
                  <c:v>34284</c:v>
                </c:pt>
                <c:pt idx="2589">
                  <c:v>34285</c:v>
                </c:pt>
                <c:pt idx="2590">
                  <c:v>34288</c:v>
                </c:pt>
                <c:pt idx="2591">
                  <c:v>34289</c:v>
                </c:pt>
                <c:pt idx="2592">
                  <c:v>34290</c:v>
                </c:pt>
                <c:pt idx="2593">
                  <c:v>34291</c:v>
                </c:pt>
                <c:pt idx="2594">
                  <c:v>34292</c:v>
                </c:pt>
                <c:pt idx="2595">
                  <c:v>34295</c:v>
                </c:pt>
                <c:pt idx="2596">
                  <c:v>34296</c:v>
                </c:pt>
                <c:pt idx="2597">
                  <c:v>34297</c:v>
                </c:pt>
                <c:pt idx="2598">
                  <c:v>34298</c:v>
                </c:pt>
                <c:pt idx="2599">
                  <c:v>34299</c:v>
                </c:pt>
                <c:pt idx="2600">
                  <c:v>34302</c:v>
                </c:pt>
                <c:pt idx="2601">
                  <c:v>34303</c:v>
                </c:pt>
                <c:pt idx="2602">
                  <c:v>34304</c:v>
                </c:pt>
                <c:pt idx="2603">
                  <c:v>34305</c:v>
                </c:pt>
                <c:pt idx="2604">
                  <c:v>34306</c:v>
                </c:pt>
                <c:pt idx="2605">
                  <c:v>34309</c:v>
                </c:pt>
                <c:pt idx="2606">
                  <c:v>34310</c:v>
                </c:pt>
                <c:pt idx="2607">
                  <c:v>34311</c:v>
                </c:pt>
                <c:pt idx="2608">
                  <c:v>34312</c:v>
                </c:pt>
                <c:pt idx="2609">
                  <c:v>34313</c:v>
                </c:pt>
                <c:pt idx="2610">
                  <c:v>34316</c:v>
                </c:pt>
                <c:pt idx="2611">
                  <c:v>34317</c:v>
                </c:pt>
                <c:pt idx="2612">
                  <c:v>34318</c:v>
                </c:pt>
                <c:pt idx="2613">
                  <c:v>34319</c:v>
                </c:pt>
                <c:pt idx="2614">
                  <c:v>34320</c:v>
                </c:pt>
                <c:pt idx="2615">
                  <c:v>34323</c:v>
                </c:pt>
                <c:pt idx="2616">
                  <c:v>34324</c:v>
                </c:pt>
                <c:pt idx="2617">
                  <c:v>34325</c:v>
                </c:pt>
                <c:pt idx="2618">
                  <c:v>34326</c:v>
                </c:pt>
                <c:pt idx="2619">
                  <c:v>34327</c:v>
                </c:pt>
                <c:pt idx="2620">
                  <c:v>34330</c:v>
                </c:pt>
                <c:pt idx="2621">
                  <c:v>34331</c:v>
                </c:pt>
                <c:pt idx="2622">
                  <c:v>34332</c:v>
                </c:pt>
                <c:pt idx="2623">
                  <c:v>34333</c:v>
                </c:pt>
                <c:pt idx="2624">
                  <c:v>34334</c:v>
                </c:pt>
                <c:pt idx="2625">
                  <c:v>34337</c:v>
                </c:pt>
                <c:pt idx="2626">
                  <c:v>34338</c:v>
                </c:pt>
                <c:pt idx="2627">
                  <c:v>34339</c:v>
                </c:pt>
                <c:pt idx="2628">
                  <c:v>34340</c:v>
                </c:pt>
                <c:pt idx="2629">
                  <c:v>34341</c:v>
                </c:pt>
                <c:pt idx="2630">
                  <c:v>34344</c:v>
                </c:pt>
                <c:pt idx="2631">
                  <c:v>34345</c:v>
                </c:pt>
                <c:pt idx="2632">
                  <c:v>34346</c:v>
                </c:pt>
                <c:pt idx="2633">
                  <c:v>34347</c:v>
                </c:pt>
                <c:pt idx="2634">
                  <c:v>34348</c:v>
                </c:pt>
                <c:pt idx="2635">
                  <c:v>34351</c:v>
                </c:pt>
                <c:pt idx="2636">
                  <c:v>34352</c:v>
                </c:pt>
                <c:pt idx="2637">
                  <c:v>34353</c:v>
                </c:pt>
                <c:pt idx="2638">
                  <c:v>34354</c:v>
                </c:pt>
                <c:pt idx="2639">
                  <c:v>34355</c:v>
                </c:pt>
                <c:pt idx="2640">
                  <c:v>34358</c:v>
                </c:pt>
                <c:pt idx="2641">
                  <c:v>34359</c:v>
                </c:pt>
                <c:pt idx="2642">
                  <c:v>34360</c:v>
                </c:pt>
                <c:pt idx="2643">
                  <c:v>34361</c:v>
                </c:pt>
                <c:pt idx="2644">
                  <c:v>34362</c:v>
                </c:pt>
                <c:pt idx="2645">
                  <c:v>34365</c:v>
                </c:pt>
                <c:pt idx="2646">
                  <c:v>34366</c:v>
                </c:pt>
                <c:pt idx="2647">
                  <c:v>34367</c:v>
                </c:pt>
                <c:pt idx="2648">
                  <c:v>34368</c:v>
                </c:pt>
                <c:pt idx="2649">
                  <c:v>34369</c:v>
                </c:pt>
                <c:pt idx="2650">
                  <c:v>34372</c:v>
                </c:pt>
                <c:pt idx="2651">
                  <c:v>34373</c:v>
                </c:pt>
                <c:pt idx="2652">
                  <c:v>34374</c:v>
                </c:pt>
                <c:pt idx="2653">
                  <c:v>34375</c:v>
                </c:pt>
                <c:pt idx="2654">
                  <c:v>34376</c:v>
                </c:pt>
                <c:pt idx="2655">
                  <c:v>34379</c:v>
                </c:pt>
                <c:pt idx="2656">
                  <c:v>34380</c:v>
                </c:pt>
                <c:pt idx="2657">
                  <c:v>34381</c:v>
                </c:pt>
                <c:pt idx="2658">
                  <c:v>34382</c:v>
                </c:pt>
                <c:pt idx="2659">
                  <c:v>34383</c:v>
                </c:pt>
                <c:pt idx="2660">
                  <c:v>34386</c:v>
                </c:pt>
                <c:pt idx="2661">
                  <c:v>34387</c:v>
                </c:pt>
                <c:pt idx="2662">
                  <c:v>34388</c:v>
                </c:pt>
                <c:pt idx="2663">
                  <c:v>34389</c:v>
                </c:pt>
                <c:pt idx="2664">
                  <c:v>34390</c:v>
                </c:pt>
                <c:pt idx="2665">
                  <c:v>34393</c:v>
                </c:pt>
                <c:pt idx="2666">
                  <c:v>34394</c:v>
                </c:pt>
                <c:pt idx="2667">
                  <c:v>34395</c:v>
                </c:pt>
                <c:pt idx="2668">
                  <c:v>34396</c:v>
                </c:pt>
                <c:pt idx="2669">
                  <c:v>34397</c:v>
                </c:pt>
                <c:pt idx="2670">
                  <c:v>34400</c:v>
                </c:pt>
                <c:pt idx="2671">
                  <c:v>34401</c:v>
                </c:pt>
                <c:pt idx="2672">
                  <c:v>34402</c:v>
                </c:pt>
                <c:pt idx="2673">
                  <c:v>34403</c:v>
                </c:pt>
                <c:pt idx="2674">
                  <c:v>34404</c:v>
                </c:pt>
                <c:pt idx="2675">
                  <c:v>34407</c:v>
                </c:pt>
                <c:pt idx="2676">
                  <c:v>34408</c:v>
                </c:pt>
                <c:pt idx="2677">
                  <c:v>34409</c:v>
                </c:pt>
                <c:pt idx="2678">
                  <c:v>34410</c:v>
                </c:pt>
                <c:pt idx="2679">
                  <c:v>34411</c:v>
                </c:pt>
                <c:pt idx="2680">
                  <c:v>34414</c:v>
                </c:pt>
                <c:pt idx="2681">
                  <c:v>34415</c:v>
                </c:pt>
                <c:pt idx="2682">
                  <c:v>34416</c:v>
                </c:pt>
                <c:pt idx="2683">
                  <c:v>34417</c:v>
                </c:pt>
                <c:pt idx="2684">
                  <c:v>34418</c:v>
                </c:pt>
                <c:pt idx="2685">
                  <c:v>34421</c:v>
                </c:pt>
                <c:pt idx="2686">
                  <c:v>34422</c:v>
                </c:pt>
                <c:pt idx="2687">
                  <c:v>34423</c:v>
                </c:pt>
                <c:pt idx="2688">
                  <c:v>34424</c:v>
                </c:pt>
                <c:pt idx="2689">
                  <c:v>34425</c:v>
                </c:pt>
                <c:pt idx="2690">
                  <c:v>34428</c:v>
                </c:pt>
                <c:pt idx="2691">
                  <c:v>34429</c:v>
                </c:pt>
                <c:pt idx="2692">
                  <c:v>34430</c:v>
                </c:pt>
                <c:pt idx="2693">
                  <c:v>34431</c:v>
                </c:pt>
                <c:pt idx="2694">
                  <c:v>34432</c:v>
                </c:pt>
                <c:pt idx="2695">
                  <c:v>34435</c:v>
                </c:pt>
                <c:pt idx="2696">
                  <c:v>34436</c:v>
                </c:pt>
                <c:pt idx="2697">
                  <c:v>34437</c:v>
                </c:pt>
                <c:pt idx="2698">
                  <c:v>34438</c:v>
                </c:pt>
                <c:pt idx="2699">
                  <c:v>34439</c:v>
                </c:pt>
                <c:pt idx="2700">
                  <c:v>34442</c:v>
                </c:pt>
                <c:pt idx="2701">
                  <c:v>34443</c:v>
                </c:pt>
                <c:pt idx="2702">
                  <c:v>34444</c:v>
                </c:pt>
                <c:pt idx="2703">
                  <c:v>34445</c:v>
                </c:pt>
                <c:pt idx="2704">
                  <c:v>34446</c:v>
                </c:pt>
                <c:pt idx="2705">
                  <c:v>34449</c:v>
                </c:pt>
                <c:pt idx="2706">
                  <c:v>34450</c:v>
                </c:pt>
                <c:pt idx="2707">
                  <c:v>34451</c:v>
                </c:pt>
                <c:pt idx="2708">
                  <c:v>34452</c:v>
                </c:pt>
                <c:pt idx="2709">
                  <c:v>34453</c:v>
                </c:pt>
                <c:pt idx="2710">
                  <c:v>34456</c:v>
                </c:pt>
                <c:pt idx="2711">
                  <c:v>34457</c:v>
                </c:pt>
                <c:pt idx="2712">
                  <c:v>34458</c:v>
                </c:pt>
                <c:pt idx="2713">
                  <c:v>34459</c:v>
                </c:pt>
                <c:pt idx="2714">
                  <c:v>34460</c:v>
                </c:pt>
                <c:pt idx="2715">
                  <c:v>34463</c:v>
                </c:pt>
                <c:pt idx="2716">
                  <c:v>34464</c:v>
                </c:pt>
                <c:pt idx="2717">
                  <c:v>34465</c:v>
                </c:pt>
                <c:pt idx="2718">
                  <c:v>34466</c:v>
                </c:pt>
                <c:pt idx="2719">
                  <c:v>34467</c:v>
                </c:pt>
                <c:pt idx="2720">
                  <c:v>34470</c:v>
                </c:pt>
                <c:pt idx="2721">
                  <c:v>34471</c:v>
                </c:pt>
                <c:pt idx="2722">
                  <c:v>34472</c:v>
                </c:pt>
                <c:pt idx="2723">
                  <c:v>34473</c:v>
                </c:pt>
                <c:pt idx="2724">
                  <c:v>34474</c:v>
                </c:pt>
                <c:pt idx="2725">
                  <c:v>34477</c:v>
                </c:pt>
                <c:pt idx="2726">
                  <c:v>34478</c:v>
                </c:pt>
                <c:pt idx="2727">
                  <c:v>34479</c:v>
                </c:pt>
                <c:pt idx="2728">
                  <c:v>34480</c:v>
                </c:pt>
                <c:pt idx="2729">
                  <c:v>34481</c:v>
                </c:pt>
                <c:pt idx="2730">
                  <c:v>34484</c:v>
                </c:pt>
                <c:pt idx="2731">
                  <c:v>34485</c:v>
                </c:pt>
                <c:pt idx="2732">
                  <c:v>34486</c:v>
                </c:pt>
                <c:pt idx="2733">
                  <c:v>34487</c:v>
                </c:pt>
                <c:pt idx="2734">
                  <c:v>34488</c:v>
                </c:pt>
                <c:pt idx="2735">
                  <c:v>34491</c:v>
                </c:pt>
                <c:pt idx="2736">
                  <c:v>34492</c:v>
                </c:pt>
                <c:pt idx="2737">
                  <c:v>34493</c:v>
                </c:pt>
                <c:pt idx="2738">
                  <c:v>34494</c:v>
                </c:pt>
                <c:pt idx="2739">
                  <c:v>34495</c:v>
                </c:pt>
                <c:pt idx="2740">
                  <c:v>34498</c:v>
                </c:pt>
                <c:pt idx="2741">
                  <c:v>34499</c:v>
                </c:pt>
                <c:pt idx="2742">
                  <c:v>34500</c:v>
                </c:pt>
                <c:pt idx="2743">
                  <c:v>34501</c:v>
                </c:pt>
                <c:pt idx="2744">
                  <c:v>34502</c:v>
                </c:pt>
                <c:pt idx="2745">
                  <c:v>34505</c:v>
                </c:pt>
                <c:pt idx="2746">
                  <c:v>34506</c:v>
                </c:pt>
                <c:pt idx="2747">
                  <c:v>34507</c:v>
                </c:pt>
                <c:pt idx="2748">
                  <c:v>34508</c:v>
                </c:pt>
                <c:pt idx="2749">
                  <c:v>34509</c:v>
                </c:pt>
                <c:pt idx="2750">
                  <c:v>34512</c:v>
                </c:pt>
                <c:pt idx="2751">
                  <c:v>34513</c:v>
                </c:pt>
                <c:pt idx="2752">
                  <c:v>34514</c:v>
                </c:pt>
                <c:pt idx="2753">
                  <c:v>34515</c:v>
                </c:pt>
                <c:pt idx="2754">
                  <c:v>34516</c:v>
                </c:pt>
                <c:pt idx="2755">
                  <c:v>34519</c:v>
                </c:pt>
                <c:pt idx="2756">
                  <c:v>34520</c:v>
                </c:pt>
                <c:pt idx="2757">
                  <c:v>34521</c:v>
                </c:pt>
                <c:pt idx="2758">
                  <c:v>34522</c:v>
                </c:pt>
                <c:pt idx="2759">
                  <c:v>34523</c:v>
                </c:pt>
                <c:pt idx="2760">
                  <c:v>34526</c:v>
                </c:pt>
                <c:pt idx="2761">
                  <c:v>34527</c:v>
                </c:pt>
                <c:pt idx="2762">
                  <c:v>34528</c:v>
                </c:pt>
                <c:pt idx="2763">
                  <c:v>34529</c:v>
                </c:pt>
                <c:pt idx="2764">
                  <c:v>34530</c:v>
                </c:pt>
                <c:pt idx="2765">
                  <c:v>34533</c:v>
                </c:pt>
                <c:pt idx="2766">
                  <c:v>34534</c:v>
                </c:pt>
                <c:pt idx="2767">
                  <c:v>34535</c:v>
                </c:pt>
                <c:pt idx="2768">
                  <c:v>34536</c:v>
                </c:pt>
                <c:pt idx="2769">
                  <c:v>34537</c:v>
                </c:pt>
                <c:pt idx="2770">
                  <c:v>34540</c:v>
                </c:pt>
                <c:pt idx="2771">
                  <c:v>34541</c:v>
                </c:pt>
                <c:pt idx="2772">
                  <c:v>34542</c:v>
                </c:pt>
                <c:pt idx="2773">
                  <c:v>34543</c:v>
                </c:pt>
                <c:pt idx="2774">
                  <c:v>34544</c:v>
                </c:pt>
                <c:pt idx="2775">
                  <c:v>34547</c:v>
                </c:pt>
                <c:pt idx="2776">
                  <c:v>34548</c:v>
                </c:pt>
                <c:pt idx="2777">
                  <c:v>34549</c:v>
                </c:pt>
                <c:pt idx="2778">
                  <c:v>34550</c:v>
                </c:pt>
                <c:pt idx="2779">
                  <c:v>34551</c:v>
                </c:pt>
                <c:pt idx="2780">
                  <c:v>34554</c:v>
                </c:pt>
                <c:pt idx="2781">
                  <c:v>34555</c:v>
                </c:pt>
                <c:pt idx="2782">
                  <c:v>34556</c:v>
                </c:pt>
                <c:pt idx="2783">
                  <c:v>34557</c:v>
                </c:pt>
                <c:pt idx="2784">
                  <c:v>34558</c:v>
                </c:pt>
                <c:pt idx="2785">
                  <c:v>34561</c:v>
                </c:pt>
                <c:pt idx="2786">
                  <c:v>34562</c:v>
                </c:pt>
                <c:pt idx="2787">
                  <c:v>34563</c:v>
                </c:pt>
                <c:pt idx="2788">
                  <c:v>34564</c:v>
                </c:pt>
                <c:pt idx="2789">
                  <c:v>34565</c:v>
                </c:pt>
                <c:pt idx="2790">
                  <c:v>34568</c:v>
                </c:pt>
                <c:pt idx="2791">
                  <c:v>34569</c:v>
                </c:pt>
                <c:pt idx="2792">
                  <c:v>34570</c:v>
                </c:pt>
                <c:pt idx="2793">
                  <c:v>34571</c:v>
                </c:pt>
                <c:pt idx="2794">
                  <c:v>34572</c:v>
                </c:pt>
                <c:pt idx="2795">
                  <c:v>34575</c:v>
                </c:pt>
                <c:pt idx="2796">
                  <c:v>34576</c:v>
                </c:pt>
                <c:pt idx="2797">
                  <c:v>34577</c:v>
                </c:pt>
                <c:pt idx="2798">
                  <c:v>34578</c:v>
                </c:pt>
                <c:pt idx="2799">
                  <c:v>34579</c:v>
                </c:pt>
                <c:pt idx="2800">
                  <c:v>34582</c:v>
                </c:pt>
                <c:pt idx="2801">
                  <c:v>34583</c:v>
                </c:pt>
                <c:pt idx="2802">
                  <c:v>34584</c:v>
                </c:pt>
                <c:pt idx="2803">
                  <c:v>34585</c:v>
                </c:pt>
                <c:pt idx="2804">
                  <c:v>34586</c:v>
                </c:pt>
                <c:pt idx="2805">
                  <c:v>34589</c:v>
                </c:pt>
                <c:pt idx="2806">
                  <c:v>34590</c:v>
                </c:pt>
                <c:pt idx="2807">
                  <c:v>34591</c:v>
                </c:pt>
                <c:pt idx="2808">
                  <c:v>34592</c:v>
                </c:pt>
                <c:pt idx="2809">
                  <c:v>34593</c:v>
                </c:pt>
                <c:pt idx="2810">
                  <c:v>34596</c:v>
                </c:pt>
                <c:pt idx="2811">
                  <c:v>34597</c:v>
                </c:pt>
                <c:pt idx="2812">
                  <c:v>34598</c:v>
                </c:pt>
                <c:pt idx="2813">
                  <c:v>34599</c:v>
                </c:pt>
                <c:pt idx="2814">
                  <c:v>34600</c:v>
                </c:pt>
                <c:pt idx="2815">
                  <c:v>34603</c:v>
                </c:pt>
                <c:pt idx="2816">
                  <c:v>34604</c:v>
                </c:pt>
                <c:pt idx="2817">
                  <c:v>34605</c:v>
                </c:pt>
                <c:pt idx="2818">
                  <c:v>34606</c:v>
                </c:pt>
                <c:pt idx="2819">
                  <c:v>34607</c:v>
                </c:pt>
                <c:pt idx="2820">
                  <c:v>34610</c:v>
                </c:pt>
                <c:pt idx="2821">
                  <c:v>34611</c:v>
                </c:pt>
                <c:pt idx="2822">
                  <c:v>34612</c:v>
                </c:pt>
                <c:pt idx="2823">
                  <c:v>34613</c:v>
                </c:pt>
                <c:pt idx="2824">
                  <c:v>34614</c:v>
                </c:pt>
                <c:pt idx="2825">
                  <c:v>34617</c:v>
                </c:pt>
                <c:pt idx="2826">
                  <c:v>34618</c:v>
                </c:pt>
                <c:pt idx="2827">
                  <c:v>34619</c:v>
                </c:pt>
                <c:pt idx="2828">
                  <c:v>34620</c:v>
                </c:pt>
                <c:pt idx="2829">
                  <c:v>34621</c:v>
                </c:pt>
                <c:pt idx="2830">
                  <c:v>34624</c:v>
                </c:pt>
                <c:pt idx="2831">
                  <c:v>34625</c:v>
                </c:pt>
                <c:pt idx="2832">
                  <c:v>34626</c:v>
                </c:pt>
                <c:pt idx="2833">
                  <c:v>34627</c:v>
                </c:pt>
                <c:pt idx="2834">
                  <c:v>34628</c:v>
                </c:pt>
                <c:pt idx="2835">
                  <c:v>34631</c:v>
                </c:pt>
                <c:pt idx="2836">
                  <c:v>34632</c:v>
                </c:pt>
                <c:pt idx="2837">
                  <c:v>34633</c:v>
                </c:pt>
                <c:pt idx="2838">
                  <c:v>34634</c:v>
                </c:pt>
                <c:pt idx="2839">
                  <c:v>34635</c:v>
                </c:pt>
                <c:pt idx="2840">
                  <c:v>34638</c:v>
                </c:pt>
                <c:pt idx="2841">
                  <c:v>34639</c:v>
                </c:pt>
                <c:pt idx="2842">
                  <c:v>34640</c:v>
                </c:pt>
                <c:pt idx="2843">
                  <c:v>34641</c:v>
                </c:pt>
                <c:pt idx="2844">
                  <c:v>34642</c:v>
                </c:pt>
                <c:pt idx="2845">
                  <c:v>34645</c:v>
                </c:pt>
                <c:pt idx="2846">
                  <c:v>34646</c:v>
                </c:pt>
                <c:pt idx="2847">
                  <c:v>34647</c:v>
                </c:pt>
                <c:pt idx="2848">
                  <c:v>34648</c:v>
                </c:pt>
                <c:pt idx="2849">
                  <c:v>34649</c:v>
                </c:pt>
                <c:pt idx="2850">
                  <c:v>34652</c:v>
                </c:pt>
                <c:pt idx="2851">
                  <c:v>34653</c:v>
                </c:pt>
                <c:pt idx="2852">
                  <c:v>34654</c:v>
                </c:pt>
                <c:pt idx="2853">
                  <c:v>34655</c:v>
                </c:pt>
                <c:pt idx="2854">
                  <c:v>34656</c:v>
                </c:pt>
                <c:pt idx="2855">
                  <c:v>34659</c:v>
                </c:pt>
                <c:pt idx="2856">
                  <c:v>34660</c:v>
                </c:pt>
                <c:pt idx="2857">
                  <c:v>34661</c:v>
                </c:pt>
                <c:pt idx="2858">
                  <c:v>34662</c:v>
                </c:pt>
                <c:pt idx="2859">
                  <c:v>34663</c:v>
                </c:pt>
                <c:pt idx="2860">
                  <c:v>34666</c:v>
                </c:pt>
                <c:pt idx="2861">
                  <c:v>34667</c:v>
                </c:pt>
                <c:pt idx="2862">
                  <c:v>34668</c:v>
                </c:pt>
                <c:pt idx="2863">
                  <c:v>34669</c:v>
                </c:pt>
                <c:pt idx="2864">
                  <c:v>34670</c:v>
                </c:pt>
                <c:pt idx="2865">
                  <c:v>34673</c:v>
                </c:pt>
                <c:pt idx="2866">
                  <c:v>34674</c:v>
                </c:pt>
                <c:pt idx="2867">
                  <c:v>34675</c:v>
                </c:pt>
                <c:pt idx="2868">
                  <c:v>34676</c:v>
                </c:pt>
                <c:pt idx="2869">
                  <c:v>34677</c:v>
                </c:pt>
                <c:pt idx="2870">
                  <c:v>34680</c:v>
                </c:pt>
                <c:pt idx="2871">
                  <c:v>34681</c:v>
                </c:pt>
                <c:pt idx="2872">
                  <c:v>34682</c:v>
                </c:pt>
                <c:pt idx="2873">
                  <c:v>34683</c:v>
                </c:pt>
                <c:pt idx="2874">
                  <c:v>34684</c:v>
                </c:pt>
                <c:pt idx="2875">
                  <c:v>34687</c:v>
                </c:pt>
                <c:pt idx="2876">
                  <c:v>34688</c:v>
                </c:pt>
                <c:pt idx="2877">
                  <c:v>34689</c:v>
                </c:pt>
                <c:pt idx="2878">
                  <c:v>34690</c:v>
                </c:pt>
                <c:pt idx="2879">
                  <c:v>34691</c:v>
                </c:pt>
                <c:pt idx="2880">
                  <c:v>34694</c:v>
                </c:pt>
                <c:pt idx="2881">
                  <c:v>34695</c:v>
                </c:pt>
                <c:pt idx="2882">
                  <c:v>34696</c:v>
                </c:pt>
                <c:pt idx="2883">
                  <c:v>34697</c:v>
                </c:pt>
                <c:pt idx="2884">
                  <c:v>34698</c:v>
                </c:pt>
                <c:pt idx="2885">
                  <c:v>34701</c:v>
                </c:pt>
                <c:pt idx="2886">
                  <c:v>34702</c:v>
                </c:pt>
                <c:pt idx="2887">
                  <c:v>34703</c:v>
                </c:pt>
                <c:pt idx="2888">
                  <c:v>34704</c:v>
                </c:pt>
                <c:pt idx="2889">
                  <c:v>34705</c:v>
                </c:pt>
                <c:pt idx="2890">
                  <c:v>34708</c:v>
                </c:pt>
                <c:pt idx="2891">
                  <c:v>34709</c:v>
                </c:pt>
                <c:pt idx="2892">
                  <c:v>34710</c:v>
                </c:pt>
                <c:pt idx="2893">
                  <c:v>34711</c:v>
                </c:pt>
                <c:pt idx="2894">
                  <c:v>34712</c:v>
                </c:pt>
                <c:pt idx="2895">
                  <c:v>34715</c:v>
                </c:pt>
                <c:pt idx="2896">
                  <c:v>34716</c:v>
                </c:pt>
                <c:pt idx="2897">
                  <c:v>34717</c:v>
                </c:pt>
                <c:pt idx="2898">
                  <c:v>34718</c:v>
                </c:pt>
                <c:pt idx="2899">
                  <c:v>34719</c:v>
                </c:pt>
                <c:pt idx="2900">
                  <c:v>34722</c:v>
                </c:pt>
                <c:pt idx="2901">
                  <c:v>34723</c:v>
                </c:pt>
                <c:pt idx="2902">
                  <c:v>34724</c:v>
                </c:pt>
                <c:pt idx="2903">
                  <c:v>34725</c:v>
                </c:pt>
                <c:pt idx="2904">
                  <c:v>34726</c:v>
                </c:pt>
                <c:pt idx="2905">
                  <c:v>34729</c:v>
                </c:pt>
                <c:pt idx="2906">
                  <c:v>34730</c:v>
                </c:pt>
                <c:pt idx="2907">
                  <c:v>34731</c:v>
                </c:pt>
                <c:pt idx="2908">
                  <c:v>34732</c:v>
                </c:pt>
                <c:pt idx="2909">
                  <c:v>34733</c:v>
                </c:pt>
                <c:pt idx="2910">
                  <c:v>34736</c:v>
                </c:pt>
                <c:pt idx="2911">
                  <c:v>34737</c:v>
                </c:pt>
                <c:pt idx="2912">
                  <c:v>34738</c:v>
                </c:pt>
                <c:pt idx="2913">
                  <c:v>34739</c:v>
                </c:pt>
                <c:pt idx="2914">
                  <c:v>34740</c:v>
                </c:pt>
                <c:pt idx="2915">
                  <c:v>34743</c:v>
                </c:pt>
                <c:pt idx="2916">
                  <c:v>34744</c:v>
                </c:pt>
                <c:pt idx="2917">
                  <c:v>34745</c:v>
                </c:pt>
                <c:pt idx="2918">
                  <c:v>34746</c:v>
                </c:pt>
                <c:pt idx="2919">
                  <c:v>34747</c:v>
                </c:pt>
                <c:pt idx="2920">
                  <c:v>34750</c:v>
                </c:pt>
                <c:pt idx="2921">
                  <c:v>34751</c:v>
                </c:pt>
                <c:pt idx="2922">
                  <c:v>34752</c:v>
                </c:pt>
                <c:pt idx="2923">
                  <c:v>34753</c:v>
                </c:pt>
                <c:pt idx="2924">
                  <c:v>34754</c:v>
                </c:pt>
                <c:pt idx="2925">
                  <c:v>34757</c:v>
                </c:pt>
                <c:pt idx="2926">
                  <c:v>34758</c:v>
                </c:pt>
                <c:pt idx="2927">
                  <c:v>34759</c:v>
                </c:pt>
                <c:pt idx="2928">
                  <c:v>34760</c:v>
                </c:pt>
                <c:pt idx="2929">
                  <c:v>34761</c:v>
                </c:pt>
                <c:pt idx="2930">
                  <c:v>34764</c:v>
                </c:pt>
                <c:pt idx="2931">
                  <c:v>34765</c:v>
                </c:pt>
                <c:pt idx="2932">
                  <c:v>34766</c:v>
                </c:pt>
                <c:pt idx="2933">
                  <c:v>34767</c:v>
                </c:pt>
                <c:pt idx="2934">
                  <c:v>34768</c:v>
                </c:pt>
                <c:pt idx="2935">
                  <c:v>34771</c:v>
                </c:pt>
                <c:pt idx="2936">
                  <c:v>34772</c:v>
                </c:pt>
                <c:pt idx="2937">
                  <c:v>34773</c:v>
                </c:pt>
                <c:pt idx="2938">
                  <c:v>34774</c:v>
                </c:pt>
                <c:pt idx="2939">
                  <c:v>34775</c:v>
                </c:pt>
                <c:pt idx="2940">
                  <c:v>34778</c:v>
                </c:pt>
                <c:pt idx="2941">
                  <c:v>34779</c:v>
                </c:pt>
                <c:pt idx="2942">
                  <c:v>34780</c:v>
                </c:pt>
                <c:pt idx="2943">
                  <c:v>34781</c:v>
                </c:pt>
                <c:pt idx="2944">
                  <c:v>34782</c:v>
                </c:pt>
                <c:pt idx="2945">
                  <c:v>34785</c:v>
                </c:pt>
                <c:pt idx="2946">
                  <c:v>34786</c:v>
                </c:pt>
                <c:pt idx="2947">
                  <c:v>34787</c:v>
                </c:pt>
                <c:pt idx="2948">
                  <c:v>34788</c:v>
                </c:pt>
                <c:pt idx="2949">
                  <c:v>34789</c:v>
                </c:pt>
                <c:pt idx="2950">
                  <c:v>34792</c:v>
                </c:pt>
                <c:pt idx="2951">
                  <c:v>34793</c:v>
                </c:pt>
                <c:pt idx="2952">
                  <c:v>34794</c:v>
                </c:pt>
                <c:pt idx="2953">
                  <c:v>34795</c:v>
                </c:pt>
                <c:pt idx="2954">
                  <c:v>34796</c:v>
                </c:pt>
                <c:pt idx="2955">
                  <c:v>34799</c:v>
                </c:pt>
                <c:pt idx="2956">
                  <c:v>34800</c:v>
                </c:pt>
                <c:pt idx="2957">
                  <c:v>34801</c:v>
                </c:pt>
                <c:pt idx="2958">
                  <c:v>34802</c:v>
                </c:pt>
                <c:pt idx="2959">
                  <c:v>34803</c:v>
                </c:pt>
                <c:pt idx="2960">
                  <c:v>34806</c:v>
                </c:pt>
                <c:pt idx="2961">
                  <c:v>34807</c:v>
                </c:pt>
                <c:pt idx="2962">
                  <c:v>34808</c:v>
                </c:pt>
                <c:pt idx="2963">
                  <c:v>34809</c:v>
                </c:pt>
                <c:pt idx="2964">
                  <c:v>34810</c:v>
                </c:pt>
                <c:pt idx="2965">
                  <c:v>34813</c:v>
                </c:pt>
                <c:pt idx="2966">
                  <c:v>34814</c:v>
                </c:pt>
                <c:pt idx="2967">
                  <c:v>34815</c:v>
                </c:pt>
                <c:pt idx="2968">
                  <c:v>34816</c:v>
                </c:pt>
                <c:pt idx="2969">
                  <c:v>34817</c:v>
                </c:pt>
                <c:pt idx="2970">
                  <c:v>34820</c:v>
                </c:pt>
                <c:pt idx="2971">
                  <c:v>34821</c:v>
                </c:pt>
                <c:pt idx="2972">
                  <c:v>34822</c:v>
                </c:pt>
                <c:pt idx="2973">
                  <c:v>34823</c:v>
                </c:pt>
                <c:pt idx="2974">
                  <c:v>34824</c:v>
                </c:pt>
                <c:pt idx="2975">
                  <c:v>34827</c:v>
                </c:pt>
                <c:pt idx="2976">
                  <c:v>34828</c:v>
                </c:pt>
                <c:pt idx="2977">
                  <c:v>34829</c:v>
                </c:pt>
                <c:pt idx="2978">
                  <c:v>34830</c:v>
                </c:pt>
                <c:pt idx="2979">
                  <c:v>34831</c:v>
                </c:pt>
                <c:pt idx="2980">
                  <c:v>34834</c:v>
                </c:pt>
                <c:pt idx="2981">
                  <c:v>34835</c:v>
                </c:pt>
                <c:pt idx="2982">
                  <c:v>34836</c:v>
                </c:pt>
                <c:pt idx="2983">
                  <c:v>34837</c:v>
                </c:pt>
                <c:pt idx="2984">
                  <c:v>34838</c:v>
                </c:pt>
                <c:pt idx="2985">
                  <c:v>34841</c:v>
                </c:pt>
                <c:pt idx="2986">
                  <c:v>34842</c:v>
                </c:pt>
                <c:pt idx="2987">
                  <c:v>34843</c:v>
                </c:pt>
                <c:pt idx="2988">
                  <c:v>34844</c:v>
                </c:pt>
                <c:pt idx="2989">
                  <c:v>34845</c:v>
                </c:pt>
                <c:pt idx="2990">
                  <c:v>34848</c:v>
                </c:pt>
                <c:pt idx="2991">
                  <c:v>34849</c:v>
                </c:pt>
                <c:pt idx="2992">
                  <c:v>34850</c:v>
                </c:pt>
                <c:pt idx="2993">
                  <c:v>34851</c:v>
                </c:pt>
                <c:pt idx="2994">
                  <c:v>34852</c:v>
                </c:pt>
                <c:pt idx="2995">
                  <c:v>34855</c:v>
                </c:pt>
                <c:pt idx="2996">
                  <c:v>34856</c:v>
                </c:pt>
                <c:pt idx="2997">
                  <c:v>34857</c:v>
                </c:pt>
                <c:pt idx="2998">
                  <c:v>34858</c:v>
                </c:pt>
                <c:pt idx="2999">
                  <c:v>34859</c:v>
                </c:pt>
                <c:pt idx="3000">
                  <c:v>34862</c:v>
                </c:pt>
                <c:pt idx="3001">
                  <c:v>34863</c:v>
                </c:pt>
                <c:pt idx="3002">
                  <c:v>34864</c:v>
                </c:pt>
                <c:pt idx="3003">
                  <c:v>34865</c:v>
                </c:pt>
                <c:pt idx="3004">
                  <c:v>34866</c:v>
                </c:pt>
                <c:pt idx="3005">
                  <c:v>34869</c:v>
                </c:pt>
                <c:pt idx="3006">
                  <c:v>34870</c:v>
                </c:pt>
                <c:pt idx="3007">
                  <c:v>34871</c:v>
                </c:pt>
                <c:pt idx="3008">
                  <c:v>34872</c:v>
                </c:pt>
                <c:pt idx="3009">
                  <c:v>34873</c:v>
                </c:pt>
                <c:pt idx="3010">
                  <c:v>34876</c:v>
                </c:pt>
                <c:pt idx="3011">
                  <c:v>34877</c:v>
                </c:pt>
                <c:pt idx="3012">
                  <c:v>34878</c:v>
                </c:pt>
                <c:pt idx="3013">
                  <c:v>34879</c:v>
                </c:pt>
                <c:pt idx="3014">
                  <c:v>34880</c:v>
                </c:pt>
                <c:pt idx="3015">
                  <c:v>34883</c:v>
                </c:pt>
                <c:pt idx="3016">
                  <c:v>34884</c:v>
                </c:pt>
                <c:pt idx="3017">
                  <c:v>34885</c:v>
                </c:pt>
                <c:pt idx="3018">
                  <c:v>34886</c:v>
                </c:pt>
                <c:pt idx="3019">
                  <c:v>34887</c:v>
                </c:pt>
                <c:pt idx="3020">
                  <c:v>34890</c:v>
                </c:pt>
                <c:pt idx="3021">
                  <c:v>34891</c:v>
                </c:pt>
                <c:pt idx="3022">
                  <c:v>34892</c:v>
                </c:pt>
                <c:pt idx="3023">
                  <c:v>34893</c:v>
                </c:pt>
                <c:pt idx="3024">
                  <c:v>34894</c:v>
                </c:pt>
                <c:pt idx="3025">
                  <c:v>34897</c:v>
                </c:pt>
                <c:pt idx="3026">
                  <c:v>34898</c:v>
                </c:pt>
                <c:pt idx="3027">
                  <c:v>34899</c:v>
                </c:pt>
                <c:pt idx="3028">
                  <c:v>34900</c:v>
                </c:pt>
                <c:pt idx="3029">
                  <c:v>34901</c:v>
                </c:pt>
                <c:pt idx="3030">
                  <c:v>34904</c:v>
                </c:pt>
                <c:pt idx="3031">
                  <c:v>34905</c:v>
                </c:pt>
                <c:pt idx="3032">
                  <c:v>34906</c:v>
                </c:pt>
                <c:pt idx="3033">
                  <c:v>34907</c:v>
                </c:pt>
                <c:pt idx="3034">
                  <c:v>34908</c:v>
                </c:pt>
                <c:pt idx="3035">
                  <c:v>34911</c:v>
                </c:pt>
                <c:pt idx="3036">
                  <c:v>34912</c:v>
                </c:pt>
                <c:pt idx="3037">
                  <c:v>34913</c:v>
                </c:pt>
                <c:pt idx="3038">
                  <c:v>34914</c:v>
                </c:pt>
                <c:pt idx="3039">
                  <c:v>34915</c:v>
                </c:pt>
                <c:pt idx="3040">
                  <c:v>34918</c:v>
                </c:pt>
                <c:pt idx="3041">
                  <c:v>34919</c:v>
                </c:pt>
                <c:pt idx="3042">
                  <c:v>34920</c:v>
                </c:pt>
                <c:pt idx="3043">
                  <c:v>34921</c:v>
                </c:pt>
                <c:pt idx="3044">
                  <c:v>34922</c:v>
                </c:pt>
                <c:pt idx="3045">
                  <c:v>34925</c:v>
                </c:pt>
                <c:pt idx="3046">
                  <c:v>34926</c:v>
                </c:pt>
                <c:pt idx="3047">
                  <c:v>34927</c:v>
                </c:pt>
                <c:pt idx="3048">
                  <c:v>34928</c:v>
                </c:pt>
                <c:pt idx="3049">
                  <c:v>34929</c:v>
                </c:pt>
                <c:pt idx="3050">
                  <c:v>34932</c:v>
                </c:pt>
                <c:pt idx="3051">
                  <c:v>34933</c:v>
                </c:pt>
                <c:pt idx="3052">
                  <c:v>34934</c:v>
                </c:pt>
                <c:pt idx="3053">
                  <c:v>34935</c:v>
                </c:pt>
                <c:pt idx="3054">
                  <c:v>34936</c:v>
                </c:pt>
                <c:pt idx="3055">
                  <c:v>34939</c:v>
                </c:pt>
                <c:pt idx="3056">
                  <c:v>34940</c:v>
                </c:pt>
                <c:pt idx="3057">
                  <c:v>34941</c:v>
                </c:pt>
                <c:pt idx="3058">
                  <c:v>34942</c:v>
                </c:pt>
                <c:pt idx="3059">
                  <c:v>34943</c:v>
                </c:pt>
                <c:pt idx="3060">
                  <c:v>34946</c:v>
                </c:pt>
                <c:pt idx="3061">
                  <c:v>34947</c:v>
                </c:pt>
                <c:pt idx="3062">
                  <c:v>34948</c:v>
                </c:pt>
                <c:pt idx="3063">
                  <c:v>34949</c:v>
                </c:pt>
                <c:pt idx="3064">
                  <c:v>34950</c:v>
                </c:pt>
                <c:pt idx="3065">
                  <c:v>34953</c:v>
                </c:pt>
                <c:pt idx="3066">
                  <c:v>34954</c:v>
                </c:pt>
                <c:pt idx="3067">
                  <c:v>34955</c:v>
                </c:pt>
                <c:pt idx="3068">
                  <c:v>34956</c:v>
                </c:pt>
                <c:pt idx="3069">
                  <c:v>34957</c:v>
                </c:pt>
                <c:pt idx="3070">
                  <c:v>34960</c:v>
                </c:pt>
                <c:pt idx="3071">
                  <c:v>34961</c:v>
                </c:pt>
                <c:pt idx="3072">
                  <c:v>34962</c:v>
                </c:pt>
                <c:pt idx="3073">
                  <c:v>34963</c:v>
                </c:pt>
                <c:pt idx="3074">
                  <c:v>34964</c:v>
                </c:pt>
                <c:pt idx="3075">
                  <c:v>34967</c:v>
                </c:pt>
                <c:pt idx="3076">
                  <c:v>34968</c:v>
                </c:pt>
                <c:pt idx="3077">
                  <c:v>34969</c:v>
                </c:pt>
                <c:pt idx="3078">
                  <c:v>34970</c:v>
                </c:pt>
                <c:pt idx="3079">
                  <c:v>34971</c:v>
                </c:pt>
                <c:pt idx="3080">
                  <c:v>34974</c:v>
                </c:pt>
                <c:pt idx="3081">
                  <c:v>34975</c:v>
                </c:pt>
                <c:pt idx="3082">
                  <c:v>34976</c:v>
                </c:pt>
                <c:pt idx="3083">
                  <c:v>34977</c:v>
                </c:pt>
                <c:pt idx="3084">
                  <c:v>34978</c:v>
                </c:pt>
                <c:pt idx="3085">
                  <c:v>34981</c:v>
                </c:pt>
                <c:pt idx="3086">
                  <c:v>34982</c:v>
                </c:pt>
                <c:pt idx="3087">
                  <c:v>34983</c:v>
                </c:pt>
                <c:pt idx="3088">
                  <c:v>34984</c:v>
                </c:pt>
                <c:pt idx="3089">
                  <c:v>34985</c:v>
                </c:pt>
                <c:pt idx="3090">
                  <c:v>34988</c:v>
                </c:pt>
                <c:pt idx="3091">
                  <c:v>34989</c:v>
                </c:pt>
                <c:pt idx="3092">
                  <c:v>34990</c:v>
                </c:pt>
                <c:pt idx="3093">
                  <c:v>34991</c:v>
                </c:pt>
                <c:pt idx="3094">
                  <c:v>34992</c:v>
                </c:pt>
                <c:pt idx="3095">
                  <c:v>34995</c:v>
                </c:pt>
                <c:pt idx="3096">
                  <c:v>34996</c:v>
                </c:pt>
                <c:pt idx="3097">
                  <c:v>34997</c:v>
                </c:pt>
                <c:pt idx="3098">
                  <c:v>34998</c:v>
                </c:pt>
                <c:pt idx="3099">
                  <c:v>34999</c:v>
                </c:pt>
                <c:pt idx="3100">
                  <c:v>35002</c:v>
                </c:pt>
                <c:pt idx="3101">
                  <c:v>35003</c:v>
                </c:pt>
                <c:pt idx="3102">
                  <c:v>35004</c:v>
                </c:pt>
                <c:pt idx="3103">
                  <c:v>35005</c:v>
                </c:pt>
                <c:pt idx="3104">
                  <c:v>35006</c:v>
                </c:pt>
                <c:pt idx="3105">
                  <c:v>35009</c:v>
                </c:pt>
                <c:pt idx="3106">
                  <c:v>35010</c:v>
                </c:pt>
                <c:pt idx="3107">
                  <c:v>35011</c:v>
                </c:pt>
                <c:pt idx="3108">
                  <c:v>35012</c:v>
                </c:pt>
                <c:pt idx="3109">
                  <c:v>35013</c:v>
                </c:pt>
                <c:pt idx="3110">
                  <c:v>35016</c:v>
                </c:pt>
                <c:pt idx="3111">
                  <c:v>35017</c:v>
                </c:pt>
                <c:pt idx="3112">
                  <c:v>35018</c:v>
                </c:pt>
                <c:pt idx="3113">
                  <c:v>35019</c:v>
                </c:pt>
                <c:pt idx="3114">
                  <c:v>35020</c:v>
                </c:pt>
                <c:pt idx="3115">
                  <c:v>35023</c:v>
                </c:pt>
                <c:pt idx="3116">
                  <c:v>35024</c:v>
                </c:pt>
                <c:pt idx="3117">
                  <c:v>35025</c:v>
                </c:pt>
                <c:pt idx="3118">
                  <c:v>35026</c:v>
                </c:pt>
                <c:pt idx="3119">
                  <c:v>35027</c:v>
                </c:pt>
                <c:pt idx="3120">
                  <c:v>35030</c:v>
                </c:pt>
                <c:pt idx="3121">
                  <c:v>35031</c:v>
                </c:pt>
                <c:pt idx="3122">
                  <c:v>35032</c:v>
                </c:pt>
                <c:pt idx="3123">
                  <c:v>35033</c:v>
                </c:pt>
                <c:pt idx="3124">
                  <c:v>35034</c:v>
                </c:pt>
                <c:pt idx="3125">
                  <c:v>35037</c:v>
                </c:pt>
                <c:pt idx="3126">
                  <c:v>35038</c:v>
                </c:pt>
                <c:pt idx="3127">
                  <c:v>35039</c:v>
                </c:pt>
                <c:pt idx="3128">
                  <c:v>35040</c:v>
                </c:pt>
                <c:pt idx="3129">
                  <c:v>35041</c:v>
                </c:pt>
                <c:pt idx="3130">
                  <c:v>35044</c:v>
                </c:pt>
                <c:pt idx="3131">
                  <c:v>35045</c:v>
                </c:pt>
                <c:pt idx="3132">
                  <c:v>35046</c:v>
                </c:pt>
                <c:pt idx="3133">
                  <c:v>35047</c:v>
                </c:pt>
                <c:pt idx="3134">
                  <c:v>35048</c:v>
                </c:pt>
                <c:pt idx="3135">
                  <c:v>35051</c:v>
                </c:pt>
                <c:pt idx="3136">
                  <c:v>35052</c:v>
                </c:pt>
                <c:pt idx="3137">
                  <c:v>35053</c:v>
                </c:pt>
                <c:pt idx="3138">
                  <c:v>35054</c:v>
                </c:pt>
                <c:pt idx="3139">
                  <c:v>35055</c:v>
                </c:pt>
                <c:pt idx="3140">
                  <c:v>35058</c:v>
                </c:pt>
                <c:pt idx="3141">
                  <c:v>35059</c:v>
                </c:pt>
                <c:pt idx="3142">
                  <c:v>35060</c:v>
                </c:pt>
                <c:pt idx="3143">
                  <c:v>35061</c:v>
                </c:pt>
                <c:pt idx="3144">
                  <c:v>35062</c:v>
                </c:pt>
                <c:pt idx="3145">
                  <c:v>35065</c:v>
                </c:pt>
                <c:pt idx="3146">
                  <c:v>35066</c:v>
                </c:pt>
                <c:pt idx="3147">
                  <c:v>35067</c:v>
                </c:pt>
                <c:pt idx="3148">
                  <c:v>35068</c:v>
                </c:pt>
                <c:pt idx="3149">
                  <c:v>35069</c:v>
                </c:pt>
                <c:pt idx="3150">
                  <c:v>35072</c:v>
                </c:pt>
                <c:pt idx="3151">
                  <c:v>35073</c:v>
                </c:pt>
                <c:pt idx="3152">
                  <c:v>35074</c:v>
                </c:pt>
                <c:pt idx="3153">
                  <c:v>35075</c:v>
                </c:pt>
                <c:pt idx="3154">
                  <c:v>35076</c:v>
                </c:pt>
                <c:pt idx="3155">
                  <c:v>35079</c:v>
                </c:pt>
                <c:pt idx="3156">
                  <c:v>35080</c:v>
                </c:pt>
                <c:pt idx="3157">
                  <c:v>35081</c:v>
                </c:pt>
                <c:pt idx="3158">
                  <c:v>35082</c:v>
                </c:pt>
                <c:pt idx="3159">
                  <c:v>35083</c:v>
                </c:pt>
                <c:pt idx="3160">
                  <c:v>35086</c:v>
                </c:pt>
                <c:pt idx="3161">
                  <c:v>35087</c:v>
                </c:pt>
                <c:pt idx="3162">
                  <c:v>35088</c:v>
                </c:pt>
                <c:pt idx="3163">
                  <c:v>35089</c:v>
                </c:pt>
                <c:pt idx="3164">
                  <c:v>35090</c:v>
                </c:pt>
                <c:pt idx="3165">
                  <c:v>35093</c:v>
                </c:pt>
                <c:pt idx="3166">
                  <c:v>35094</c:v>
                </c:pt>
                <c:pt idx="3167">
                  <c:v>35095</c:v>
                </c:pt>
                <c:pt idx="3168">
                  <c:v>35096</c:v>
                </c:pt>
                <c:pt idx="3169">
                  <c:v>35097</c:v>
                </c:pt>
                <c:pt idx="3170">
                  <c:v>35100</c:v>
                </c:pt>
                <c:pt idx="3171">
                  <c:v>35101</c:v>
                </c:pt>
                <c:pt idx="3172">
                  <c:v>35102</c:v>
                </c:pt>
                <c:pt idx="3173">
                  <c:v>35103</c:v>
                </c:pt>
                <c:pt idx="3174">
                  <c:v>35104</c:v>
                </c:pt>
                <c:pt idx="3175">
                  <c:v>35107</c:v>
                </c:pt>
                <c:pt idx="3176">
                  <c:v>35108</c:v>
                </c:pt>
                <c:pt idx="3177">
                  <c:v>35109</c:v>
                </c:pt>
                <c:pt idx="3178">
                  <c:v>35110</c:v>
                </c:pt>
                <c:pt idx="3179">
                  <c:v>35111</c:v>
                </c:pt>
                <c:pt idx="3180">
                  <c:v>35114</c:v>
                </c:pt>
                <c:pt idx="3181">
                  <c:v>35115</c:v>
                </c:pt>
                <c:pt idx="3182">
                  <c:v>35116</c:v>
                </c:pt>
                <c:pt idx="3183">
                  <c:v>35117</c:v>
                </c:pt>
                <c:pt idx="3184">
                  <c:v>35118</c:v>
                </c:pt>
                <c:pt idx="3185">
                  <c:v>35121</c:v>
                </c:pt>
                <c:pt idx="3186">
                  <c:v>35122</c:v>
                </c:pt>
                <c:pt idx="3187">
                  <c:v>35123</c:v>
                </c:pt>
                <c:pt idx="3188">
                  <c:v>35124</c:v>
                </c:pt>
                <c:pt idx="3189">
                  <c:v>35125</c:v>
                </c:pt>
                <c:pt idx="3190">
                  <c:v>35128</c:v>
                </c:pt>
                <c:pt idx="3191">
                  <c:v>35129</c:v>
                </c:pt>
                <c:pt idx="3192">
                  <c:v>35130</c:v>
                </c:pt>
                <c:pt idx="3193">
                  <c:v>35131</c:v>
                </c:pt>
                <c:pt idx="3194">
                  <c:v>35132</c:v>
                </c:pt>
                <c:pt idx="3195">
                  <c:v>35135</c:v>
                </c:pt>
                <c:pt idx="3196">
                  <c:v>35136</c:v>
                </c:pt>
                <c:pt idx="3197">
                  <c:v>35137</c:v>
                </c:pt>
                <c:pt idx="3198">
                  <c:v>35138</c:v>
                </c:pt>
                <c:pt idx="3199">
                  <c:v>35139</c:v>
                </c:pt>
                <c:pt idx="3200">
                  <c:v>35142</c:v>
                </c:pt>
                <c:pt idx="3201">
                  <c:v>35143</c:v>
                </c:pt>
                <c:pt idx="3202">
                  <c:v>35144</c:v>
                </c:pt>
                <c:pt idx="3203">
                  <c:v>35145</c:v>
                </c:pt>
                <c:pt idx="3204">
                  <c:v>35146</c:v>
                </c:pt>
                <c:pt idx="3205">
                  <c:v>35149</c:v>
                </c:pt>
                <c:pt idx="3206">
                  <c:v>35150</c:v>
                </c:pt>
                <c:pt idx="3207">
                  <c:v>35151</c:v>
                </c:pt>
                <c:pt idx="3208">
                  <c:v>35152</c:v>
                </c:pt>
                <c:pt idx="3209">
                  <c:v>35153</c:v>
                </c:pt>
                <c:pt idx="3210">
                  <c:v>35156</c:v>
                </c:pt>
                <c:pt idx="3211">
                  <c:v>35157</c:v>
                </c:pt>
                <c:pt idx="3212">
                  <c:v>35158</c:v>
                </c:pt>
                <c:pt idx="3213">
                  <c:v>35159</c:v>
                </c:pt>
                <c:pt idx="3214">
                  <c:v>35160</c:v>
                </c:pt>
                <c:pt idx="3215">
                  <c:v>35163</c:v>
                </c:pt>
                <c:pt idx="3216">
                  <c:v>35164</c:v>
                </c:pt>
                <c:pt idx="3217">
                  <c:v>35165</c:v>
                </c:pt>
                <c:pt idx="3218">
                  <c:v>35166</c:v>
                </c:pt>
                <c:pt idx="3219">
                  <c:v>35167</c:v>
                </c:pt>
                <c:pt idx="3220">
                  <c:v>35170</c:v>
                </c:pt>
                <c:pt idx="3221">
                  <c:v>35171</c:v>
                </c:pt>
                <c:pt idx="3222">
                  <c:v>35172</c:v>
                </c:pt>
                <c:pt idx="3223">
                  <c:v>35173</c:v>
                </c:pt>
                <c:pt idx="3224">
                  <c:v>35174</c:v>
                </c:pt>
                <c:pt idx="3225">
                  <c:v>35177</c:v>
                </c:pt>
                <c:pt idx="3226">
                  <c:v>35178</c:v>
                </c:pt>
                <c:pt idx="3227">
                  <c:v>35179</c:v>
                </c:pt>
                <c:pt idx="3228">
                  <c:v>35180</c:v>
                </c:pt>
                <c:pt idx="3229">
                  <c:v>35181</c:v>
                </c:pt>
                <c:pt idx="3230">
                  <c:v>35184</c:v>
                </c:pt>
                <c:pt idx="3231">
                  <c:v>35185</c:v>
                </c:pt>
                <c:pt idx="3232">
                  <c:v>35186</c:v>
                </c:pt>
                <c:pt idx="3233">
                  <c:v>35187</c:v>
                </c:pt>
                <c:pt idx="3234">
                  <c:v>35188</c:v>
                </c:pt>
                <c:pt idx="3235">
                  <c:v>35191</c:v>
                </c:pt>
                <c:pt idx="3236">
                  <c:v>35192</c:v>
                </c:pt>
                <c:pt idx="3237">
                  <c:v>35193</c:v>
                </c:pt>
                <c:pt idx="3238">
                  <c:v>35194</c:v>
                </c:pt>
                <c:pt idx="3239">
                  <c:v>35195</c:v>
                </c:pt>
                <c:pt idx="3240">
                  <c:v>35198</c:v>
                </c:pt>
                <c:pt idx="3241">
                  <c:v>35199</c:v>
                </c:pt>
                <c:pt idx="3242">
                  <c:v>35200</c:v>
                </c:pt>
                <c:pt idx="3243">
                  <c:v>35201</c:v>
                </c:pt>
                <c:pt idx="3244">
                  <c:v>35202</c:v>
                </c:pt>
                <c:pt idx="3245">
                  <c:v>35205</c:v>
                </c:pt>
                <c:pt idx="3246">
                  <c:v>35206</c:v>
                </c:pt>
                <c:pt idx="3247">
                  <c:v>35207</c:v>
                </c:pt>
                <c:pt idx="3248">
                  <c:v>35208</c:v>
                </c:pt>
                <c:pt idx="3249">
                  <c:v>35209</c:v>
                </c:pt>
                <c:pt idx="3250">
                  <c:v>35212</c:v>
                </c:pt>
                <c:pt idx="3251">
                  <c:v>35213</c:v>
                </c:pt>
                <c:pt idx="3252">
                  <c:v>35214</c:v>
                </c:pt>
                <c:pt idx="3253">
                  <c:v>35215</c:v>
                </c:pt>
                <c:pt idx="3254">
                  <c:v>35216</c:v>
                </c:pt>
                <c:pt idx="3255">
                  <c:v>35219</c:v>
                </c:pt>
                <c:pt idx="3256">
                  <c:v>35220</c:v>
                </c:pt>
                <c:pt idx="3257">
                  <c:v>35221</c:v>
                </c:pt>
                <c:pt idx="3258">
                  <c:v>35222</c:v>
                </c:pt>
                <c:pt idx="3259">
                  <c:v>35223</c:v>
                </c:pt>
                <c:pt idx="3260">
                  <c:v>35226</c:v>
                </c:pt>
                <c:pt idx="3261">
                  <c:v>35227</c:v>
                </c:pt>
                <c:pt idx="3262">
                  <c:v>35228</c:v>
                </c:pt>
                <c:pt idx="3263">
                  <c:v>35229</c:v>
                </c:pt>
                <c:pt idx="3264">
                  <c:v>35230</c:v>
                </c:pt>
                <c:pt idx="3265">
                  <c:v>35233</c:v>
                </c:pt>
                <c:pt idx="3266">
                  <c:v>35234</c:v>
                </c:pt>
                <c:pt idx="3267">
                  <c:v>35235</c:v>
                </c:pt>
                <c:pt idx="3268">
                  <c:v>35236</c:v>
                </c:pt>
                <c:pt idx="3269">
                  <c:v>35237</c:v>
                </c:pt>
                <c:pt idx="3270">
                  <c:v>35240</c:v>
                </c:pt>
                <c:pt idx="3271">
                  <c:v>35241</c:v>
                </c:pt>
                <c:pt idx="3272">
                  <c:v>35242</c:v>
                </c:pt>
                <c:pt idx="3273">
                  <c:v>35243</c:v>
                </c:pt>
                <c:pt idx="3274">
                  <c:v>35244</c:v>
                </c:pt>
                <c:pt idx="3275">
                  <c:v>35247</c:v>
                </c:pt>
                <c:pt idx="3276">
                  <c:v>35248</c:v>
                </c:pt>
                <c:pt idx="3277">
                  <c:v>35249</c:v>
                </c:pt>
                <c:pt idx="3278">
                  <c:v>35250</c:v>
                </c:pt>
                <c:pt idx="3279">
                  <c:v>35251</c:v>
                </c:pt>
                <c:pt idx="3280">
                  <c:v>35254</c:v>
                </c:pt>
                <c:pt idx="3281">
                  <c:v>35255</c:v>
                </c:pt>
                <c:pt idx="3282">
                  <c:v>35256</c:v>
                </c:pt>
                <c:pt idx="3283">
                  <c:v>35257</c:v>
                </c:pt>
                <c:pt idx="3284">
                  <c:v>35258</c:v>
                </c:pt>
                <c:pt idx="3285">
                  <c:v>35261</c:v>
                </c:pt>
                <c:pt idx="3286">
                  <c:v>35262</c:v>
                </c:pt>
                <c:pt idx="3287">
                  <c:v>35263</c:v>
                </c:pt>
                <c:pt idx="3288">
                  <c:v>35264</c:v>
                </c:pt>
                <c:pt idx="3289">
                  <c:v>35265</c:v>
                </c:pt>
                <c:pt idx="3290">
                  <c:v>35268</c:v>
                </c:pt>
                <c:pt idx="3291">
                  <c:v>35269</c:v>
                </c:pt>
                <c:pt idx="3292">
                  <c:v>35270</c:v>
                </c:pt>
                <c:pt idx="3293">
                  <c:v>35271</c:v>
                </c:pt>
                <c:pt idx="3294">
                  <c:v>35272</c:v>
                </c:pt>
                <c:pt idx="3295">
                  <c:v>35275</c:v>
                </c:pt>
                <c:pt idx="3296">
                  <c:v>35276</c:v>
                </c:pt>
                <c:pt idx="3297">
                  <c:v>35277</c:v>
                </c:pt>
                <c:pt idx="3298">
                  <c:v>35278</c:v>
                </c:pt>
                <c:pt idx="3299">
                  <c:v>35279</c:v>
                </c:pt>
                <c:pt idx="3300">
                  <c:v>35282</c:v>
                </c:pt>
                <c:pt idx="3301">
                  <c:v>35283</c:v>
                </c:pt>
                <c:pt idx="3302">
                  <c:v>35284</c:v>
                </c:pt>
                <c:pt idx="3303">
                  <c:v>35285</c:v>
                </c:pt>
                <c:pt idx="3304">
                  <c:v>35286</c:v>
                </c:pt>
                <c:pt idx="3305">
                  <c:v>35289</c:v>
                </c:pt>
                <c:pt idx="3306">
                  <c:v>35290</c:v>
                </c:pt>
                <c:pt idx="3307">
                  <c:v>35291</c:v>
                </c:pt>
                <c:pt idx="3308">
                  <c:v>35292</c:v>
                </c:pt>
                <c:pt idx="3309">
                  <c:v>35293</c:v>
                </c:pt>
                <c:pt idx="3310">
                  <c:v>35296</c:v>
                </c:pt>
                <c:pt idx="3311">
                  <c:v>35297</c:v>
                </c:pt>
                <c:pt idx="3312">
                  <c:v>35298</c:v>
                </c:pt>
                <c:pt idx="3313">
                  <c:v>35299</c:v>
                </c:pt>
                <c:pt idx="3314">
                  <c:v>35300</c:v>
                </c:pt>
                <c:pt idx="3315">
                  <c:v>35303</c:v>
                </c:pt>
                <c:pt idx="3316">
                  <c:v>35304</c:v>
                </c:pt>
                <c:pt idx="3317">
                  <c:v>35305</c:v>
                </c:pt>
                <c:pt idx="3318">
                  <c:v>35306</c:v>
                </c:pt>
                <c:pt idx="3319">
                  <c:v>35307</c:v>
                </c:pt>
                <c:pt idx="3320">
                  <c:v>35310</c:v>
                </c:pt>
                <c:pt idx="3321">
                  <c:v>35311</c:v>
                </c:pt>
                <c:pt idx="3322">
                  <c:v>35312</c:v>
                </c:pt>
                <c:pt idx="3323">
                  <c:v>35313</c:v>
                </c:pt>
                <c:pt idx="3324">
                  <c:v>35314</c:v>
                </c:pt>
                <c:pt idx="3325">
                  <c:v>35317</c:v>
                </c:pt>
                <c:pt idx="3326">
                  <c:v>35318</c:v>
                </c:pt>
                <c:pt idx="3327">
                  <c:v>35319</c:v>
                </c:pt>
                <c:pt idx="3328">
                  <c:v>35320</c:v>
                </c:pt>
                <c:pt idx="3329">
                  <c:v>35321</c:v>
                </c:pt>
                <c:pt idx="3330">
                  <c:v>35324</c:v>
                </c:pt>
                <c:pt idx="3331">
                  <c:v>35325</c:v>
                </c:pt>
                <c:pt idx="3332">
                  <c:v>35326</c:v>
                </c:pt>
                <c:pt idx="3333">
                  <c:v>35327</c:v>
                </c:pt>
                <c:pt idx="3334">
                  <c:v>35328</c:v>
                </c:pt>
                <c:pt idx="3335">
                  <c:v>35331</c:v>
                </c:pt>
                <c:pt idx="3336">
                  <c:v>35332</c:v>
                </c:pt>
                <c:pt idx="3337">
                  <c:v>35333</c:v>
                </c:pt>
                <c:pt idx="3338">
                  <c:v>35334</c:v>
                </c:pt>
                <c:pt idx="3339">
                  <c:v>35335</c:v>
                </c:pt>
                <c:pt idx="3340">
                  <c:v>35338</c:v>
                </c:pt>
                <c:pt idx="3341">
                  <c:v>35339</c:v>
                </c:pt>
                <c:pt idx="3342">
                  <c:v>35340</c:v>
                </c:pt>
                <c:pt idx="3343">
                  <c:v>35341</c:v>
                </c:pt>
                <c:pt idx="3344">
                  <c:v>35342</c:v>
                </c:pt>
                <c:pt idx="3345">
                  <c:v>35345</c:v>
                </c:pt>
                <c:pt idx="3346">
                  <c:v>35346</c:v>
                </c:pt>
                <c:pt idx="3347">
                  <c:v>35347</c:v>
                </c:pt>
                <c:pt idx="3348">
                  <c:v>35348</c:v>
                </c:pt>
                <c:pt idx="3349">
                  <c:v>35349</c:v>
                </c:pt>
                <c:pt idx="3350">
                  <c:v>35352</c:v>
                </c:pt>
                <c:pt idx="3351">
                  <c:v>35353</c:v>
                </c:pt>
                <c:pt idx="3352">
                  <c:v>35354</c:v>
                </c:pt>
                <c:pt idx="3353">
                  <c:v>35355</c:v>
                </c:pt>
                <c:pt idx="3354">
                  <c:v>35356</c:v>
                </c:pt>
                <c:pt idx="3355">
                  <c:v>35359</c:v>
                </c:pt>
                <c:pt idx="3356">
                  <c:v>35360</c:v>
                </c:pt>
                <c:pt idx="3357">
                  <c:v>35361</c:v>
                </c:pt>
                <c:pt idx="3358">
                  <c:v>35362</c:v>
                </c:pt>
                <c:pt idx="3359">
                  <c:v>35363</c:v>
                </c:pt>
                <c:pt idx="3360">
                  <c:v>35366</c:v>
                </c:pt>
                <c:pt idx="3361">
                  <c:v>35367</c:v>
                </c:pt>
                <c:pt idx="3362">
                  <c:v>35368</c:v>
                </c:pt>
                <c:pt idx="3363">
                  <c:v>35369</c:v>
                </c:pt>
                <c:pt idx="3364">
                  <c:v>35370</c:v>
                </c:pt>
                <c:pt idx="3365">
                  <c:v>35373</c:v>
                </c:pt>
                <c:pt idx="3366">
                  <c:v>35374</c:v>
                </c:pt>
                <c:pt idx="3367">
                  <c:v>35375</c:v>
                </c:pt>
                <c:pt idx="3368">
                  <c:v>35376</c:v>
                </c:pt>
                <c:pt idx="3369">
                  <c:v>35377</c:v>
                </c:pt>
                <c:pt idx="3370">
                  <c:v>35380</c:v>
                </c:pt>
                <c:pt idx="3371">
                  <c:v>35381</c:v>
                </c:pt>
                <c:pt idx="3372">
                  <c:v>35382</c:v>
                </c:pt>
                <c:pt idx="3373">
                  <c:v>35383</c:v>
                </c:pt>
                <c:pt idx="3374">
                  <c:v>35384</c:v>
                </c:pt>
                <c:pt idx="3375">
                  <c:v>35387</c:v>
                </c:pt>
                <c:pt idx="3376">
                  <c:v>35388</c:v>
                </c:pt>
                <c:pt idx="3377">
                  <c:v>35389</c:v>
                </c:pt>
                <c:pt idx="3378">
                  <c:v>35390</c:v>
                </c:pt>
                <c:pt idx="3379">
                  <c:v>35391</c:v>
                </c:pt>
                <c:pt idx="3380">
                  <c:v>35394</c:v>
                </c:pt>
                <c:pt idx="3381">
                  <c:v>35395</c:v>
                </c:pt>
                <c:pt idx="3382">
                  <c:v>35396</c:v>
                </c:pt>
                <c:pt idx="3383">
                  <c:v>35397</c:v>
                </c:pt>
                <c:pt idx="3384">
                  <c:v>35398</c:v>
                </c:pt>
                <c:pt idx="3385">
                  <c:v>35401</c:v>
                </c:pt>
                <c:pt idx="3386">
                  <c:v>35402</c:v>
                </c:pt>
                <c:pt idx="3387">
                  <c:v>35403</c:v>
                </c:pt>
                <c:pt idx="3388">
                  <c:v>35404</c:v>
                </c:pt>
                <c:pt idx="3389">
                  <c:v>35405</c:v>
                </c:pt>
                <c:pt idx="3390">
                  <c:v>35408</c:v>
                </c:pt>
                <c:pt idx="3391">
                  <c:v>35409</c:v>
                </c:pt>
                <c:pt idx="3392">
                  <c:v>35410</c:v>
                </c:pt>
                <c:pt idx="3393">
                  <c:v>35411</c:v>
                </c:pt>
                <c:pt idx="3394">
                  <c:v>35412</c:v>
                </c:pt>
                <c:pt idx="3395">
                  <c:v>35415</c:v>
                </c:pt>
                <c:pt idx="3396">
                  <c:v>35416</c:v>
                </c:pt>
                <c:pt idx="3397">
                  <c:v>35417</c:v>
                </c:pt>
                <c:pt idx="3398">
                  <c:v>35418</c:v>
                </c:pt>
                <c:pt idx="3399">
                  <c:v>35419</c:v>
                </c:pt>
                <c:pt idx="3400">
                  <c:v>35422</c:v>
                </c:pt>
                <c:pt idx="3401">
                  <c:v>35423</c:v>
                </c:pt>
                <c:pt idx="3402">
                  <c:v>35424</c:v>
                </c:pt>
                <c:pt idx="3403">
                  <c:v>35425</c:v>
                </c:pt>
                <c:pt idx="3404">
                  <c:v>35426</c:v>
                </c:pt>
                <c:pt idx="3405">
                  <c:v>35429</c:v>
                </c:pt>
                <c:pt idx="3406">
                  <c:v>35430</c:v>
                </c:pt>
                <c:pt idx="3407">
                  <c:v>35431</c:v>
                </c:pt>
                <c:pt idx="3408">
                  <c:v>35432</c:v>
                </c:pt>
                <c:pt idx="3409">
                  <c:v>35433</c:v>
                </c:pt>
                <c:pt idx="3410">
                  <c:v>35436</c:v>
                </c:pt>
                <c:pt idx="3411">
                  <c:v>35437</c:v>
                </c:pt>
                <c:pt idx="3412">
                  <c:v>35438</c:v>
                </c:pt>
                <c:pt idx="3413">
                  <c:v>35439</c:v>
                </c:pt>
                <c:pt idx="3414">
                  <c:v>35440</c:v>
                </c:pt>
                <c:pt idx="3415">
                  <c:v>35443</c:v>
                </c:pt>
                <c:pt idx="3416">
                  <c:v>35444</c:v>
                </c:pt>
                <c:pt idx="3417">
                  <c:v>35445</c:v>
                </c:pt>
                <c:pt idx="3418">
                  <c:v>35446</c:v>
                </c:pt>
                <c:pt idx="3419">
                  <c:v>35447</c:v>
                </c:pt>
                <c:pt idx="3420">
                  <c:v>35450</c:v>
                </c:pt>
                <c:pt idx="3421">
                  <c:v>35451</c:v>
                </c:pt>
                <c:pt idx="3422">
                  <c:v>35452</c:v>
                </c:pt>
                <c:pt idx="3423">
                  <c:v>35453</c:v>
                </c:pt>
                <c:pt idx="3424">
                  <c:v>35454</c:v>
                </c:pt>
                <c:pt idx="3425">
                  <c:v>35457</c:v>
                </c:pt>
                <c:pt idx="3426">
                  <c:v>35458</c:v>
                </c:pt>
                <c:pt idx="3427">
                  <c:v>35459</c:v>
                </c:pt>
                <c:pt idx="3428">
                  <c:v>35460</c:v>
                </c:pt>
                <c:pt idx="3429">
                  <c:v>35461</c:v>
                </c:pt>
                <c:pt idx="3430">
                  <c:v>35464</c:v>
                </c:pt>
                <c:pt idx="3431">
                  <c:v>35465</c:v>
                </c:pt>
                <c:pt idx="3432">
                  <c:v>35466</c:v>
                </c:pt>
                <c:pt idx="3433">
                  <c:v>35467</c:v>
                </c:pt>
                <c:pt idx="3434">
                  <c:v>35468</c:v>
                </c:pt>
                <c:pt idx="3435">
                  <c:v>35471</c:v>
                </c:pt>
                <c:pt idx="3436">
                  <c:v>35472</c:v>
                </c:pt>
                <c:pt idx="3437">
                  <c:v>35473</c:v>
                </c:pt>
                <c:pt idx="3438">
                  <c:v>35474</c:v>
                </c:pt>
                <c:pt idx="3439">
                  <c:v>35475</c:v>
                </c:pt>
                <c:pt idx="3440">
                  <c:v>35478</c:v>
                </c:pt>
                <c:pt idx="3441">
                  <c:v>35479</c:v>
                </c:pt>
                <c:pt idx="3442">
                  <c:v>35480</c:v>
                </c:pt>
                <c:pt idx="3443">
                  <c:v>35481</c:v>
                </c:pt>
                <c:pt idx="3444">
                  <c:v>35482</c:v>
                </c:pt>
                <c:pt idx="3445">
                  <c:v>35485</c:v>
                </c:pt>
                <c:pt idx="3446">
                  <c:v>35486</c:v>
                </c:pt>
                <c:pt idx="3447">
                  <c:v>35487</c:v>
                </c:pt>
                <c:pt idx="3448">
                  <c:v>35488</c:v>
                </c:pt>
                <c:pt idx="3449">
                  <c:v>35489</c:v>
                </c:pt>
                <c:pt idx="3450">
                  <c:v>35492</c:v>
                </c:pt>
                <c:pt idx="3451">
                  <c:v>35493</c:v>
                </c:pt>
                <c:pt idx="3452">
                  <c:v>35494</c:v>
                </c:pt>
                <c:pt idx="3453">
                  <c:v>35495</c:v>
                </c:pt>
                <c:pt idx="3454">
                  <c:v>35496</c:v>
                </c:pt>
                <c:pt idx="3455">
                  <c:v>35499</c:v>
                </c:pt>
                <c:pt idx="3456">
                  <c:v>35500</c:v>
                </c:pt>
                <c:pt idx="3457">
                  <c:v>35501</c:v>
                </c:pt>
                <c:pt idx="3458">
                  <c:v>35502</c:v>
                </c:pt>
                <c:pt idx="3459">
                  <c:v>35503</c:v>
                </c:pt>
                <c:pt idx="3460">
                  <c:v>35506</c:v>
                </c:pt>
                <c:pt idx="3461">
                  <c:v>35507</c:v>
                </c:pt>
                <c:pt idx="3462">
                  <c:v>35508</c:v>
                </c:pt>
                <c:pt idx="3463">
                  <c:v>35509</c:v>
                </c:pt>
                <c:pt idx="3464">
                  <c:v>35510</c:v>
                </c:pt>
                <c:pt idx="3465">
                  <c:v>35513</c:v>
                </c:pt>
                <c:pt idx="3466">
                  <c:v>35514</c:v>
                </c:pt>
                <c:pt idx="3467">
                  <c:v>35515</c:v>
                </c:pt>
                <c:pt idx="3468">
                  <c:v>35516</c:v>
                </c:pt>
                <c:pt idx="3469">
                  <c:v>35517</c:v>
                </c:pt>
                <c:pt idx="3470">
                  <c:v>35520</c:v>
                </c:pt>
                <c:pt idx="3471">
                  <c:v>35521</c:v>
                </c:pt>
                <c:pt idx="3472">
                  <c:v>35522</c:v>
                </c:pt>
                <c:pt idx="3473">
                  <c:v>35523</c:v>
                </c:pt>
                <c:pt idx="3474">
                  <c:v>35524</c:v>
                </c:pt>
                <c:pt idx="3475">
                  <c:v>35527</c:v>
                </c:pt>
                <c:pt idx="3476">
                  <c:v>35528</c:v>
                </c:pt>
                <c:pt idx="3477">
                  <c:v>35529</c:v>
                </c:pt>
                <c:pt idx="3478">
                  <c:v>35530</c:v>
                </c:pt>
                <c:pt idx="3479">
                  <c:v>35531</c:v>
                </c:pt>
                <c:pt idx="3480">
                  <c:v>35534</c:v>
                </c:pt>
                <c:pt idx="3481">
                  <c:v>35535</c:v>
                </c:pt>
                <c:pt idx="3482">
                  <c:v>35536</c:v>
                </c:pt>
                <c:pt idx="3483">
                  <c:v>35537</c:v>
                </c:pt>
                <c:pt idx="3484">
                  <c:v>35538</c:v>
                </c:pt>
                <c:pt idx="3485">
                  <c:v>35541</c:v>
                </c:pt>
                <c:pt idx="3486">
                  <c:v>35542</c:v>
                </c:pt>
                <c:pt idx="3487">
                  <c:v>35543</c:v>
                </c:pt>
                <c:pt idx="3488">
                  <c:v>35544</c:v>
                </c:pt>
                <c:pt idx="3489">
                  <c:v>35545</c:v>
                </c:pt>
                <c:pt idx="3490">
                  <c:v>35548</c:v>
                </c:pt>
                <c:pt idx="3491">
                  <c:v>35549</c:v>
                </c:pt>
                <c:pt idx="3492">
                  <c:v>35550</c:v>
                </c:pt>
                <c:pt idx="3493">
                  <c:v>35551</c:v>
                </c:pt>
                <c:pt idx="3494">
                  <c:v>35552</c:v>
                </c:pt>
                <c:pt idx="3495">
                  <c:v>35555</c:v>
                </c:pt>
                <c:pt idx="3496">
                  <c:v>35556</c:v>
                </c:pt>
                <c:pt idx="3497">
                  <c:v>35557</c:v>
                </c:pt>
                <c:pt idx="3498">
                  <c:v>35558</c:v>
                </c:pt>
                <c:pt idx="3499">
                  <c:v>35559</c:v>
                </c:pt>
                <c:pt idx="3500">
                  <c:v>35562</c:v>
                </c:pt>
                <c:pt idx="3501">
                  <c:v>35563</c:v>
                </c:pt>
                <c:pt idx="3502">
                  <c:v>35564</c:v>
                </c:pt>
                <c:pt idx="3503">
                  <c:v>35565</c:v>
                </c:pt>
                <c:pt idx="3504">
                  <c:v>35566</c:v>
                </c:pt>
                <c:pt idx="3505">
                  <c:v>35569</c:v>
                </c:pt>
                <c:pt idx="3506">
                  <c:v>35570</c:v>
                </c:pt>
                <c:pt idx="3507">
                  <c:v>35571</c:v>
                </c:pt>
                <c:pt idx="3508">
                  <c:v>35572</c:v>
                </c:pt>
                <c:pt idx="3509">
                  <c:v>35573</c:v>
                </c:pt>
                <c:pt idx="3510">
                  <c:v>35576</c:v>
                </c:pt>
                <c:pt idx="3511">
                  <c:v>35577</c:v>
                </c:pt>
                <c:pt idx="3512">
                  <c:v>35578</c:v>
                </c:pt>
                <c:pt idx="3513">
                  <c:v>35579</c:v>
                </c:pt>
                <c:pt idx="3514">
                  <c:v>35580</c:v>
                </c:pt>
                <c:pt idx="3515">
                  <c:v>35583</c:v>
                </c:pt>
                <c:pt idx="3516">
                  <c:v>35584</c:v>
                </c:pt>
                <c:pt idx="3517">
                  <c:v>35585</c:v>
                </c:pt>
                <c:pt idx="3518">
                  <c:v>35586</c:v>
                </c:pt>
                <c:pt idx="3519">
                  <c:v>35587</c:v>
                </c:pt>
                <c:pt idx="3520">
                  <c:v>35590</c:v>
                </c:pt>
                <c:pt idx="3521">
                  <c:v>35591</c:v>
                </c:pt>
                <c:pt idx="3522">
                  <c:v>35592</c:v>
                </c:pt>
                <c:pt idx="3523">
                  <c:v>35593</c:v>
                </c:pt>
                <c:pt idx="3524">
                  <c:v>35594</c:v>
                </c:pt>
                <c:pt idx="3525">
                  <c:v>35597</c:v>
                </c:pt>
                <c:pt idx="3526">
                  <c:v>35598</c:v>
                </c:pt>
                <c:pt idx="3527">
                  <c:v>35599</c:v>
                </c:pt>
                <c:pt idx="3528">
                  <c:v>35600</c:v>
                </c:pt>
                <c:pt idx="3529">
                  <c:v>35601</c:v>
                </c:pt>
                <c:pt idx="3530">
                  <c:v>35604</c:v>
                </c:pt>
                <c:pt idx="3531">
                  <c:v>35605</c:v>
                </c:pt>
                <c:pt idx="3532">
                  <c:v>35606</c:v>
                </c:pt>
                <c:pt idx="3533">
                  <c:v>35607</c:v>
                </c:pt>
                <c:pt idx="3534">
                  <c:v>35608</c:v>
                </c:pt>
                <c:pt idx="3535">
                  <c:v>35611</c:v>
                </c:pt>
                <c:pt idx="3536">
                  <c:v>35612</c:v>
                </c:pt>
                <c:pt idx="3537">
                  <c:v>35613</c:v>
                </c:pt>
                <c:pt idx="3538">
                  <c:v>35614</c:v>
                </c:pt>
                <c:pt idx="3539">
                  <c:v>35615</c:v>
                </c:pt>
                <c:pt idx="3540">
                  <c:v>35618</c:v>
                </c:pt>
                <c:pt idx="3541">
                  <c:v>35619</c:v>
                </c:pt>
                <c:pt idx="3542">
                  <c:v>35620</c:v>
                </c:pt>
                <c:pt idx="3543">
                  <c:v>35621</c:v>
                </c:pt>
                <c:pt idx="3544">
                  <c:v>35622</c:v>
                </c:pt>
                <c:pt idx="3545">
                  <c:v>35625</c:v>
                </c:pt>
                <c:pt idx="3546">
                  <c:v>35626</c:v>
                </c:pt>
                <c:pt idx="3547">
                  <c:v>35627</c:v>
                </c:pt>
                <c:pt idx="3548">
                  <c:v>35628</c:v>
                </c:pt>
                <c:pt idx="3549">
                  <c:v>35629</c:v>
                </c:pt>
                <c:pt idx="3550">
                  <c:v>35632</c:v>
                </c:pt>
                <c:pt idx="3551">
                  <c:v>35633</c:v>
                </c:pt>
                <c:pt idx="3552">
                  <c:v>35634</c:v>
                </c:pt>
                <c:pt idx="3553">
                  <c:v>35635</c:v>
                </c:pt>
                <c:pt idx="3554">
                  <c:v>35636</c:v>
                </c:pt>
                <c:pt idx="3555">
                  <c:v>35639</c:v>
                </c:pt>
                <c:pt idx="3556">
                  <c:v>35640</c:v>
                </c:pt>
                <c:pt idx="3557">
                  <c:v>35641</c:v>
                </c:pt>
                <c:pt idx="3558">
                  <c:v>35642</c:v>
                </c:pt>
                <c:pt idx="3559">
                  <c:v>35643</c:v>
                </c:pt>
                <c:pt idx="3560">
                  <c:v>35646</c:v>
                </c:pt>
                <c:pt idx="3561">
                  <c:v>35647</c:v>
                </c:pt>
                <c:pt idx="3562">
                  <c:v>35648</c:v>
                </c:pt>
                <c:pt idx="3563">
                  <c:v>35649</c:v>
                </c:pt>
                <c:pt idx="3564">
                  <c:v>35650</c:v>
                </c:pt>
                <c:pt idx="3565">
                  <c:v>35653</c:v>
                </c:pt>
                <c:pt idx="3566">
                  <c:v>35654</c:v>
                </c:pt>
                <c:pt idx="3567">
                  <c:v>35655</c:v>
                </c:pt>
                <c:pt idx="3568">
                  <c:v>35656</c:v>
                </c:pt>
                <c:pt idx="3569">
                  <c:v>35657</c:v>
                </c:pt>
                <c:pt idx="3570">
                  <c:v>35660</c:v>
                </c:pt>
                <c:pt idx="3571">
                  <c:v>35661</c:v>
                </c:pt>
                <c:pt idx="3572">
                  <c:v>35662</c:v>
                </c:pt>
                <c:pt idx="3573">
                  <c:v>35663</c:v>
                </c:pt>
                <c:pt idx="3574">
                  <c:v>35664</c:v>
                </c:pt>
                <c:pt idx="3575">
                  <c:v>35667</c:v>
                </c:pt>
                <c:pt idx="3576">
                  <c:v>35668</c:v>
                </c:pt>
                <c:pt idx="3577">
                  <c:v>35669</c:v>
                </c:pt>
                <c:pt idx="3578">
                  <c:v>35670</c:v>
                </c:pt>
                <c:pt idx="3579">
                  <c:v>35671</c:v>
                </c:pt>
                <c:pt idx="3580">
                  <c:v>35674</c:v>
                </c:pt>
                <c:pt idx="3581">
                  <c:v>35675</c:v>
                </c:pt>
                <c:pt idx="3582">
                  <c:v>35676</c:v>
                </c:pt>
                <c:pt idx="3583">
                  <c:v>35677</c:v>
                </c:pt>
                <c:pt idx="3584">
                  <c:v>35678</c:v>
                </c:pt>
                <c:pt idx="3585">
                  <c:v>35681</c:v>
                </c:pt>
                <c:pt idx="3586">
                  <c:v>35682</c:v>
                </c:pt>
                <c:pt idx="3587">
                  <c:v>35683</c:v>
                </c:pt>
                <c:pt idx="3588">
                  <c:v>35684</c:v>
                </c:pt>
                <c:pt idx="3589">
                  <c:v>35685</c:v>
                </c:pt>
                <c:pt idx="3590">
                  <c:v>35688</c:v>
                </c:pt>
                <c:pt idx="3591">
                  <c:v>35689</c:v>
                </c:pt>
                <c:pt idx="3592">
                  <c:v>35690</c:v>
                </c:pt>
                <c:pt idx="3593">
                  <c:v>35691</c:v>
                </c:pt>
                <c:pt idx="3594">
                  <c:v>35692</c:v>
                </c:pt>
                <c:pt idx="3595">
                  <c:v>35695</c:v>
                </c:pt>
                <c:pt idx="3596">
                  <c:v>35696</c:v>
                </c:pt>
                <c:pt idx="3597">
                  <c:v>35697</c:v>
                </c:pt>
                <c:pt idx="3598">
                  <c:v>35698</c:v>
                </c:pt>
                <c:pt idx="3599">
                  <c:v>35699</c:v>
                </c:pt>
                <c:pt idx="3600">
                  <c:v>35702</c:v>
                </c:pt>
                <c:pt idx="3601">
                  <c:v>35703</c:v>
                </c:pt>
                <c:pt idx="3602">
                  <c:v>35704</c:v>
                </c:pt>
                <c:pt idx="3603">
                  <c:v>35705</c:v>
                </c:pt>
                <c:pt idx="3604">
                  <c:v>35706</c:v>
                </c:pt>
                <c:pt idx="3605">
                  <c:v>35709</c:v>
                </c:pt>
                <c:pt idx="3606">
                  <c:v>35710</c:v>
                </c:pt>
                <c:pt idx="3607">
                  <c:v>35711</c:v>
                </c:pt>
                <c:pt idx="3608">
                  <c:v>35712</c:v>
                </c:pt>
                <c:pt idx="3609">
                  <c:v>35713</c:v>
                </c:pt>
                <c:pt idx="3610">
                  <c:v>35716</c:v>
                </c:pt>
                <c:pt idx="3611">
                  <c:v>35717</c:v>
                </c:pt>
                <c:pt idx="3612">
                  <c:v>35718</c:v>
                </c:pt>
                <c:pt idx="3613">
                  <c:v>35719</c:v>
                </c:pt>
                <c:pt idx="3614">
                  <c:v>35720</c:v>
                </c:pt>
                <c:pt idx="3615">
                  <c:v>35723</c:v>
                </c:pt>
                <c:pt idx="3616">
                  <c:v>35724</c:v>
                </c:pt>
                <c:pt idx="3617">
                  <c:v>35725</c:v>
                </c:pt>
                <c:pt idx="3618">
                  <c:v>35726</c:v>
                </c:pt>
                <c:pt idx="3619">
                  <c:v>35727</c:v>
                </c:pt>
                <c:pt idx="3620">
                  <c:v>35730</c:v>
                </c:pt>
                <c:pt idx="3621">
                  <c:v>35731</c:v>
                </c:pt>
                <c:pt idx="3622">
                  <c:v>35732</c:v>
                </c:pt>
                <c:pt idx="3623">
                  <c:v>35733</c:v>
                </c:pt>
                <c:pt idx="3624">
                  <c:v>35734</c:v>
                </c:pt>
                <c:pt idx="3625">
                  <c:v>35737</c:v>
                </c:pt>
                <c:pt idx="3626">
                  <c:v>35738</c:v>
                </c:pt>
                <c:pt idx="3627">
                  <c:v>35739</c:v>
                </c:pt>
                <c:pt idx="3628">
                  <c:v>35740</c:v>
                </c:pt>
                <c:pt idx="3629">
                  <c:v>35741</c:v>
                </c:pt>
                <c:pt idx="3630">
                  <c:v>35744</c:v>
                </c:pt>
                <c:pt idx="3631">
                  <c:v>35745</c:v>
                </c:pt>
                <c:pt idx="3632">
                  <c:v>35746</c:v>
                </c:pt>
                <c:pt idx="3633">
                  <c:v>35747</c:v>
                </c:pt>
                <c:pt idx="3634">
                  <c:v>35748</c:v>
                </c:pt>
                <c:pt idx="3635">
                  <c:v>35751</c:v>
                </c:pt>
                <c:pt idx="3636">
                  <c:v>35752</c:v>
                </c:pt>
                <c:pt idx="3637">
                  <c:v>35753</c:v>
                </c:pt>
                <c:pt idx="3638">
                  <c:v>35754</c:v>
                </c:pt>
                <c:pt idx="3639">
                  <c:v>35755</c:v>
                </c:pt>
                <c:pt idx="3640">
                  <c:v>35758</c:v>
                </c:pt>
                <c:pt idx="3641">
                  <c:v>35759</c:v>
                </c:pt>
                <c:pt idx="3642">
                  <c:v>35760</c:v>
                </c:pt>
                <c:pt idx="3643">
                  <c:v>35761</c:v>
                </c:pt>
                <c:pt idx="3644">
                  <c:v>35762</c:v>
                </c:pt>
                <c:pt idx="3645">
                  <c:v>35765</c:v>
                </c:pt>
                <c:pt idx="3646">
                  <c:v>35766</c:v>
                </c:pt>
                <c:pt idx="3647">
                  <c:v>35767</c:v>
                </c:pt>
                <c:pt idx="3648">
                  <c:v>35768</c:v>
                </c:pt>
                <c:pt idx="3649">
                  <c:v>35769</c:v>
                </c:pt>
                <c:pt idx="3650">
                  <c:v>35772</c:v>
                </c:pt>
                <c:pt idx="3651">
                  <c:v>35773</c:v>
                </c:pt>
                <c:pt idx="3652">
                  <c:v>35774</c:v>
                </c:pt>
                <c:pt idx="3653">
                  <c:v>35775</c:v>
                </c:pt>
                <c:pt idx="3654">
                  <c:v>35776</c:v>
                </c:pt>
                <c:pt idx="3655">
                  <c:v>35779</c:v>
                </c:pt>
                <c:pt idx="3656">
                  <c:v>35780</c:v>
                </c:pt>
                <c:pt idx="3657">
                  <c:v>35781</c:v>
                </c:pt>
                <c:pt idx="3658">
                  <c:v>35782</c:v>
                </c:pt>
                <c:pt idx="3659">
                  <c:v>35783</c:v>
                </c:pt>
                <c:pt idx="3660">
                  <c:v>35786</c:v>
                </c:pt>
                <c:pt idx="3661">
                  <c:v>35787</c:v>
                </c:pt>
                <c:pt idx="3662">
                  <c:v>35788</c:v>
                </c:pt>
                <c:pt idx="3663">
                  <c:v>35789</c:v>
                </c:pt>
                <c:pt idx="3664">
                  <c:v>35790</c:v>
                </c:pt>
                <c:pt idx="3665">
                  <c:v>35793</c:v>
                </c:pt>
                <c:pt idx="3666">
                  <c:v>35794</c:v>
                </c:pt>
                <c:pt idx="3667">
                  <c:v>35795</c:v>
                </c:pt>
                <c:pt idx="3668">
                  <c:v>35796</c:v>
                </c:pt>
                <c:pt idx="3669">
                  <c:v>35797</c:v>
                </c:pt>
                <c:pt idx="3670">
                  <c:v>35800</c:v>
                </c:pt>
                <c:pt idx="3671">
                  <c:v>35801</c:v>
                </c:pt>
                <c:pt idx="3672">
                  <c:v>35802</c:v>
                </c:pt>
                <c:pt idx="3673">
                  <c:v>35803</c:v>
                </c:pt>
                <c:pt idx="3674">
                  <c:v>35804</c:v>
                </c:pt>
                <c:pt idx="3675">
                  <c:v>35807</c:v>
                </c:pt>
                <c:pt idx="3676">
                  <c:v>35808</c:v>
                </c:pt>
                <c:pt idx="3677">
                  <c:v>35809</c:v>
                </c:pt>
                <c:pt idx="3678">
                  <c:v>35810</c:v>
                </c:pt>
                <c:pt idx="3679">
                  <c:v>35811</c:v>
                </c:pt>
                <c:pt idx="3680">
                  <c:v>35814</c:v>
                </c:pt>
                <c:pt idx="3681">
                  <c:v>35815</c:v>
                </c:pt>
                <c:pt idx="3682">
                  <c:v>35816</c:v>
                </c:pt>
                <c:pt idx="3683">
                  <c:v>35817</c:v>
                </c:pt>
                <c:pt idx="3684">
                  <c:v>35818</c:v>
                </c:pt>
                <c:pt idx="3685">
                  <c:v>35821</c:v>
                </c:pt>
                <c:pt idx="3686">
                  <c:v>35822</c:v>
                </c:pt>
                <c:pt idx="3687">
                  <c:v>35823</c:v>
                </c:pt>
                <c:pt idx="3688">
                  <c:v>35824</c:v>
                </c:pt>
                <c:pt idx="3689">
                  <c:v>35825</c:v>
                </c:pt>
                <c:pt idx="3690">
                  <c:v>35828</c:v>
                </c:pt>
                <c:pt idx="3691">
                  <c:v>35829</c:v>
                </c:pt>
                <c:pt idx="3692">
                  <c:v>35830</c:v>
                </c:pt>
                <c:pt idx="3693">
                  <c:v>35831</c:v>
                </c:pt>
                <c:pt idx="3694">
                  <c:v>35832</c:v>
                </c:pt>
                <c:pt idx="3695">
                  <c:v>35835</c:v>
                </c:pt>
                <c:pt idx="3696">
                  <c:v>35836</c:v>
                </c:pt>
                <c:pt idx="3697">
                  <c:v>35837</c:v>
                </c:pt>
                <c:pt idx="3698">
                  <c:v>35838</c:v>
                </c:pt>
                <c:pt idx="3699">
                  <c:v>35839</c:v>
                </c:pt>
                <c:pt idx="3700">
                  <c:v>35842</c:v>
                </c:pt>
                <c:pt idx="3701">
                  <c:v>35843</c:v>
                </c:pt>
                <c:pt idx="3702">
                  <c:v>35844</c:v>
                </c:pt>
                <c:pt idx="3703">
                  <c:v>35845</c:v>
                </c:pt>
                <c:pt idx="3704">
                  <c:v>35846</c:v>
                </c:pt>
                <c:pt idx="3705">
                  <c:v>35849</c:v>
                </c:pt>
                <c:pt idx="3706">
                  <c:v>35850</c:v>
                </c:pt>
                <c:pt idx="3707">
                  <c:v>35851</c:v>
                </c:pt>
                <c:pt idx="3708">
                  <c:v>35852</c:v>
                </c:pt>
                <c:pt idx="3709">
                  <c:v>35853</c:v>
                </c:pt>
                <c:pt idx="3710">
                  <c:v>35856</c:v>
                </c:pt>
                <c:pt idx="3711">
                  <c:v>35857</c:v>
                </c:pt>
                <c:pt idx="3712">
                  <c:v>35858</c:v>
                </c:pt>
                <c:pt idx="3713">
                  <c:v>35859</c:v>
                </c:pt>
                <c:pt idx="3714">
                  <c:v>35860</c:v>
                </c:pt>
                <c:pt idx="3715">
                  <c:v>35863</c:v>
                </c:pt>
                <c:pt idx="3716">
                  <c:v>35864</c:v>
                </c:pt>
                <c:pt idx="3717">
                  <c:v>35865</c:v>
                </c:pt>
                <c:pt idx="3718">
                  <c:v>35866</c:v>
                </c:pt>
                <c:pt idx="3719">
                  <c:v>35867</c:v>
                </c:pt>
                <c:pt idx="3720">
                  <c:v>35870</c:v>
                </c:pt>
                <c:pt idx="3721">
                  <c:v>35871</c:v>
                </c:pt>
                <c:pt idx="3722">
                  <c:v>35872</c:v>
                </c:pt>
                <c:pt idx="3723">
                  <c:v>35873</c:v>
                </c:pt>
                <c:pt idx="3724">
                  <c:v>35874</c:v>
                </c:pt>
                <c:pt idx="3725">
                  <c:v>35877</c:v>
                </c:pt>
                <c:pt idx="3726">
                  <c:v>35878</c:v>
                </c:pt>
                <c:pt idx="3727">
                  <c:v>35879</c:v>
                </c:pt>
                <c:pt idx="3728">
                  <c:v>35880</c:v>
                </c:pt>
                <c:pt idx="3729">
                  <c:v>35881</c:v>
                </c:pt>
                <c:pt idx="3730">
                  <c:v>35884</c:v>
                </c:pt>
                <c:pt idx="3731">
                  <c:v>35885</c:v>
                </c:pt>
                <c:pt idx="3732">
                  <c:v>35886</c:v>
                </c:pt>
                <c:pt idx="3733">
                  <c:v>35887</c:v>
                </c:pt>
                <c:pt idx="3734">
                  <c:v>35888</c:v>
                </c:pt>
                <c:pt idx="3735">
                  <c:v>35891</c:v>
                </c:pt>
                <c:pt idx="3736">
                  <c:v>35892</c:v>
                </c:pt>
                <c:pt idx="3737">
                  <c:v>35893</c:v>
                </c:pt>
                <c:pt idx="3738">
                  <c:v>35894</c:v>
                </c:pt>
                <c:pt idx="3739">
                  <c:v>35895</c:v>
                </c:pt>
                <c:pt idx="3740">
                  <c:v>35898</c:v>
                </c:pt>
                <c:pt idx="3741">
                  <c:v>35899</c:v>
                </c:pt>
                <c:pt idx="3742">
                  <c:v>35900</c:v>
                </c:pt>
                <c:pt idx="3743">
                  <c:v>35901</c:v>
                </c:pt>
                <c:pt idx="3744">
                  <c:v>35902</c:v>
                </c:pt>
                <c:pt idx="3745">
                  <c:v>35905</c:v>
                </c:pt>
                <c:pt idx="3746">
                  <c:v>35906</c:v>
                </c:pt>
                <c:pt idx="3747">
                  <c:v>35907</c:v>
                </c:pt>
                <c:pt idx="3748">
                  <c:v>35908</c:v>
                </c:pt>
                <c:pt idx="3749">
                  <c:v>35909</c:v>
                </c:pt>
                <c:pt idx="3750">
                  <c:v>35912</c:v>
                </c:pt>
                <c:pt idx="3751">
                  <c:v>35913</c:v>
                </c:pt>
                <c:pt idx="3752">
                  <c:v>35914</c:v>
                </c:pt>
                <c:pt idx="3753">
                  <c:v>35915</c:v>
                </c:pt>
                <c:pt idx="3754">
                  <c:v>35916</c:v>
                </c:pt>
                <c:pt idx="3755">
                  <c:v>35919</c:v>
                </c:pt>
                <c:pt idx="3756">
                  <c:v>35920</c:v>
                </c:pt>
                <c:pt idx="3757">
                  <c:v>35921</c:v>
                </c:pt>
                <c:pt idx="3758">
                  <c:v>35922</c:v>
                </c:pt>
                <c:pt idx="3759">
                  <c:v>35923</c:v>
                </c:pt>
                <c:pt idx="3760">
                  <c:v>35926</c:v>
                </c:pt>
                <c:pt idx="3761">
                  <c:v>35927</c:v>
                </c:pt>
                <c:pt idx="3762">
                  <c:v>35928</c:v>
                </c:pt>
                <c:pt idx="3763">
                  <c:v>35929</c:v>
                </c:pt>
                <c:pt idx="3764">
                  <c:v>35930</c:v>
                </c:pt>
                <c:pt idx="3765">
                  <c:v>35933</c:v>
                </c:pt>
                <c:pt idx="3766">
                  <c:v>35934</c:v>
                </c:pt>
                <c:pt idx="3767">
                  <c:v>35935</c:v>
                </c:pt>
                <c:pt idx="3768">
                  <c:v>35936</c:v>
                </c:pt>
                <c:pt idx="3769">
                  <c:v>35937</c:v>
                </c:pt>
                <c:pt idx="3770">
                  <c:v>35940</c:v>
                </c:pt>
                <c:pt idx="3771">
                  <c:v>35941</c:v>
                </c:pt>
                <c:pt idx="3772">
                  <c:v>35942</c:v>
                </c:pt>
                <c:pt idx="3773">
                  <c:v>35943</c:v>
                </c:pt>
                <c:pt idx="3774">
                  <c:v>35944</c:v>
                </c:pt>
                <c:pt idx="3775">
                  <c:v>35947</c:v>
                </c:pt>
                <c:pt idx="3776">
                  <c:v>35948</c:v>
                </c:pt>
                <c:pt idx="3777">
                  <c:v>35949</c:v>
                </c:pt>
                <c:pt idx="3778">
                  <c:v>35950</c:v>
                </c:pt>
                <c:pt idx="3779">
                  <c:v>35951</c:v>
                </c:pt>
                <c:pt idx="3780">
                  <c:v>35954</c:v>
                </c:pt>
                <c:pt idx="3781">
                  <c:v>35955</c:v>
                </c:pt>
                <c:pt idx="3782">
                  <c:v>35956</c:v>
                </c:pt>
                <c:pt idx="3783">
                  <c:v>35957</c:v>
                </c:pt>
                <c:pt idx="3784">
                  <c:v>35958</c:v>
                </c:pt>
                <c:pt idx="3785">
                  <c:v>35961</c:v>
                </c:pt>
                <c:pt idx="3786">
                  <c:v>35962</c:v>
                </c:pt>
                <c:pt idx="3787">
                  <c:v>35963</c:v>
                </c:pt>
                <c:pt idx="3788">
                  <c:v>35964</c:v>
                </c:pt>
                <c:pt idx="3789">
                  <c:v>35965</c:v>
                </c:pt>
                <c:pt idx="3790">
                  <c:v>35968</c:v>
                </c:pt>
                <c:pt idx="3791">
                  <c:v>35969</c:v>
                </c:pt>
                <c:pt idx="3792">
                  <c:v>35970</c:v>
                </c:pt>
                <c:pt idx="3793">
                  <c:v>35971</c:v>
                </c:pt>
                <c:pt idx="3794">
                  <c:v>35972</c:v>
                </c:pt>
                <c:pt idx="3795">
                  <c:v>35975</c:v>
                </c:pt>
                <c:pt idx="3796">
                  <c:v>35976</c:v>
                </c:pt>
                <c:pt idx="3797">
                  <c:v>35977</c:v>
                </c:pt>
                <c:pt idx="3798">
                  <c:v>35978</c:v>
                </c:pt>
                <c:pt idx="3799">
                  <c:v>35979</c:v>
                </c:pt>
                <c:pt idx="3800">
                  <c:v>35982</c:v>
                </c:pt>
                <c:pt idx="3801">
                  <c:v>35983</c:v>
                </c:pt>
                <c:pt idx="3802">
                  <c:v>35984</c:v>
                </c:pt>
                <c:pt idx="3803">
                  <c:v>35985</c:v>
                </c:pt>
                <c:pt idx="3804">
                  <c:v>35986</c:v>
                </c:pt>
                <c:pt idx="3805">
                  <c:v>35989</c:v>
                </c:pt>
                <c:pt idx="3806">
                  <c:v>35990</c:v>
                </c:pt>
                <c:pt idx="3807">
                  <c:v>35991</c:v>
                </c:pt>
                <c:pt idx="3808">
                  <c:v>35992</c:v>
                </c:pt>
                <c:pt idx="3809">
                  <c:v>35993</c:v>
                </c:pt>
                <c:pt idx="3810">
                  <c:v>35996</c:v>
                </c:pt>
                <c:pt idx="3811">
                  <c:v>35997</c:v>
                </c:pt>
                <c:pt idx="3812">
                  <c:v>35998</c:v>
                </c:pt>
                <c:pt idx="3813">
                  <c:v>35999</c:v>
                </c:pt>
                <c:pt idx="3814">
                  <c:v>36000</c:v>
                </c:pt>
                <c:pt idx="3815">
                  <c:v>36003</c:v>
                </c:pt>
                <c:pt idx="3816">
                  <c:v>36004</c:v>
                </c:pt>
                <c:pt idx="3817">
                  <c:v>36005</c:v>
                </c:pt>
                <c:pt idx="3818">
                  <c:v>36006</c:v>
                </c:pt>
                <c:pt idx="3819">
                  <c:v>36007</c:v>
                </c:pt>
                <c:pt idx="3820">
                  <c:v>36010</c:v>
                </c:pt>
                <c:pt idx="3821">
                  <c:v>36011</c:v>
                </c:pt>
                <c:pt idx="3822">
                  <c:v>36012</c:v>
                </c:pt>
                <c:pt idx="3823">
                  <c:v>36013</c:v>
                </c:pt>
                <c:pt idx="3824">
                  <c:v>36014</c:v>
                </c:pt>
                <c:pt idx="3825">
                  <c:v>36017</c:v>
                </c:pt>
                <c:pt idx="3826">
                  <c:v>36018</c:v>
                </c:pt>
                <c:pt idx="3827">
                  <c:v>36019</c:v>
                </c:pt>
                <c:pt idx="3828">
                  <c:v>36020</c:v>
                </c:pt>
                <c:pt idx="3829">
                  <c:v>36021</c:v>
                </c:pt>
                <c:pt idx="3830">
                  <c:v>36024</c:v>
                </c:pt>
                <c:pt idx="3831">
                  <c:v>36025</c:v>
                </c:pt>
                <c:pt idx="3832">
                  <c:v>36026</c:v>
                </c:pt>
                <c:pt idx="3833">
                  <c:v>36027</c:v>
                </c:pt>
                <c:pt idx="3834">
                  <c:v>36028</c:v>
                </c:pt>
                <c:pt idx="3835">
                  <c:v>36031</c:v>
                </c:pt>
                <c:pt idx="3836">
                  <c:v>36032</c:v>
                </c:pt>
                <c:pt idx="3837">
                  <c:v>36033</c:v>
                </c:pt>
                <c:pt idx="3838">
                  <c:v>36034</c:v>
                </c:pt>
                <c:pt idx="3839">
                  <c:v>36035</c:v>
                </c:pt>
                <c:pt idx="3840">
                  <c:v>36038</c:v>
                </c:pt>
                <c:pt idx="3841">
                  <c:v>36039</c:v>
                </c:pt>
                <c:pt idx="3842">
                  <c:v>36040</c:v>
                </c:pt>
                <c:pt idx="3843">
                  <c:v>36041</c:v>
                </c:pt>
                <c:pt idx="3844">
                  <c:v>36042</c:v>
                </c:pt>
                <c:pt idx="3845">
                  <c:v>36045</c:v>
                </c:pt>
                <c:pt idx="3846">
                  <c:v>36046</c:v>
                </c:pt>
                <c:pt idx="3847">
                  <c:v>36047</c:v>
                </c:pt>
                <c:pt idx="3848">
                  <c:v>36048</c:v>
                </c:pt>
                <c:pt idx="3849">
                  <c:v>36049</c:v>
                </c:pt>
                <c:pt idx="3850">
                  <c:v>36052</c:v>
                </c:pt>
                <c:pt idx="3851">
                  <c:v>36053</c:v>
                </c:pt>
                <c:pt idx="3852">
                  <c:v>36054</c:v>
                </c:pt>
                <c:pt idx="3853">
                  <c:v>36055</c:v>
                </c:pt>
                <c:pt idx="3854">
                  <c:v>36056</c:v>
                </c:pt>
                <c:pt idx="3855">
                  <c:v>36059</c:v>
                </c:pt>
                <c:pt idx="3856">
                  <c:v>36060</c:v>
                </c:pt>
                <c:pt idx="3857">
                  <c:v>36061</c:v>
                </c:pt>
                <c:pt idx="3858">
                  <c:v>36062</c:v>
                </c:pt>
                <c:pt idx="3859">
                  <c:v>36063</c:v>
                </c:pt>
                <c:pt idx="3860">
                  <c:v>36066</c:v>
                </c:pt>
                <c:pt idx="3861">
                  <c:v>36067</c:v>
                </c:pt>
                <c:pt idx="3862">
                  <c:v>36068</c:v>
                </c:pt>
                <c:pt idx="3863">
                  <c:v>36069</c:v>
                </c:pt>
                <c:pt idx="3864">
                  <c:v>36070</c:v>
                </c:pt>
                <c:pt idx="3865">
                  <c:v>36073</c:v>
                </c:pt>
                <c:pt idx="3866">
                  <c:v>36074</c:v>
                </c:pt>
                <c:pt idx="3867">
                  <c:v>36075</c:v>
                </c:pt>
                <c:pt idx="3868">
                  <c:v>36076</c:v>
                </c:pt>
                <c:pt idx="3869">
                  <c:v>36077</c:v>
                </c:pt>
                <c:pt idx="3870">
                  <c:v>36080</c:v>
                </c:pt>
                <c:pt idx="3871">
                  <c:v>36081</c:v>
                </c:pt>
                <c:pt idx="3872">
                  <c:v>36082</c:v>
                </c:pt>
                <c:pt idx="3873">
                  <c:v>36083</c:v>
                </c:pt>
                <c:pt idx="3874">
                  <c:v>36084</c:v>
                </c:pt>
                <c:pt idx="3875">
                  <c:v>36087</c:v>
                </c:pt>
                <c:pt idx="3876">
                  <c:v>36088</c:v>
                </c:pt>
                <c:pt idx="3877">
                  <c:v>36089</c:v>
                </c:pt>
                <c:pt idx="3878">
                  <c:v>36090</c:v>
                </c:pt>
                <c:pt idx="3879">
                  <c:v>36091</c:v>
                </c:pt>
                <c:pt idx="3880">
                  <c:v>36094</c:v>
                </c:pt>
                <c:pt idx="3881">
                  <c:v>36095</c:v>
                </c:pt>
                <c:pt idx="3882">
                  <c:v>36096</c:v>
                </c:pt>
                <c:pt idx="3883">
                  <c:v>36097</c:v>
                </c:pt>
                <c:pt idx="3884">
                  <c:v>36098</c:v>
                </c:pt>
                <c:pt idx="3885">
                  <c:v>36101</c:v>
                </c:pt>
                <c:pt idx="3886">
                  <c:v>36102</c:v>
                </c:pt>
                <c:pt idx="3887">
                  <c:v>36103</c:v>
                </c:pt>
                <c:pt idx="3888">
                  <c:v>36104</c:v>
                </c:pt>
                <c:pt idx="3889">
                  <c:v>36105</c:v>
                </c:pt>
                <c:pt idx="3890">
                  <c:v>36108</c:v>
                </c:pt>
                <c:pt idx="3891">
                  <c:v>36109</c:v>
                </c:pt>
                <c:pt idx="3892">
                  <c:v>36110</c:v>
                </c:pt>
                <c:pt idx="3893">
                  <c:v>36111</c:v>
                </c:pt>
                <c:pt idx="3894">
                  <c:v>36112</c:v>
                </c:pt>
                <c:pt idx="3895">
                  <c:v>36115</c:v>
                </c:pt>
                <c:pt idx="3896">
                  <c:v>36116</c:v>
                </c:pt>
                <c:pt idx="3897">
                  <c:v>36117</c:v>
                </c:pt>
                <c:pt idx="3898">
                  <c:v>36118</c:v>
                </c:pt>
                <c:pt idx="3899">
                  <c:v>36119</c:v>
                </c:pt>
                <c:pt idx="3900">
                  <c:v>36122</c:v>
                </c:pt>
                <c:pt idx="3901">
                  <c:v>36123</c:v>
                </c:pt>
                <c:pt idx="3902">
                  <c:v>36124</c:v>
                </c:pt>
                <c:pt idx="3903">
                  <c:v>36125</c:v>
                </c:pt>
                <c:pt idx="3904">
                  <c:v>36126</c:v>
                </c:pt>
                <c:pt idx="3905">
                  <c:v>36129</c:v>
                </c:pt>
                <c:pt idx="3906">
                  <c:v>36130</c:v>
                </c:pt>
                <c:pt idx="3907">
                  <c:v>36131</c:v>
                </c:pt>
                <c:pt idx="3908">
                  <c:v>36132</c:v>
                </c:pt>
                <c:pt idx="3909">
                  <c:v>36133</c:v>
                </c:pt>
                <c:pt idx="3910">
                  <c:v>36136</c:v>
                </c:pt>
                <c:pt idx="3911">
                  <c:v>36137</c:v>
                </c:pt>
                <c:pt idx="3912">
                  <c:v>36138</c:v>
                </c:pt>
                <c:pt idx="3913">
                  <c:v>36139</c:v>
                </c:pt>
                <c:pt idx="3914">
                  <c:v>36140</c:v>
                </c:pt>
                <c:pt idx="3915">
                  <c:v>36143</c:v>
                </c:pt>
                <c:pt idx="3916">
                  <c:v>36144</c:v>
                </c:pt>
                <c:pt idx="3917">
                  <c:v>36145</c:v>
                </c:pt>
                <c:pt idx="3918">
                  <c:v>36146</c:v>
                </c:pt>
                <c:pt idx="3919">
                  <c:v>36147</c:v>
                </c:pt>
                <c:pt idx="3920">
                  <c:v>36150</c:v>
                </c:pt>
                <c:pt idx="3921">
                  <c:v>36151</c:v>
                </c:pt>
                <c:pt idx="3922">
                  <c:v>36152</c:v>
                </c:pt>
                <c:pt idx="3923">
                  <c:v>36153</c:v>
                </c:pt>
                <c:pt idx="3924">
                  <c:v>36154</c:v>
                </c:pt>
                <c:pt idx="3925">
                  <c:v>36157</c:v>
                </c:pt>
                <c:pt idx="3926">
                  <c:v>36158</c:v>
                </c:pt>
                <c:pt idx="3927">
                  <c:v>36159</c:v>
                </c:pt>
                <c:pt idx="3928">
                  <c:v>36160</c:v>
                </c:pt>
                <c:pt idx="3929">
                  <c:v>36161</c:v>
                </c:pt>
                <c:pt idx="3930">
                  <c:v>36164</c:v>
                </c:pt>
                <c:pt idx="3931">
                  <c:v>36165</c:v>
                </c:pt>
                <c:pt idx="3932">
                  <c:v>36166</c:v>
                </c:pt>
                <c:pt idx="3933">
                  <c:v>36167</c:v>
                </c:pt>
                <c:pt idx="3934">
                  <c:v>36168</c:v>
                </c:pt>
                <c:pt idx="3935">
                  <c:v>36171</c:v>
                </c:pt>
                <c:pt idx="3936">
                  <c:v>36172</c:v>
                </c:pt>
                <c:pt idx="3937">
                  <c:v>36173</c:v>
                </c:pt>
                <c:pt idx="3938">
                  <c:v>36174</c:v>
                </c:pt>
                <c:pt idx="3939">
                  <c:v>36175</c:v>
                </c:pt>
                <c:pt idx="3940">
                  <c:v>36178</c:v>
                </c:pt>
                <c:pt idx="3941">
                  <c:v>36179</c:v>
                </c:pt>
                <c:pt idx="3942">
                  <c:v>36180</c:v>
                </c:pt>
                <c:pt idx="3943">
                  <c:v>36181</c:v>
                </c:pt>
                <c:pt idx="3944">
                  <c:v>36182</c:v>
                </c:pt>
                <c:pt idx="3945">
                  <c:v>36185</c:v>
                </c:pt>
                <c:pt idx="3946">
                  <c:v>36186</c:v>
                </c:pt>
                <c:pt idx="3947">
                  <c:v>36187</c:v>
                </c:pt>
                <c:pt idx="3948">
                  <c:v>36188</c:v>
                </c:pt>
                <c:pt idx="3949">
                  <c:v>36189</c:v>
                </c:pt>
                <c:pt idx="3950">
                  <c:v>36192</c:v>
                </c:pt>
                <c:pt idx="3951">
                  <c:v>36193</c:v>
                </c:pt>
                <c:pt idx="3952">
                  <c:v>36194</c:v>
                </c:pt>
                <c:pt idx="3953">
                  <c:v>36195</c:v>
                </c:pt>
                <c:pt idx="3954">
                  <c:v>36196</c:v>
                </c:pt>
                <c:pt idx="3955">
                  <c:v>36199</c:v>
                </c:pt>
                <c:pt idx="3956">
                  <c:v>36200</c:v>
                </c:pt>
                <c:pt idx="3957">
                  <c:v>36201</c:v>
                </c:pt>
                <c:pt idx="3958">
                  <c:v>36202</c:v>
                </c:pt>
                <c:pt idx="3959">
                  <c:v>36203</c:v>
                </c:pt>
                <c:pt idx="3960">
                  <c:v>36206</c:v>
                </c:pt>
                <c:pt idx="3961">
                  <c:v>36207</c:v>
                </c:pt>
                <c:pt idx="3962">
                  <c:v>36208</c:v>
                </c:pt>
                <c:pt idx="3963">
                  <c:v>36209</c:v>
                </c:pt>
                <c:pt idx="3964">
                  <c:v>36210</c:v>
                </c:pt>
                <c:pt idx="3965">
                  <c:v>36213</c:v>
                </c:pt>
                <c:pt idx="3966">
                  <c:v>36214</c:v>
                </c:pt>
                <c:pt idx="3967">
                  <c:v>36215</c:v>
                </c:pt>
                <c:pt idx="3968">
                  <c:v>36216</c:v>
                </c:pt>
                <c:pt idx="3969">
                  <c:v>36217</c:v>
                </c:pt>
                <c:pt idx="3970">
                  <c:v>36220</c:v>
                </c:pt>
                <c:pt idx="3971">
                  <c:v>36221</c:v>
                </c:pt>
                <c:pt idx="3972">
                  <c:v>36222</c:v>
                </c:pt>
                <c:pt idx="3973">
                  <c:v>36223</c:v>
                </c:pt>
                <c:pt idx="3974">
                  <c:v>36224</c:v>
                </c:pt>
                <c:pt idx="3975">
                  <c:v>36227</c:v>
                </c:pt>
                <c:pt idx="3976">
                  <c:v>36228</c:v>
                </c:pt>
                <c:pt idx="3977">
                  <c:v>36229</c:v>
                </c:pt>
                <c:pt idx="3978">
                  <c:v>36230</c:v>
                </c:pt>
                <c:pt idx="3979">
                  <c:v>36231</c:v>
                </c:pt>
                <c:pt idx="3980">
                  <c:v>36234</c:v>
                </c:pt>
                <c:pt idx="3981">
                  <c:v>36235</c:v>
                </c:pt>
                <c:pt idx="3982">
                  <c:v>36236</c:v>
                </c:pt>
                <c:pt idx="3983">
                  <c:v>36237</c:v>
                </c:pt>
                <c:pt idx="3984">
                  <c:v>36238</c:v>
                </c:pt>
                <c:pt idx="3985">
                  <c:v>36241</c:v>
                </c:pt>
                <c:pt idx="3986">
                  <c:v>36242</c:v>
                </c:pt>
                <c:pt idx="3987">
                  <c:v>36243</c:v>
                </c:pt>
                <c:pt idx="3988">
                  <c:v>36244</c:v>
                </c:pt>
                <c:pt idx="3989">
                  <c:v>36245</c:v>
                </c:pt>
                <c:pt idx="3990">
                  <c:v>36248</c:v>
                </c:pt>
                <c:pt idx="3991">
                  <c:v>36249</c:v>
                </c:pt>
                <c:pt idx="3992">
                  <c:v>36250</c:v>
                </c:pt>
                <c:pt idx="3993">
                  <c:v>36251</c:v>
                </c:pt>
                <c:pt idx="3994">
                  <c:v>36252</c:v>
                </c:pt>
                <c:pt idx="3995">
                  <c:v>36255</c:v>
                </c:pt>
                <c:pt idx="3996">
                  <c:v>36256</c:v>
                </c:pt>
                <c:pt idx="3997">
                  <c:v>36257</c:v>
                </c:pt>
                <c:pt idx="3998">
                  <c:v>36258</c:v>
                </c:pt>
                <c:pt idx="3999">
                  <c:v>36259</c:v>
                </c:pt>
                <c:pt idx="4000">
                  <c:v>36262</c:v>
                </c:pt>
                <c:pt idx="4001">
                  <c:v>36263</c:v>
                </c:pt>
                <c:pt idx="4002">
                  <c:v>36264</c:v>
                </c:pt>
                <c:pt idx="4003">
                  <c:v>36265</c:v>
                </c:pt>
                <c:pt idx="4004">
                  <c:v>36266</c:v>
                </c:pt>
                <c:pt idx="4005">
                  <c:v>36269</c:v>
                </c:pt>
                <c:pt idx="4006">
                  <c:v>36270</c:v>
                </c:pt>
                <c:pt idx="4007">
                  <c:v>36271</c:v>
                </c:pt>
                <c:pt idx="4008">
                  <c:v>36272</c:v>
                </c:pt>
                <c:pt idx="4009">
                  <c:v>36273</c:v>
                </c:pt>
                <c:pt idx="4010">
                  <c:v>36276</c:v>
                </c:pt>
                <c:pt idx="4011">
                  <c:v>36277</c:v>
                </c:pt>
                <c:pt idx="4012">
                  <c:v>36278</c:v>
                </c:pt>
                <c:pt idx="4013">
                  <c:v>36279</c:v>
                </c:pt>
                <c:pt idx="4014">
                  <c:v>36280</c:v>
                </c:pt>
                <c:pt idx="4015">
                  <c:v>36283</c:v>
                </c:pt>
                <c:pt idx="4016">
                  <c:v>36284</c:v>
                </c:pt>
                <c:pt idx="4017">
                  <c:v>36285</c:v>
                </c:pt>
                <c:pt idx="4018">
                  <c:v>36286</c:v>
                </c:pt>
                <c:pt idx="4019">
                  <c:v>36287</c:v>
                </c:pt>
                <c:pt idx="4020">
                  <c:v>36290</c:v>
                </c:pt>
                <c:pt idx="4021">
                  <c:v>36291</c:v>
                </c:pt>
                <c:pt idx="4022">
                  <c:v>36292</c:v>
                </c:pt>
                <c:pt idx="4023">
                  <c:v>36293</c:v>
                </c:pt>
                <c:pt idx="4024">
                  <c:v>36294</c:v>
                </c:pt>
                <c:pt idx="4025">
                  <c:v>36297</c:v>
                </c:pt>
                <c:pt idx="4026">
                  <c:v>36298</c:v>
                </c:pt>
                <c:pt idx="4027">
                  <c:v>36299</c:v>
                </c:pt>
                <c:pt idx="4028">
                  <c:v>36300</c:v>
                </c:pt>
                <c:pt idx="4029">
                  <c:v>36301</c:v>
                </c:pt>
                <c:pt idx="4030">
                  <c:v>36304</c:v>
                </c:pt>
                <c:pt idx="4031">
                  <c:v>36305</c:v>
                </c:pt>
                <c:pt idx="4032">
                  <c:v>36306</c:v>
                </c:pt>
                <c:pt idx="4033">
                  <c:v>36307</c:v>
                </c:pt>
                <c:pt idx="4034">
                  <c:v>36308</c:v>
                </c:pt>
                <c:pt idx="4035">
                  <c:v>36311</c:v>
                </c:pt>
                <c:pt idx="4036">
                  <c:v>36312</c:v>
                </c:pt>
                <c:pt idx="4037">
                  <c:v>36313</c:v>
                </c:pt>
                <c:pt idx="4038">
                  <c:v>36314</c:v>
                </c:pt>
                <c:pt idx="4039">
                  <c:v>36315</c:v>
                </c:pt>
                <c:pt idx="4040">
                  <c:v>36318</c:v>
                </c:pt>
                <c:pt idx="4041">
                  <c:v>36319</c:v>
                </c:pt>
                <c:pt idx="4042">
                  <c:v>36320</c:v>
                </c:pt>
                <c:pt idx="4043">
                  <c:v>36321</c:v>
                </c:pt>
                <c:pt idx="4044">
                  <c:v>36322</c:v>
                </c:pt>
                <c:pt idx="4045">
                  <c:v>36325</c:v>
                </c:pt>
                <c:pt idx="4046">
                  <c:v>36326</c:v>
                </c:pt>
                <c:pt idx="4047">
                  <c:v>36327</c:v>
                </c:pt>
                <c:pt idx="4048">
                  <c:v>36328</c:v>
                </c:pt>
                <c:pt idx="4049">
                  <c:v>36329</c:v>
                </c:pt>
                <c:pt idx="4050">
                  <c:v>36332</c:v>
                </c:pt>
                <c:pt idx="4051">
                  <c:v>36333</c:v>
                </c:pt>
                <c:pt idx="4052">
                  <c:v>36334</c:v>
                </c:pt>
                <c:pt idx="4053">
                  <c:v>36335</c:v>
                </c:pt>
                <c:pt idx="4054">
                  <c:v>36336</c:v>
                </c:pt>
                <c:pt idx="4055">
                  <c:v>36339</c:v>
                </c:pt>
                <c:pt idx="4056">
                  <c:v>36340</c:v>
                </c:pt>
                <c:pt idx="4057">
                  <c:v>36341</c:v>
                </c:pt>
                <c:pt idx="4058">
                  <c:v>36342</c:v>
                </c:pt>
                <c:pt idx="4059">
                  <c:v>36343</c:v>
                </c:pt>
                <c:pt idx="4060">
                  <c:v>36346</c:v>
                </c:pt>
                <c:pt idx="4061">
                  <c:v>36347</c:v>
                </c:pt>
                <c:pt idx="4062">
                  <c:v>36348</c:v>
                </c:pt>
                <c:pt idx="4063">
                  <c:v>36349</c:v>
                </c:pt>
                <c:pt idx="4064">
                  <c:v>36350</c:v>
                </c:pt>
                <c:pt idx="4065">
                  <c:v>36353</c:v>
                </c:pt>
                <c:pt idx="4066">
                  <c:v>36354</c:v>
                </c:pt>
                <c:pt idx="4067">
                  <c:v>36355</c:v>
                </c:pt>
                <c:pt idx="4068">
                  <c:v>36356</c:v>
                </c:pt>
                <c:pt idx="4069">
                  <c:v>36357</c:v>
                </c:pt>
                <c:pt idx="4070">
                  <c:v>36360</c:v>
                </c:pt>
                <c:pt idx="4071">
                  <c:v>36361</c:v>
                </c:pt>
                <c:pt idx="4072">
                  <c:v>36362</c:v>
                </c:pt>
                <c:pt idx="4073">
                  <c:v>36363</c:v>
                </c:pt>
                <c:pt idx="4074">
                  <c:v>36364</c:v>
                </c:pt>
                <c:pt idx="4075">
                  <c:v>36367</c:v>
                </c:pt>
                <c:pt idx="4076">
                  <c:v>36368</c:v>
                </c:pt>
                <c:pt idx="4077">
                  <c:v>36369</c:v>
                </c:pt>
                <c:pt idx="4078">
                  <c:v>36370</c:v>
                </c:pt>
                <c:pt idx="4079">
                  <c:v>36371</c:v>
                </c:pt>
                <c:pt idx="4080">
                  <c:v>36374</c:v>
                </c:pt>
                <c:pt idx="4081">
                  <c:v>36375</c:v>
                </c:pt>
                <c:pt idx="4082">
                  <c:v>36376</c:v>
                </c:pt>
                <c:pt idx="4083">
                  <c:v>36377</c:v>
                </c:pt>
                <c:pt idx="4084">
                  <c:v>36378</c:v>
                </c:pt>
                <c:pt idx="4085">
                  <c:v>36381</c:v>
                </c:pt>
                <c:pt idx="4086">
                  <c:v>36382</c:v>
                </c:pt>
                <c:pt idx="4087">
                  <c:v>36383</c:v>
                </c:pt>
                <c:pt idx="4088">
                  <c:v>36384</c:v>
                </c:pt>
                <c:pt idx="4089">
                  <c:v>36385</c:v>
                </c:pt>
                <c:pt idx="4090">
                  <c:v>36388</c:v>
                </c:pt>
                <c:pt idx="4091">
                  <c:v>36389</c:v>
                </c:pt>
                <c:pt idx="4092">
                  <c:v>36390</c:v>
                </c:pt>
                <c:pt idx="4093">
                  <c:v>36391</c:v>
                </c:pt>
                <c:pt idx="4094">
                  <c:v>36392</c:v>
                </c:pt>
                <c:pt idx="4095">
                  <c:v>36395</c:v>
                </c:pt>
                <c:pt idx="4096">
                  <c:v>36396</c:v>
                </c:pt>
                <c:pt idx="4097">
                  <c:v>36397</c:v>
                </c:pt>
                <c:pt idx="4098">
                  <c:v>36398</c:v>
                </c:pt>
                <c:pt idx="4099">
                  <c:v>36399</c:v>
                </c:pt>
                <c:pt idx="4100">
                  <c:v>36402</c:v>
                </c:pt>
                <c:pt idx="4101">
                  <c:v>36403</c:v>
                </c:pt>
                <c:pt idx="4102">
                  <c:v>36404</c:v>
                </c:pt>
                <c:pt idx="4103">
                  <c:v>36405</c:v>
                </c:pt>
                <c:pt idx="4104">
                  <c:v>36406</c:v>
                </c:pt>
                <c:pt idx="4105">
                  <c:v>36409</c:v>
                </c:pt>
                <c:pt idx="4106">
                  <c:v>36410</c:v>
                </c:pt>
                <c:pt idx="4107">
                  <c:v>36411</c:v>
                </c:pt>
                <c:pt idx="4108">
                  <c:v>36412</c:v>
                </c:pt>
                <c:pt idx="4109">
                  <c:v>36413</c:v>
                </c:pt>
                <c:pt idx="4110">
                  <c:v>36416</c:v>
                </c:pt>
                <c:pt idx="4111">
                  <c:v>36417</c:v>
                </c:pt>
                <c:pt idx="4112">
                  <c:v>36418</c:v>
                </c:pt>
                <c:pt idx="4113">
                  <c:v>36419</c:v>
                </c:pt>
                <c:pt idx="4114">
                  <c:v>36420</c:v>
                </c:pt>
                <c:pt idx="4115">
                  <c:v>36423</c:v>
                </c:pt>
                <c:pt idx="4116">
                  <c:v>36424</c:v>
                </c:pt>
                <c:pt idx="4117">
                  <c:v>36425</c:v>
                </c:pt>
                <c:pt idx="4118">
                  <c:v>36426</c:v>
                </c:pt>
                <c:pt idx="4119">
                  <c:v>36427</c:v>
                </c:pt>
                <c:pt idx="4120">
                  <c:v>36430</c:v>
                </c:pt>
                <c:pt idx="4121">
                  <c:v>36431</c:v>
                </c:pt>
                <c:pt idx="4122">
                  <c:v>36432</c:v>
                </c:pt>
                <c:pt idx="4123">
                  <c:v>36433</c:v>
                </c:pt>
                <c:pt idx="4124">
                  <c:v>36434</c:v>
                </c:pt>
                <c:pt idx="4125">
                  <c:v>36437</c:v>
                </c:pt>
                <c:pt idx="4126">
                  <c:v>36438</c:v>
                </c:pt>
                <c:pt idx="4127">
                  <c:v>36439</c:v>
                </c:pt>
                <c:pt idx="4128">
                  <c:v>36440</c:v>
                </c:pt>
                <c:pt idx="4129">
                  <c:v>36441</c:v>
                </c:pt>
                <c:pt idx="4130">
                  <c:v>36444</c:v>
                </c:pt>
                <c:pt idx="4131">
                  <c:v>36445</c:v>
                </c:pt>
                <c:pt idx="4132">
                  <c:v>36446</c:v>
                </c:pt>
                <c:pt idx="4133">
                  <c:v>36447</c:v>
                </c:pt>
                <c:pt idx="4134">
                  <c:v>36448</c:v>
                </c:pt>
                <c:pt idx="4135">
                  <c:v>36451</c:v>
                </c:pt>
                <c:pt idx="4136">
                  <c:v>36452</c:v>
                </c:pt>
                <c:pt idx="4137">
                  <c:v>36453</c:v>
                </c:pt>
                <c:pt idx="4138">
                  <c:v>36454</c:v>
                </c:pt>
                <c:pt idx="4139">
                  <c:v>36455</c:v>
                </c:pt>
                <c:pt idx="4140">
                  <c:v>36458</c:v>
                </c:pt>
                <c:pt idx="4141">
                  <c:v>36459</c:v>
                </c:pt>
                <c:pt idx="4142">
                  <c:v>36460</c:v>
                </c:pt>
                <c:pt idx="4143">
                  <c:v>36461</c:v>
                </c:pt>
                <c:pt idx="4144">
                  <c:v>36462</c:v>
                </c:pt>
                <c:pt idx="4145">
                  <c:v>36465</c:v>
                </c:pt>
                <c:pt idx="4146">
                  <c:v>36466</c:v>
                </c:pt>
                <c:pt idx="4147">
                  <c:v>36467</c:v>
                </c:pt>
                <c:pt idx="4148">
                  <c:v>36468</c:v>
                </c:pt>
                <c:pt idx="4149">
                  <c:v>36469</c:v>
                </c:pt>
                <c:pt idx="4150">
                  <c:v>36472</c:v>
                </c:pt>
                <c:pt idx="4151">
                  <c:v>36473</c:v>
                </c:pt>
                <c:pt idx="4152">
                  <c:v>36474</c:v>
                </c:pt>
                <c:pt idx="4153">
                  <c:v>36475</c:v>
                </c:pt>
                <c:pt idx="4154">
                  <c:v>36476</c:v>
                </c:pt>
                <c:pt idx="4155">
                  <c:v>36479</c:v>
                </c:pt>
                <c:pt idx="4156">
                  <c:v>36480</c:v>
                </c:pt>
                <c:pt idx="4157">
                  <c:v>36481</c:v>
                </c:pt>
                <c:pt idx="4158">
                  <c:v>36482</c:v>
                </c:pt>
                <c:pt idx="4159">
                  <c:v>36483</c:v>
                </c:pt>
                <c:pt idx="4160">
                  <c:v>36486</c:v>
                </c:pt>
                <c:pt idx="4161">
                  <c:v>36487</c:v>
                </c:pt>
                <c:pt idx="4162">
                  <c:v>36488</c:v>
                </c:pt>
                <c:pt idx="4163">
                  <c:v>36489</c:v>
                </c:pt>
                <c:pt idx="4164">
                  <c:v>36490</c:v>
                </c:pt>
                <c:pt idx="4165">
                  <c:v>36493</c:v>
                </c:pt>
                <c:pt idx="4166">
                  <c:v>36494</c:v>
                </c:pt>
                <c:pt idx="4167">
                  <c:v>36495</c:v>
                </c:pt>
                <c:pt idx="4168">
                  <c:v>36496</c:v>
                </c:pt>
                <c:pt idx="4169">
                  <c:v>36497</c:v>
                </c:pt>
                <c:pt idx="4170">
                  <c:v>36500</c:v>
                </c:pt>
                <c:pt idx="4171">
                  <c:v>36501</c:v>
                </c:pt>
                <c:pt idx="4172">
                  <c:v>36502</c:v>
                </c:pt>
                <c:pt idx="4173">
                  <c:v>36503</c:v>
                </c:pt>
                <c:pt idx="4174">
                  <c:v>36504</c:v>
                </c:pt>
                <c:pt idx="4175">
                  <c:v>36507</c:v>
                </c:pt>
                <c:pt idx="4176">
                  <c:v>36508</c:v>
                </c:pt>
                <c:pt idx="4177">
                  <c:v>36509</c:v>
                </c:pt>
                <c:pt idx="4178">
                  <c:v>36510</c:v>
                </c:pt>
                <c:pt idx="4179">
                  <c:v>36511</c:v>
                </c:pt>
                <c:pt idx="4180">
                  <c:v>36514</c:v>
                </c:pt>
                <c:pt idx="4181">
                  <c:v>36515</c:v>
                </c:pt>
                <c:pt idx="4182">
                  <c:v>36516</c:v>
                </c:pt>
                <c:pt idx="4183">
                  <c:v>36517</c:v>
                </c:pt>
                <c:pt idx="4184">
                  <c:v>36518</c:v>
                </c:pt>
                <c:pt idx="4185">
                  <c:v>36521</c:v>
                </c:pt>
                <c:pt idx="4186">
                  <c:v>36522</c:v>
                </c:pt>
                <c:pt idx="4187">
                  <c:v>36523</c:v>
                </c:pt>
                <c:pt idx="4188">
                  <c:v>36524</c:v>
                </c:pt>
                <c:pt idx="4189">
                  <c:v>36525</c:v>
                </c:pt>
                <c:pt idx="4190">
                  <c:v>36528</c:v>
                </c:pt>
                <c:pt idx="4191">
                  <c:v>36529</c:v>
                </c:pt>
                <c:pt idx="4192">
                  <c:v>36530</c:v>
                </c:pt>
                <c:pt idx="4193">
                  <c:v>36531</c:v>
                </c:pt>
                <c:pt idx="4194">
                  <c:v>36532</c:v>
                </c:pt>
                <c:pt idx="4195">
                  <c:v>36535</c:v>
                </c:pt>
                <c:pt idx="4196">
                  <c:v>36536</c:v>
                </c:pt>
                <c:pt idx="4197">
                  <c:v>36537</c:v>
                </c:pt>
                <c:pt idx="4198">
                  <c:v>36538</c:v>
                </c:pt>
                <c:pt idx="4199">
                  <c:v>36539</c:v>
                </c:pt>
                <c:pt idx="4200">
                  <c:v>36542</c:v>
                </c:pt>
                <c:pt idx="4201">
                  <c:v>36543</c:v>
                </c:pt>
                <c:pt idx="4202">
                  <c:v>36544</c:v>
                </c:pt>
                <c:pt idx="4203">
                  <c:v>36545</c:v>
                </c:pt>
                <c:pt idx="4204">
                  <c:v>36546</c:v>
                </c:pt>
                <c:pt idx="4205">
                  <c:v>36549</c:v>
                </c:pt>
                <c:pt idx="4206">
                  <c:v>36550</c:v>
                </c:pt>
                <c:pt idx="4207">
                  <c:v>36551</c:v>
                </c:pt>
                <c:pt idx="4208">
                  <c:v>36552</c:v>
                </c:pt>
                <c:pt idx="4209">
                  <c:v>36553</c:v>
                </c:pt>
                <c:pt idx="4210">
                  <c:v>36556</c:v>
                </c:pt>
                <c:pt idx="4211">
                  <c:v>36557</c:v>
                </c:pt>
                <c:pt idx="4212">
                  <c:v>36558</c:v>
                </c:pt>
                <c:pt idx="4213">
                  <c:v>36559</c:v>
                </c:pt>
                <c:pt idx="4214">
                  <c:v>36560</c:v>
                </c:pt>
                <c:pt idx="4215">
                  <c:v>36563</c:v>
                </c:pt>
                <c:pt idx="4216">
                  <c:v>36564</c:v>
                </c:pt>
                <c:pt idx="4217">
                  <c:v>36565</c:v>
                </c:pt>
                <c:pt idx="4218">
                  <c:v>36566</c:v>
                </c:pt>
                <c:pt idx="4219">
                  <c:v>36567</c:v>
                </c:pt>
                <c:pt idx="4220">
                  <c:v>36570</c:v>
                </c:pt>
                <c:pt idx="4221">
                  <c:v>36571</c:v>
                </c:pt>
                <c:pt idx="4222">
                  <c:v>36572</c:v>
                </c:pt>
                <c:pt idx="4223">
                  <c:v>36573</c:v>
                </c:pt>
                <c:pt idx="4224">
                  <c:v>36574</c:v>
                </c:pt>
                <c:pt idx="4225">
                  <c:v>36577</c:v>
                </c:pt>
                <c:pt idx="4226">
                  <c:v>36578</c:v>
                </c:pt>
                <c:pt idx="4227">
                  <c:v>36579</c:v>
                </c:pt>
                <c:pt idx="4228">
                  <c:v>36580</c:v>
                </c:pt>
                <c:pt idx="4229">
                  <c:v>36581</c:v>
                </c:pt>
                <c:pt idx="4230">
                  <c:v>36584</c:v>
                </c:pt>
                <c:pt idx="4231">
                  <c:v>36585</c:v>
                </c:pt>
                <c:pt idx="4232">
                  <c:v>36586</c:v>
                </c:pt>
                <c:pt idx="4233">
                  <c:v>36587</c:v>
                </c:pt>
                <c:pt idx="4234">
                  <c:v>36588</c:v>
                </c:pt>
                <c:pt idx="4235">
                  <c:v>36591</c:v>
                </c:pt>
                <c:pt idx="4236">
                  <c:v>36592</c:v>
                </c:pt>
                <c:pt idx="4237">
                  <c:v>36593</c:v>
                </c:pt>
                <c:pt idx="4238">
                  <c:v>36594</c:v>
                </c:pt>
                <c:pt idx="4239">
                  <c:v>36595</c:v>
                </c:pt>
                <c:pt idx="4240">
                  <c:v>36598</c:v>
                </c:pt>
                <c:pt idx="4241">
                  <c:v>36599</c:v>
                </c:pt>
                <c:pt idx="4242">
                  <c:v>36600</c:v>
                </c:pt>
                <c:pt idx="4243">
                  <c:v>36601</c:v>
                </c:pt>
                <c:pt idx="4244">
                  <c:v>36602</c:v>
                </c:pt>
                <c:pt idx="4245">
                  <c:v>36605</c:v>
                </c:pt>
                <c:pt idx="4246">
                  <c:v>36606</c:v>
                </c:pt>
                <c:pt idx="4247">
                  <c:v>36607</c:v>
                </c:pt>
                <c:pt idx="4248">
                  <c:v>36608</c:v>
                </c:pt>
                <c:pt idx="4249">
                  <c:v>36609</c:v>
                </c:pt>
                <c:pt idx="4250">
                  <c:v>36612</c:v>
                </c:pt>
                <c:pt idx="4251">
                  <c:v>36613</c:v>
                </c:pt>
                <c:pt idx="4252">
                  <c:v>36614</c:v>
                </c:pt>
                <c:pt idx="4253">
                  <c:v>36615</c:v>
                </c:pt>
                <c:pt idx="4254">
                  <c:v>36616</c:v>
                </c:pt>
                <c:pt idx="4255">
                  <c:v>36619</c:v>
                </c:pt>
                <c:pt idx="4256">
                  <c:v>36620</c:v>
                </c:pt>
                <c:pt idx="4257">
                  <c:v>36621</c:v>
                </c:pt>
                <c:pt idx="4258">
                  <c:v>36622</c:v>
                </c:pt>
                <c:pt idx="4259">
                  <c:v>36623</c:v>
                </c:pt>
                <c:pt idx="4260">
                  <c:v>36626</c:v>
                </c:pt>
                <c:pt idx="4261">
                  <c:v>36627</c:v>
                </c:pt>
                <c:pt idx="4262">
                  <c:v>36628</c:v>
                </c:pt>
                <c:pt idx="4263">
                  <c:v>36629</c:v>
                </c:pt>
                <c:pt idx="4264">
                  <c:v>36630</c:v>
                </c:pt>
                <c:pt idx="4265">
                  <c:v>36633</c:v>
                </c:pt>
                <c:pt idx="4266">
                  <c:v>36634</c:v>
                </c:pt>
                <c:pt idx="4267">
                  <c:v>36635</c:v>
                </c:pt>
                <c:pt idx="4268">
                  <c:v>36636</c:v>
                </c:pt>
                <c:pt idx="4269">
                  <c:v>36637</c:v>
                </c:pt>
                <c:pt idx="4270">
                  <c:v>36640</c:v>
                </c:pt>
                <c:pt idx="4271">
                  <c:v>36641</c:v>
                </c:pt>
                <c:pt idx="4272">
                  <c:v>36642</c:v>
                </c:pt>
                <c:pt idx="4273">
                  <c:v>36643</c:v>
                </c:pt>
                <c:pt idx="4274">
                  <c:v>36644</c:v>
                </c:pt>
                <c:pt idx="4275">
                  <c:v>36647</c:v>
                </c:pt>
                <c:pt idx="4276">
                  <c:v>36648</c:v>
                </c:pt>
                <c:pt idx="4277">
                  <c:v>36649</c:v>
                </c:pt>
                <c:pt idx="4278">
                  <c:v>36650</c:v>
                </c:pt>
                <c:pt idx="4279">
                  <c:v>36651</c:v>
                </c:pt>
                <c:pt idx="4280">
                  <c:v>36654</c:v>
                </c:pt>
                <c:pt idx="4281">
                  <c:v>36655</c:v>
                </c:pt>
                <c:pt idx="4282">
                  <c:v>36656</c:v>
                </c:pt>
                <c:pt idx="4283">
                  <c:v>36657</c:v>
                </c:pt>
                <c:pt idx="4284">
                  <c:v>36658</c:v>
                </c:pt>
                <c:pt idx="4285">
                  <c:v>36661</c:v>
                </c:pt>
                <c:pt idx="4286">
                  <c:v>36662</c:v>
                </c:pt>
                <c:pt idx="4287">
                  <c:v>36663</c:v>
                </c:pt>
                <c:pt idx="4288">
                  <c:v>36664</c:v>
                </c:pt>
                <c:pt idx="4289">
                  <c:v>36665</c:v>
                </c:pt>
                <c:pt idx="4290">
                  <c:v>36668</c:v>
                </c:pt>
                <c:pt idx="4291">
                  <c:v>36669</c:v>
                </c:pt>
                <c:pt idx="4292">
                  <c:v>36670</c:v>
                </c:pt>
                <c:pt idx="4293">
                  <c:v>36671</c:v>
                </c:pt>
                <c:pt idx="4294">
                  <c:v>36672</c:v>
                </c:pt>
                <c:pt idx="4295">
                  <c:v>36675</c:v>
                </c:pt>
                <c:pt idx="4296">
                  <c:v>36676</c:v>
                </c:pt>
                <c:pt idx="4297">
                  <c:v>36677</c:v>
                </c:pt>
                <c:pt idx="4298">
                  <c:v>36678</c:v>
                </c:pt>
                <c:pt idx="4299">
                  <c:v>36679</c:v>
                </c:pt>
                <c:pt idx="4300">
                  <c:v>36682</c:v>
                </c:pt>
                <c:pt idx="4301">
                  <c:v>36683</c:v>
                </c:pt>
                <c:pt idx="4302">
                  <c:v>36684</c:v>
                </c:pt>
                <c:pt idx="4303">
                  <c:v>36685</c:v>
                </c:pt>
                <c:pt idx="4304">
                  <c:v>36686</c:v>
                </c:pt>
                <c:pt idx="4305">
                  <c:v>36689</c:v>
                </c:pt>
                <c:pt idx="4306">
                  <c:v>36690</c:v>
                </c:pt>
                <c:pt idx="4307">
                  <c:v>36691</c:v>
                </c:pt>
                <c:pt idx="4308">
                  <c:v>36692</c:v>
                </c:pt>
                <c:pt idx="4309">
                  <c:v>36693</c:v>
                </c:pt>
                <c:pt idx="4310">
                  <c:v>36696</c:v>
                </c:pt>
                <c:pt idx="4311">
                  <c:v>36697</c:v>
                </c:pt>
                <c:pt idx="4312">
                  <c:v>36698</c:v>
                </c:pt>
                <c:pt idx="4313">
                  <c:v>36699</c:v>
                </c:pt>
                <c:pt idx="4314">
                  <c:v>36700</c:v>
                </c:pt>
                <c:pt idx="4315">
                  <c:v>36703</c:v>
                </c:pt>
                <c:pt idx="4316">
                  <c:v>36704</c:v>
                </c:pt>
                <c:pt idx="4317">
                  <c:v>36705</c:v>
                </c:pt>
                <c:pt idx="4318">
                  <c:v>36706</c:v>
                </c:pt>
                <c:pt idx="4319">
                  <c:v>36707</c:v>
                </c:pt>
                <c:pt idx="4320">
                  <c:v>36710</c:v>
                </c:pt>
                <c:pt idx="4321">
                  <c:v>36711</c:v>
                </c:pt>
                <c:pt idx="4322">
                  <c:v>36712</c:v>
                </c:pt>
                <c:pt idx="4323">
                  <c:v>36713</c:v>
                </c:pt>
                <c:pt idx="4324">
                  <c:v>36714</c:v>
                </c:pt>
                <c:pt idx="4325">
                  <c:v>36717</c:v>
                </c:pt>
                <c:pt idx="4326">
                  <c:v>36718</c:v>
                </c:pt>
                <c:pt idx="4327">
                  <c:v>36719</c:v>
                </c:pt>
                <c:pt idx="4328">
                  <c:v>36720</c:v>
                </c:pt>
                <c:pt idx="4329">
                  <c:v>36721</c:v>
                </c:pt>
                <c:pt idx="4330">
                  <c:v>36724</c:v>
                </c:pt>
                <c:pt idx="4331">
                  <c:v>36725</c:v>
                </c:pt>
                <c:pt idx="4332">
                  <c:v>36726</c:v>
                </c:pt>
                <c:pt idx="4333">
                  <c:v>36727</c:v>
                </c:pt>
                <c:pt idx="4334">
                  <c:v>36728</c:v>
                </c:pt>
                <c:pt idx="4335">
                  <c:v>36731</c:v>
                </c:pt>
                <c:pt idx="4336">
                  <c:v>36732</c:v>
                </c:pt>
                <c:pt idx="4337">
                  <c:v>36733</c:v>
                </c:pt>
                <c:pt idx="4338">
                  <c:v>36734</c:v>
                </c:pt>
                <c:pt idx="4339">
                  <c:v>36735</c:v>
                </c:pt>
                <c:pt idx="4340">
                  <c:v>36738</c:v>
                </c:pt>
                <c:pt idx="4341">
                  <c:v>36739</c:v>
                </c:pt>
                <c:pt idx="4342">
                  <c:v>36740</c:v>
                </c:pt>
                <c:pt idx="4343">
                  <c:v>36741</c:v>
                </c:pt>
                <c:pt idx="4344">
                  <c:v>36742</c:v>
                </c:pt>
                <c:pt idx="4345">
                  <c:v>36745</c:v>
                </c:pt>
                <c:pt idx="4346">
                  <c:v>36746</c:v>
                </c:pt>
                <c:pt idx="4347">
                  <c:v>36747</c:v>
                </c:pt>
                <c:pt idx="4348">
                  <c:v>36748</c:v>
                </c:pt>
                <c:pt idx="4349">
                  <c:v>36749</c:v>
                </c:pt>
                <c:pt idx="4350">
                  <c:v>36752</c:v>
                </c:pt>
                <c:pt idx="4351">
                  <c:v>36753</c:v>
                </c:pt>
                <c:pt idx="4352">
                  <c:v>36754</c:v>
                </c:pt>
                <c:pt idx="4353">
                  <c:v>36755</c:v>
                </c:pt>
                <c:pt idx="4354">
                  <c:v>36756</c:v>
                </c:pt>
                <c:pt idx="4355">
                  <c:v>36759</c:v>
                </c:pt>
                <c:pt idx="4356">
                  <c:v>36760</c:v>
                </c:pt>
                <c:pt idx="4357">
                  <c:v>36761</c:v>
                </c:pt>
                <c:pt idx="4358">
                  <c:v>36762</c:v>
                </c:pt>
                <c:pt idx="4359">
                  <c:v>36763</c:v>
                </c:pt>
                <c:pt idx="4360">
                  <c:v>36766</c:v>
                </c:pt>
                <c:pt idx="4361">
                  <c:v>36767</c:v>
                </c:pt>
                <c:pt idx="4362">
                  <c:v>36768</c:v>
                </c:pt>
                <c:pt idx="4363">
                  <c:v>36769</c:v>
                </c:pt>
                <c:pt idx="4364">
                  <c:v>36770</c:v>
                </c:pt>
                <c:pt idx="4365">
                  <c:v>36773</c:v>
                </c:pt>
                <c:pt idx="4366">
                  <c:v>36774</c:v>
                </c:pt>
                <c:pt idx="4367">
                  <c:v>36775</c:v>
                </c:pt>
                <c:pt idx="4368">
                  <c:v>36776</c:v>
                </c:pt>
                <c:pt idx="4369">
                  <c:v>36777</c:v>
                </c:pt>
                <c:pt idx="4370">
                  <c:v>36780</c:v>
                </c:pt>
                <c:pt idx="4371">
                  <c:v>36781</c:v>
                </c:pt>
                <c:pt idx="4372">
                  <c:v>36782</c:v>
                </c:pt>
                <c:pt idx="4373">
                  <c:v>36783</c:v>
                </c:pt>
                <c:pt idx="4374">
                  <c:v>36784</c:v>
                </c:pt>
                <c:pt idx="4375">
                  <c:v>36787</c:v>
                </c:pt>
                <c:pt idx="4376">
                  <c:v>36788</c:v>
                </c:pt>
                <c:pt idx="4377">
                  <c:v>36789</c:v>
                </c:pt>
                <c:pt idx="4378">
                  <c:v>36790</c:v>
                </c:pt>
                <c:pt idx="4379">
                  <c:v>36791</c:v>
                </c:pt>
                <c:pt idx="4380">
                  <c:v>36794</c:v>
                </c:pt>
                <c:pt idx="4381">
                  <c:v>36795</c:v>
                </c:pt>
                <c:pt idx="4382">
                  <c:v>36796</c:v>
                </c:pt>
                <c:pt idx="4383">
                  <c:v>36797</c:v>
                </c:pt>
                <c:pt idx="4384">
                  <c:v>36798</c:v>
                </c:pt>
                <c:pt idx="4385">
                  <c:v>36801</c:v>
                </c:pt>
                <c:pt idx="4386">
                  <c:v>36802</c:v>
                </c:pt>
                <c:pt idx="4387">
                  <c:v>36803</c:v>
                </c:pt>
                <c:pt idx="4388">
                  <c:v>36804</c:v>
                </c:pt>
                <c:pt idx="4389">
                  <c:v>36805</c:v>
                </c:pt>
                <c:pt idx="4390">
                  <c:v>36808</c:v>
                </c:pt>
                <c:pt idx="4391">
                  <c:v>36809</c:v>
                </c:pt>
                <c:pt idx="4392">
                  <c:v>36810</c:v>
                </c:pt>
                <c:pt idx="4393">
                  <c:v>36811</c:v>
                </c:pt>
                <c:pt idx="4394">
                  <c:v>36812</c:v>
                </c:pt>
                <c:pt idx="4395">
                  <c:v>36815</c:v>
                </c:pt>
                <c:pt idx="4396">
                  <c:v>36816</c:v>
                </c:pt>
                <c:pt idx="4397">
                  <c:v>36817</c:v>
                </c:pt>
                <c:pt idx="4398">
                  <c:v>36818</c:v>
                </c:pt>
                <c:pt idx="4399">
                  <c:v>36819</c:v>
                </c:pt>
                <c:pt idx="4400">
                  <c:v>36822</c:v>
                </c:pt>
                <c:pt idx="4401">
                  <c:v>36823</c:v>
                </c:pt>
                <c:pt idx="4402">
                  <c:v>36824</c:v>
                </c:pt>
                <c:pt idx="4403">
                  <c:v>36825</c:v>
                </c:pt>
                <c:pt idx="4404">
                  <c:v>36826</c:v>
                </c:pt>
                <c:pt idx="4405">
                  <c:v>36829</c:v>
                </c:pt>
                <c:pt idx="4406">
                  <c:v>36830</c:v>
                </c:pt>
                <c:pt idx="4407">
                  <c:v>36831</c:v>
                </c:pt>
                <c:pt idx="4408">
                  <c:v>36832</c:v>
                </c:pt>
                <c:pt idx="4409">
                  <c:v>36833</c:v>
                </c:pt>
                <c:pt idx="4410">
                  <c:v>36836</c:v>
                </c:pt>
                <c:pt idx="4411">
                  <c:v>36837</c:v>
                </c:pt>
                <c:pt idx="4412">
                  <c:v>36838</c:v>
                </c:pt>
                <c:pt idx="4413">
                  <c:v>36839</c:v>
                </c:pt>
                <c:pt idx="4414">
                  <c:v>36840</c:v>
                </c:pt>
                <c:pt idx="4415">
                  <c:v>36843</c:v>
                </c:pt>
                <c:pt idx="4416">
                  <c:v>36844</c:v>
                </c:pt>
                <c:pt idx="4417">
                  <c:v>36845</c:v>
                </c:pt>
                <c:pt idx="4418">
                  <c:v>36846</c:v>
                </c:pt>
                <c:pt idx="4419">
                  <c:v>36847</c:v>
                </c:pt>
                <c:pt idx="4420">
                  <c:v>36850</c:v>
                </c:pt>
                <c:pt idx="4421">
                  <c:v>36851</c:v>
                </c:pt>
                <c:pt idx="4422">
                  <c:v>36852</c:v>
                </c:pt>
                <c:pt idx="4423">
                  <c:v>36853</c:v>
                </c:pt>
                <c:pt idx="4424">
                  <c:v>36854</c:v>
                </c:pt>
                <c:pt idx="4425">
                  <c:v>36857</c:v>
                </c:pt>
                <c:pt idx="4426">
                  <c:v>36858</c:v>
                </c:pt>
                <c:pt idx="4427">
                  <c:v>36859</c:v>
                </c:pt>
                <c:pt idx="4428">
                  <c:v>36860</c:v>
                </c:pt>
                <c:pt idx="4429">
                  <c:v>36861</c:v>
                </c:pt>
                <c:pt idx="4430">
                  <c:v>36864</c:v>
                </c:pt>
                <c:pt idx="4431">
                  <c:v>36865</c:v>
                </c:pt>
                <c:pt idx="4432">
                  <c:v>36866</c:v>
                </c:pt>
                <c:pt idx="4433">
                  <c:v>36867</c:v>
                </c:pt>
                <c:pt idx="4434">
                  <c:v>36868</c:v>
                </c:pt>
                <c:pt idx="4435">
                  <c:v>36871</c:v>
                </c:pt>
                <c:pt idx="4436">
                  <c:v>36872</c:v>
                </c:pt>
                <c:pt idx="4437">
                  <c:v>36873</c:v>
                </c:pt>
                <c:pt idx="4438">
                  <c:v>36874</c:v>
                </c:pt>
                <c:pt idx="4439">
                  <c:v>36875</c:v>
                </c:pt>
                <c:pt idx="4440">
                  <c:v>36878</c:v>
                </c:pt>
                <c:pt idx="4441">
                  <c:v>36879</c:v>
                </c:pt>
                <c:pt idx="4442">
                  <c:v>36880</c:v>
                </c:pt>
                <c:pt idx="4443">
                  <c:v>36881</c:v>
                </c:pt>
                <c:pt idx="4444">
                  <c:v>36882</c:v>
                </c:pt>
                <c:pt idx="4445">
                  <c:v>36885</c:v>
                </c:pt>
                <c:pt idx="4446">
                  <c:v>36886</c:v>
                </c:pt>
                <c:pt idx="4447">
                  <c:v>36887</c:v>
                </c:pt>
                <c:pt idx="4448">
                  <c:v>36888</c:v>
                </c:pt>
                <c:pt idx="4449">
                  <c:v>36889</c:v>
                </c:pt>
                <c:pt idx="4450">
                  <c:v>36892</c:v>
                </c:pt>
                <c:pt idx="4451">
                  <c:v>36893</c:v>
                </c:pt>
                <c:pt idx="4452">
                  <c:v>36894</c:v>
                </c:pt>
                <c:pt idx="4453">
                  <c:v>36895</c:v>
                </c:pt>
                <c:pt idx="4454">
                  <c:v>36896</c:v>
                </c:pt>
                <c:pt idx="4455">
                  <c:v>36899</c:v>
                </c:pt>
                <c:pt idx="4456">
                  <c:v>36900</c:v>
                </c:pt>
                <c:pt idx="4457">
                  <c:v>36901</c:v>
                </c:pt>
                <c:pt idx="4458">
                  <c:v>36902</c:v>
                </c:pt>
                <c:pt idx="4459">
                  <c:v>36903</c:v>
                </c:pt>
                <c:pt idx="4460">
                  <c:v>36906</c:v>
                </c:pt>
                <c:pt idx="4461">
                  <c:v>36907</c:v>
                </c:pt>
                <c:pt idx="4462">
                  <c:v>36908</c:v>
                </c:pt>
                <c:pt idx="4463">
                  <c:v>36909</c:v>
                </c:pt>
                <c:pt idx="4464">
                  <c:v>36910</c:v>
                </c:pt>
                <c:pt idx="4465">
                  <c:v>36913</c:v>
                </c:pt>
                <c:pt idx="4466">
                  <c:v>36914</c:v>
                </c:pt>
                <c:pt idx="4467">
                  <c:v>36915</c:v>
                </c:pt>
                <c:pt idx="4468">
                  <c:v>36916</c:v>
                </c:pt>
                <c:pt idx="4469">
                  <c:v>36917</c:v>
                </c:pt>
                <c:pt idx="4470">
                  <c:v>36920</c:v>
                </c:pt>
                <c:pt idx="4471">
                  <c:v>36921</c:v>
                </c:pt>
                <c:pt idx="4472">
                  <c:v>36922</c:v>
                </c:pt>
                <c:pt idx="4473">
                  <c:v>36923</c:v>
                </c:pt>
                <c:pt idx="4474">
                  <c:v>36924</c:v>
                </c:pt>
                <c:pt idx="4475">
                  <c:v>36927</c:v>
                </c:pt>
                <c:pt idx="4476">
                  <c:v>36928</c:v>
                </c:pt>
                <c:pt idx="4477">
                  <c:v>36929</c:v>
                </c:pt>
                <c:pt idx="4478">
                  <c:v>36930</c:v>
                </c:pt>
                <c:pt idx="4479">
                  <c:v>36931</c:v>
                </c:pt>
                <c:pt idx="4480">
                  <c:v>36934</c:v>
                </c:pt>
                <c:pt idx="4481">
                  <c:v>36935</c:v>
                </c:pt>
                <c:pt idx="4482">
                  <c:v>36936</c:v>
                </c:pt>
                <c:pt idx="4483">
                  <c:v>36937</c:v>
                </c:pt>
                <c:pt idx="4484">
                  <c:v>36938</c:v>
                </c:pt>
                <c:pt idx="4485">
                  <c:v>36941</c:v>
                </c:pt>
                <c:pt idx="4486">
                  <c:v>36942</c:v>
                </c:pt>
                <c:pt idx="4487">
                  <c:v>36943</c:v>
                </c:pt>
                <c:pt idx="4488">
                  <c:v>36944</c:v>
                </c:pt>
                <c:pt idx="4489">
                  <c:v>36945</c:v>
                </c:pt>
                <c:pt idx="4490">
                  <c:v>36948</c:v>
                </c:pt>
                <c:pt idx="4491">
                  <c:v>36949</c:v>
                </c:pt>
                <c:pt idx="4492">
                  <c:v>36950</c:v>
                </c:pt>
                <c:pt idx="4493">
                  <c:v>36951</c:v>
                </c:pt>
                <c:pt idx="4494">
                  <c:v>36952</c:v>
                </c:pt>
                <c:pt idx="4495">
                  <c:v>36955</c:v>
                </c:pt>
                <c:pt idx="4496">
                  <c:v>36956</c:v>
                </c:pt>
                <c:pt idx="4497">
                  <c:v>36957</c:v>
                </c:pt>
                <c:pt idx="4498">
                  <c:v>36958</c:v>
                </c:pt>
                <c:pt idx="4499">
                  <c:v>36959</c:v>
                </c:pt>
                <c:pt idx="4500">
                  <c:v>36962</c:v>
                </c:pt>
                <c:pt idx="4501">
                  <c:v>36963</c:v>
                </c:pt>
                <c:pt idx="4502">
                  <c:v>36964</c:v>
                </c:pt>
                <c:pt idx="4503">
                  <c:v>36965</c:v>
                </c:pt>
                <c:pt idx="4504">
                  <c:v>36966</c:v>
                </c:pt>
                <c:pt idx="4505">
                  <c:v>36969</c:v>
                </c:pt>
                <c:pt idx="4506">
                  <c:v>36970</c:v>
                </c:pt>
                <c:pt idx="4507">
                  <c:v>36971</c:v>
                </c:pt>
                <c:pt idx="4508">
                  <c:v>36972</c:v>
                </c:pt>
                <c:pt idx="4509">
                  <c:v>36973</c:v>
                </c:pt>
                <c:pt idx="4510">
                  <c:v>36976</c:v>
                </c:pt>
                <c:pt idx="4511">
                  <c:v>36977</c:v>
                </c:pt>
                <c:pt idx="4512">
                  <c:v>36978</c:v>
                </c:pt>
                <c:pt idx="4513">
                  <c:v>36979</c:v>
                </c:pt>
                <c:pt idx="4514">
                  <c:v>36980</c:v>
                </c:pt>
                <c:pt idx="4515">
                  <c:v>36983</c:v>
                </c:pt>
                <c:pt idx="4516">
                  <c:v>36984</c:v>
                </c:pt>
                <c:pt idx="4517">
                  <c:v>36985</c:v>
                </c:pt>
                <c:pt idx="4518">
                  <c:v>36986</c:v>
                </c:pt>
                <c:pt idx="4519">
                  <c:v>36987</c:v>
                </c:pt>
                <c:pt idx="4520">
                  <c:v>36990</c:v>
                </c:pt>
                <c:pt idx="4521">
                  <c:v>36991</c:v>
                </c:pt>
                <c:pt idx="4522">
                  <c:v>36992</c:v>
                </c:pt>
                <c:pt idx="4523">
                  <c:v>36993</c:v>
                </c:pt>
                <c:pt idx="4524">
                  <c:v>36994</c:v>
                </c:pt>
                <c:pt idx="4525">
                  <c:v>36997</c:v>
                </c:pt>
                <c:pt idx="4526">
                  <c:v>36998</c:v>
                </c:pt>
                <c:pt idx="4527">
                  <c:v>36999</c:v>
                </c:pt>
                <c:pt idx="4528">
                  <c:v>37000</c:v>
                </c:pt>
                <c:pt idx="4529">
                  <c:v>37001</c:v>
                </c:pt>
                <c:pt idx="4530">
                  <c:v>37004</c:v>
                </c:pt>
                <c:pt idx="4531">
                  <c:v>37005</c:v>
                </c:pt>
                <c:pt idx="4532">
                  <c:v>37006</c:v>
                </c:pt>
                <c:pt idx="4533">
                  <c:v>37007</c:v>
                </c:pt>
                <c:pt idx="4534">
                  <c:v>37008</c:v>
                </c:pt>
                <c:pt idx="4535">
                  <c:v>37011</c:v>
                </c:pt>
                <c:pt idx="4536">
                  <c:v>37012</c:v>
                </c:pt>
                <c:pt idx="4537">
                  <c:v>37013</c:v>
                </c:pt>
                <c:pt idx="4538">
                  <c:v>37014</c:v>
                </c:pt>
                <c:pt idx="4539">
                  <c:v>37015</c:v>
                </c:pt>
                <c:pt idx="4540">
                  <c:v>37018</c:v>
                </c:pt>
                <c:pt idx="4541">
                  <c:v>37019</c:v>
                </c:pt>
                <c:pt idx="4542">
                  <c:v>37020</c:v>
                </c:pt>
                <c:pt idx="4543">
                  <c:v>37021</c:v>
                </c:pt>
                <c:pt idx="4544">
                  <c:v>37022</c:v>
                </c:pt>
                <c:pt idx="4545">
                  <c:v>37025</c:v>
                </c:pt>
                <c:pt idx="4546">
                  <c:v>37026</c:v>
                </c:pt>
                <c:pt idx="4547">
                  <c:v>37027</c:v>
                </c:pt>
                <c:pt idx="4548">
                  <c:v>37028</c:v>
                </c:pt>
                <c:pt idx="4549">
                  <c:v>37029</c:v>
                </c:pt>
                <c:pt idx="4550">
                  <c:v>37032</c:v>
                </c:pt>
                <c:pt idx="4551">
                  <c:v>37033</c:v>
                </c:pt>
                <c:pt idx="4552">
                  <c:v>37034</c:v>
                </c:pt>
                <c:pt idx="4553">
                  <c:v>37035</c:v>
                </c:pt>
                <c:pt idx="4554">
                  <c:v>37036</c:v>
                </c:pt>
                <c:pt idx="4555">
                  <c:v>37039</c:v>
                </c:pt>
                <c:pt idx="4556">
                  <c:v>37040</c:v>
                </c:pt>
                <c:pt idx="4557">
                  <c:v>37041</c:v>
                </c:pt>
                <c:pt idx="4558">
                  <c:v>37042</c:v>
                </c:pt>
                <c:pt idx="4559">
                  <c:v>37043</c:v>
                </c:pt>
                <c:pt idx="4560">
                  <c:v>37046</c:v>
                </c:pt>
                <c:pt idx="4561">
                  <c:v>37047</c:v>
                </c:pt>
                <c:pt idx="4562">
                  <c:v>37048</c:v>
                </c:pt>
                <c:pt idx="4563">
                  <c:v>37049</c:v>
                </c:pt>
                <c:pt idx="4564">
                  <c:v>37050</c:v>
                </c:pt>
                <c:pt idx="4565">
                  <c:v>37053</c:v>
                </c:pt>
                <c:pt idx="4566">
                  <c:v>37054</c:v>
                </c:pt>
                <c:pt idx="4567">
                  <c:v>37055</c:v>
                </c:pt>
                <c:pt idx="4568">
                  <c:v>37056</c:v>
                </c:pt>
                <c:pt idx="4569">
                  <c:v>37057</c:v>
                </c:pt>
                <c:pt idx="4570">
                  <c:v>37060</c:v>
                </c:pt>
                <c:pt idx="4571">
                  <c:v>37061</c:v>
                </c:pt>
                <c:pt idx="4572">
                  <c:v>37062</c:v>
                </c:pt>
                <c:pt idx="4573">
                  <c:v>37063</c:v>
                </c:pt>
                <c:pt idx="4574">
                  <c:v>37064</c:v>
                </c:pt>
                <c:pt idx="4575">
                  <c:v>37067</c:v>
                </c:pt>
                <c:pt idx="4576">
                  <c:v>37068</c:v>
                </c:pt>
                <c:pt idx="4577">
                  <c:v>37069</c:v>
                </c:pt>
                <c:pt idx="4578">
                  <c:v>37070</c:v>
                </c:pt>
                <c:pt idx="4579">
                  <c:v>37071</c:v>
                </c:pt>
                <c:pt idx="4580">
                  <c:v>37074</c:v>
                </c:pt>
                <c:pt idx="4581">
                  <c:v>37075</c:v>
                </c:pt>
                <c:pt idx="4582">
                  <c:v>37076</c:v>
                </c:pt>
                <c:pt idx="4583">
                  <c:v>37077</c:v>
                </c:pt>
                <c:pt idx="4584">
                  <c:v>37078</c:v>
                </c:pt>
                <c:pt idx="4585">
                  <c:v>37081</c:v>
                </c:pt>
                <c:pt idx="4586">
                  <c:v>37082</c:v>
                </c:pt>
                <c:pt idx="4587">
                  <c:v>37083</c:v>
                </c:pt>
                <c:pt idx="4588">
                  <c:v>37084</c:v>
                </c:pt>
                <c:pt idx="4589">
                  <c:v>37085</c:v>
                </c:pt>
                <c:pt idx="4590">
                  <c:v>37088</c:v>
                </c:pt>
                <c:pt idx="4591">
                  <c:v>37089</c:v>
                </c:pt>
                <c:pt idx="4592">
                  <c:v>37090</c:v>
                </c:pt>
                <c:pt idx="4593">
                  <c:v>37091</c:v>
                </c:pt>
                <c:pt idx="4594">
                  <c:v>37092</c:v>
                </c:pt>
                <c:pt idx="4595">
                  <c:v>37095</c:v>
                </c:pt>
                <c:pt idx="4596">
                  <c:v>37096</c:v>
                </c:pt>
                <c:pt idx="4597">
                  <c:v>37097</c:v>
                </c:pt>
                <c:pt idx="4598">
                  <c:v>37098</c:v>
                </c:pt>
                <c:pt idx="4599">
                  <c:v>37099</c:v>
                </c:pt>
                <c:pt idx="4600">
                  <c:v>37102</c:v>
                </c:pt>
                <c:pt idx="4601">
                  <c:v>37103</c:v>
                </c:pt>
                <c:pt idx="4602">
                  <c:v>37104</c:v>
                </c:pt>
                <c:pt idx="4603">
                  <c:v>37105</c:v>
                </c:pt>
                <c:pt idx="4604">
                  <c:v>37106</c:v>
                </c:pt>
                <c:pt idx="4605">
                  <c:v>37109</c:v>
                </c:pt>
                <c:pt idx="4606">
                  <c:v>37110</c:v>
                </c:pt>
                <c:pt idx="4607">
                  <c:v>37111</c:v>
                </c:pt>
                <c:pt idx="4608">
                  <c:v>37112</c:v>
                </c:pt>
                <c:pt idx="4609">
                  <c:v>37113</c:v>
                </c:pt>
                <c:pt idx="4610">
                  <c:v>37116</c:v>
                </c:pt>
                <c:pt idx="4611">
                  <c:v>37117</c:v>
                </c:pt>
                <c:pt idx="4612">
                  <c:v>37118</c:v>
                </c:pt>
                <c:pt idx="4613">
                  <c:v>37119</c:v>
                </c:pt>
                <c:pt idx="4614">
                  <c:v>37120</c:v>
                </c:pt>
                <c:pt idx="4615">
                  <c:v>37123</c:v>
                </c:pt>
                <c:pt idx="4616">
                  <c:v>37124</c:v>
                </c:pt>
                <c:pt idx="4617">
                  <c:v>37125</c:v>
                </c:pt>
                <c:pt idx="4618">
                  <c:v>37126</c:v>
                </c:pt>
                <c:pt idx="4619">
                  <c:v>37127</c:v>
                </c:pt>
                <c:pt idx="4620">
                  <c:v>37130</c:v>
                </c:pt>
                <c:pt idx="4621">
                  <c:v>37131</c:v>
                </c:pt>
                <c:pt idx="4622">
                  <c:v>37132</c:v>
                </c:pt>
                <c:pt idx="4623">
                  <c:v>37133</c:v>
                </c:pt>
                <c:pt idx="4624">
                  <c:v>37134</c:v>
                </c:pt>
                <c:pt idx="4625">
                  <c:v>37137</c:v>
                </c:pt>
                <c:pt idx="4626">
                  <c:v>37138</c:v>
                </c:pt>
                <c:pt idx="4627">
                  <c:v>37139</c:v>
                </c:pt>
                <c:pt idx="4628">
                  <c:v>37140</c:v>
                </c:pt>
                <c:pt idx="4629">
                  <c:v>37141</c:v>
                </c:pt>
                <c:pt idx="4630">
                  <c:v>37144</c:v>
                </c:pt>
                <c:pt idx="4631">
                  <c:v>37145</c:v>
                </c:pt>
                <c:pt idx="4632">
                  <c:v>37146</c:v>
                </c:pt>
                <c:pt idx="4633">
                  <c:v>37147</c:v>
                </c:pt>
                <c:pt idx="4634">
                  <c:v>37148</c:v>
                </c:pt>
                <c:pt idx="4635">
                  <c:v>37151</c:v>
                </c:pt>
                <c:pt idx="4636">
                  <c:v>37152</c:v>
                </c:pt>
                <c:pt idx="4637">
                  <c:v>37153</c:v>
                </c:pt>
                <c:pt idx="4638">
                  <c:v>37154</c:v>
                </c:pt>
                <c:pt idx="4639">
                  <c:v>37155</c:v>
                </c:pt>
                <c:pt idx="4640">
                  <c:v>37158</c:v>
                </c:pt>
                <c:pt idx="4641">
                  <c:v>37159</c:v>
                </c:pt>
                <c:pt idx="4642">
                  <c:v>37160</c:v>
                </c:pt>
                <c:pt idx="4643">
                  <c:v>37161</c:v>
                </c:pt>
                <c:pt idx="4644">
                  <c:v>37162</c:v>
                </c:pt>
                <c:pt idx="4645">
                  <c:v>37165</c:v>
                </c:pt>
                <c:pt idx="4646">
                  <c:v>37166</c:v>
                </c:pt>
                <c:pt idx="4647">
                  <c:v>37167</c:v>
                </c:pt>
                <c:pt idx="4648">
                  <c:v>37168</c:v>
                </c:pt>
                <c:pt idx="4649">
                  <c:v>37169</c:v>
                </c:pt>
                <c:pt idx="4650">
                  <c:v>37172</c:v>
                </c:pt>
                <c:pt idx="4651">
                  <c:v>37173</c:v>
                </c:pt>
                <c:pt idx="4652">
                  <c:v>37174</c:v>
                </c:pt>
                <c:pt idx="4653">
                  <c:v>37175</c:v>
                </c:pt>
                <c:pt idx="4654">
                  <c:v>37176</c:v>
                </c:pt>
                <c:pt idx="4655">
                  <c:v>37179</c:v>
                </c:pt>
                <c:pt idx="4656">
                  <c:v>37180</c:v>
                </c:pt>
                <c:pt idx="4657">
                  <c:v>37181</c:v>
                </c:pt>
                <c:pt idx="4658">
                  <c:v>37182</c:v>
                </c:pt>
                <c:pt idx="4659">
                  <c:v>37183</c:v>
                </c:pt>
                <c:pt idx="4660">
                  <c:v>37186</c:v>
                </c:pt>
                <c:pt idx="4661">
                  <c:v>37187</c:v>
                </c:pt>
                <c:pt idx="4662">
                  <c:v>37188</c:v>
                </c:pt>
                <c:pt idx="4663">
                  <c:v>37189</c:v>
                </c:pt>
                <c:pt idx="4664">
                  <c:v>37190</c:v>
                </c:pt>
                <c:pt idx="4665">
                  <c:v>37193</c:v>
                </c:pt>
                <c:pt idx="4666">
                  <c:v>37194</c:v>
                </c:pt>
                <c:pt idx="4667">
                  <c:v>37195</c:v>
                </c:pt>
                <c:pt idx="4668">
                  <c:v>37196</c:v>
                </c:pt>
                <c:pt idx="4669">
                  <c:v>37197</c:v>
                </c:pt>
                <c:pt idx="4670">
                  <c:v>37200</c:v>
                </c:pt>
                <c:pt idx="4671">
                  <c:v>37201</c:v>
                </c:pt>
                <c:pt idx="4672">
                  <c:v>37202</c:v>
                </c:pt>
                <c:pt idx="4673">
                  <c:v>37203</c:v>
                </c:pt>
                <c:pt idx="4674">
                  <c:v>37204</c:v>
                </c:pt>
                <c:pt idx="4675">
                  <c:v>37207</c:v>
                </c:pt>
                <c:pt idx="4676">
                  <c:v>37208</c:v>
                </c:pt>
                <c:pt idx="4677">
                  <c:v>37209</c:v>
                </c:pt>
                <c:pt idx="4678">
                  <c:v>37210</c:v>
                </c:pt>
                <c:pt idx="4679">
                  <c:v>37211</c:v>
                </c:pt>
                <c:pt idx="4680">
                  <c:v>37214</c:v>
                </c:pt>
                <c:pt idx="4681">
                  <c:v>37215</c:v>
                </c:pt>
                <c:pt idx="4682">
                  <c:v>37216</c:v>
                </c:pt>
                <c:pt idx="4683">
                  <c:v>37217</c:v>
                </c:pt>
                <c:pt idx="4684">
                  <c:v>37218</c:v>
                </c:pt>
                <c:pt idx="4685">
                  <c:v>37221</c:v>
                </c:pt>
                <c:pt idx="4686">
                  <c:v>37222</c:v>
                </c:pt>
                <c:pt idx="4687">
                  <c:v>37223</c:v>
                </c:pt>
                <c:pt idx="4688">
                  <c:v>37224</c:v>
                </c:pt>
                <c:pt idx="4689">
                  <c:v>37225</c:v>
                </c:pt>
                <c:pt idx="4690">
                  <c:v>37228</c:v>
                </c:pt>
                <c:pt idx="4691">
                  <c:v>37229</c:v>
                </c:pt>
                <c:pt idx="4692">
                  <c:v>37230</c:v>
                </c:pt>
                <c:pt idx="4693">
                  <c:v>37231</c:v>
                </c:pt>
                <c:pt idx="4694">
                  <c:v>37232</c:v>
                </c:pt>
                <c:pt idx="4695">
                  <c:v>37235</c:v>
                </c:pt>
                <c:pt idx="4696">
                  <c:v>37236</c:v>
                </c:pt>
                <c:pt idx="4697">
                  <c:v>37237</c:v>
                </c:pt>
                <c:pt idx="4698">
                  <c:v>37238</c:v>
                </c:pt>
                <c:pt idx="4699">
                  <c:v>37239</c:v>
                </c:pt>
                <c:pt idx="4700">
                  <c:v>37242</c:v>
                </c:pt>
                <c:pt idx="4701">
                  <c:v>37243</c:v>
                </c:pt>
                <c:pt idx="4702">
                  <c:v>37244</c:v>
                </c:pt>
                <c:pt idx="4703">
                  <c:v>37245</c:v>
                </c:pt>
                <c:pt idx="4704">
                  <c:v>37246</c:v>
                </c:pt>
                <c:pt idx="4705">
                  <c:v>37249</c:v>
                </c:pt>
                <c:pt idx="4706">
                  <c:v>37250</c:v>
                </c:pt>
                <c:pt idx="4707">
                  <c:v>37251</c:v>
                </c:pt>
                <c:pt idx="4708">
                  <c:v>37252</c:v>
                </c:pt>
                <c:pt idx="4709">
                  <c:v>37253</c:v>
                </c:pt>
                <c:pt idx="4710">
                  <c:v>37256</c:v>
                </c:pt>
                <c:pt idx="4711">
                  <c:v>37257</c:v>
                </c:pt>
                <c:pt idx="4712">
                  <c:v>37258</c:v>
                </c:pt>
                <c:pt idx="4713">
                  <c:v>37259</c:v>
                </c:pt>
                <c:pt idx="4714">
                  <c:v>37260</c:v>
                </c:pt>
                <c:pt idx="4715">
                  <c:v>37263</c:v>
                </c:pt>
                <c:pt idx="4716">
                  <c:v>37264</c:v>
                </c:pt>
                <c:pt idx="4717">
                  <c:v>37265</c:v>
                </c:pt>
                <c:pt idx="4718">
                  <c:v>37266</c:v>
                </c:pt>
                <c:pt idx="4719">
                  <c:v>37267</c:v>
                </c:pt>
                <c:pt idx="4720">
                  <c:v>37270</c:v>
                </c:pt>
                <c:pt idx="4721">
                  <c:v>37271</c:v>
                </c:pt>
                <c:pt idx="4722">
                  <c:v>37272</c:v>
                </c:pt>
                <c:pt idx="4723">
                  <c:v>37273</c:v>
                </c:pt>
                <c:pt idx="4724">
                  <c:v>37274</c:v>
                </c:pt>
                <c:pt idx="4725">
                  <c:v>37277</c:v>
                </c:pt>
                <c:pt idx="4726">
                  <c:v>37278</c:v>
                </c:pt>
                <c:pt idx="4727">
                  <c:v>37279</c:v>
                </c:pt>
                <c:pt idx="4728">
                  <c:v>37280</c:v>
                </c:pt>
                <c:pt idx="4729">
                  <c:v>37281</c:v>
                </c:pt>
                <c:pt idx="4730">
                  <c:v>37284</c:v>
                </c:pt>
                <c:pt idx="4731">
                  <c:v>37285</c:v>
                </c:pt>
                <c:pt idx="4732">
                  <c:v>37286</c:v>
                </c:pt>
                <c:pt idx="4733">
                  <c:v>37287</c:v>
                </c:pt>
                <c:pt idx="4734">
                  <c:v>37288</c:v>
                </c:pt>
                <c:pt idx="4735">
                  <c:v>37291</c:v>
                </c:pt>
                <c:pt idx="4736">
                  <c:v>37292</c:v>
                </c:pt>
                <c:pt idx="4737">
                  <c:v>37293</c:v>
                </c:pt>
                <c:pt idx="4738">
                  <c:v>37294</c:v>
                </c:pt>
                <c:pt idx="4739">
                  <c:v>37295</c:v>
                </c:pt>
                <c:pt idx="4740">
                  <c:v>37298</c:v>
                </c:pt>
                <c:pt idx="4741">
                  <c:v>37299</c:v>
                </c:pt>
                <c:pt idx="4742">
                  <c:v>37300</c:v>
                </c:pt>
                <c:pt idx="4743">
                  <c:v>37301</c:v>
                </c:pt>
                <c:pt idx="4744">
                  <c:v>37302</c:v>
                </c:pt>
                <c:pt idx="4745">
                  <c:v>37305</c:v>
                </c:pt>
                <c:pt idx="4746">
                  <c:v>37306</c:v>
                </c:pt>
                <c:pt idx="4747">
                  <c:v>37307</c:v>
                </c:pt>
                <c:pt idx="4748">
                  <c:v>37308</c:v>
                </c:pt>
                <c:pt idx="4749">
                  <c:v>37309</c:v>
                </c:pt>
                <c:pt idx="4750">
                  <c:v>37312</c:v>
                </c:pt>
                <c:pt idx="4751">
                  <c:v>37313</c:v>
                </c:pt>
                <c:pt idx="4752">
                  <c:v>37314</c:v>
                </c:pt>
                <c:pt idx="4753">
                  <c:v>37315</c:v>
                </c:pt>
                <c:pt idx="4754">
                  <c:v>37316</c:v>
                </c:pt>
                <c:pt idx="4755">
                  <c:v>37319</c:v>
                </c:pt>
                <c:pt idx="4756">
                  <c:v>37320</c:v>
                </c:pt>
                <c:pt idx="4757">
                  <c:v>37321</c:v>
                </c:pt>
                <c:pt idx="4758">
                  <c:v>37322</c:v>
                </c:pt>
                <c:pt idx="4759">
                  <c:v>37323</c:v>
                </c:pt>
                <c:pt idx="4760">
                  <c:v>37326</c:v>
                </c:pt>
                <c:pt idx="4761">
                  <c:v>37327</c:v>
                </c:pt>
                <c:pt idx="4762">
                  <c:v>37328</c:v>
                </c:pt>
                <c:pt idx="4763">
                  <c:v>37329</c:v>
                </c:pt>
                <c:pt idx="4764">
                  <c:v>37330</c:v>
                </c:pt>
                <c:pt idx="4765">
                  <c:v>37333</c:v>
                </c:pt>
                <c:pt idx="4766">
                  <c:v>37334</c:v>
                </c:pt>
                <c:pt idx="4767">
                  <c:v>37335</c:v>
                </c:pt>
                <c:pt idx="4768">
                  <c:v>37336</c:v>
                </c:pt>
                <c:pt idx="4769">
                  <c:v>37337</c:v>
                </c:pt>
                <c:pt idx="4770">
                  <c:v>37340</c:v>
                </c:pt>
                <c:pt idx="4771">
                  <c:v>37341</c:v>
                </c:pt>
                <c:pt idx="4772">
                  <c:v>37342</c:v>
                </c:pt>
                <c:pt idx="4773">
                  <c:v>37343</c:v>
                </c:pt>
                <c:pt idx="4774">
                  <c:v>37344</c:v>
                </c:pt>
                <c:pt idx="4775">
                  <c:v>37347</c:v>
                </c:pt>
                <c:pt idx="4776">
                  <c:v>37348</c:v>
                </c:pt>
                <c:pt idx="4777">
                  <c:v>37349</c:v>
                </c:pt>
                <c:pt idx="4778">
                  <c:v>37350</c:v>
                </c:pt>
                <c:pt idx="4779">
                  <c:v>37351</c:v>
                </c:pt>
                <c:pt idx="4780">
                  <c:v>37354</c:v>
                </c:pt>
                <c:pt idx="4781">
                  <c:v>37355</c:v>
                </c:pt>
                <c:pt idx="4782">
                  <c:v>37356</c:v>
                </c:pt>
                <c:pt idx="4783">
                  <c:v>37357</c:v>
                </c:pt>
                <c:pt idx="4784">
                  <c:v>37358</c:v>
                </c:pt>
                <c:pt idx="4785">
                  <c:v>37361</c:v>
                </c:pt>
                <c:pt idx="4786">
                  <c:v>37362</c:v>
                </c:pt>
                <c:pt idx="4787">
                  <c:v>37363</c:v>
                </c:pt>
                <c:pt idx="4788">
                  <c:v>37364</c:v>
                </c:pt>
                <c:pt idx="4789">
                  <c:v>37365</c:v>
                </c:pt>
                <c:pt idx="4790">
                  <c:v>37368</c:v>
                </c:pt>
                <c:pt idx="4791">
                  <c:v>37369</c:v>
                </c:pt>
                <c:pt idx="4792">
                  <c:v>37370</c:v>
                </c:pt>
                <c:pt idx="4793">
                  <c:v>37371</c:v>
                </c:pt>
                <c:pt idx="4794">
                  <c:v>37372</c:v>
                </c:pt>
                <c:pt idx="4795">
                  <c:v>37375</c:v>
                </c:pt>
                <c:pt idx="4796">
                  <c:v>37376</c:v>
                </c:pt>
                <c:pt idx="4797">
                  <c:v>37377</c:v>
                </c:pt>
                <c:pt idx="4798">
                  <c:v>37378</c:v>
                </c:pt>
                <c:pt idx="4799">
                  <c:v>37379</c:v>
                </c:pt>
                <c:pt idx="4800">
                  <c:v>37382</c:v>
                </c:pt>
                <c:pt idx="4801">
                  <c:v>37383</c:v>
                </c:pt>
                <c:pt idx="4802">
                  <c:v>37384</c:v>
                </c:pt>
                <c:pt idx="4803">
                  <c:v>37385</c:v>
                </c:pt>
                <c:pt idx="4804">
                  <c:v>37386</c:v>
                </c:pt>
                <c:pt idx="4805">
                  <c:v>37389</c:v>
                </c:pt>
                <c:pt idx="4806">
                  <c:v>37390</c:v>
                </c:pt>
                <c:pt idx="4807">
                  <c:v>37391</c:v>
                </c:pt>
                <c:pt idx="4808">
                  <c:v>37392</c:v>
                </c:pt>
                <c:pt idx="4809">
                  <c:v>37393</c:v>
                </c:pt>
                <c:pt idx="4810">
                  <c:v>37396</c:v>
                </c:pt>
                <c:pt idx="4811">
                  <c:v>37397</c:v>
                </c:pt>
                <c:pt idx="4812">
                  <c:v>37398</c:v>
                </c:pt>
                <c:pt idx="4813">
                  <c:v>37399</c:v>
                </c:pt>
                <c:pt idx="4814">
                  <c:v>37400</c:v>
                </c:pt>
                <c:pt idx="4815">
                  <c:v>37403</c:v>
                </c:pt>
                <c:pt idx="4816">
                  <c:v>37404</c:v>
                </c:pt>
                <c:pt idx="4817">
                  <c:v>37405</c:v>
                </c:pt>
                <c:pt idx="4818">
                  <c:v>37406</c:v>
                </c:pt>
                <c:pt idx="4819">
                  <c:v>37407</c:v>
                </c:pt>
                <c:pt idx="4820">
                  <c:v>37410</c:v>
                </c:pt>
                <c:pt idx="4821">
                  <c:v>37411</c:v>
                </c:pt>
                <c:pt idx="4822">
                  <c:v>37412</c:v>
                </c:pt>
                <c:pt idx="4823">
                  <c:v>37413</c:v>
                </c:pt>
                <c:pt idx="4824">
                  <c:v>37414</c:v>
                </c:pt>
                <c:pt idx="4825">
                  <c:v>37417</c:v>
                </c:pt>
                <c:pt idx="4826">
                  <c:v>37418</c:v>
                </c:pt>
                <c:pt idx="4827">
                  <c:v>37419</c:v>
                </c:pt>
                <c:pt idx="4828">
                  <c:v>37420</c:v>
                </c:pt>
                <c:pt idx="4829">
                  <c:v>37421</c:v>
                </c:pt>
                <c:pt idx="4830">
                  <c:v>37424</c:v>
                </c:pt>
                <c:pt idx="4831">
                  <c:v>37425</c:v>
                </c:pt>
                <c:pt idx="4832">
                  <c:v>37426</c:v>
                </c:pt>
                <c:pt idx="4833">
                  <c:v>37427</c:v>
                </c:pt>
                <c:pt idx="4834">
                  <c:v>37428</c:v>
                </c:pt>
                <c:pt idx="4835">
                  <c:v>37431</c:v>
                </c:pt>
                <c:pt idx="4836">
                  <c:v>37432</c:v>
                </c:pt>
                <c:pt idx="4837">
                  <c:v>37433</c:v>
                </c:pt>
                <c:pt idx="4838">
                  <c:v>37434</c:v>
                </c:pt>
                <c:pt idx="4839">
                  <c:v>37435</c:v>
                </c:pt>
                <c:pt idx="4840">
                  <c:v>37438</c:v>
                </c:pt>
                <c:pt idx="4841">
                  <c:v>37439</c:v>
                </c:pt>
                <c:pt idx="4842">
                  <c:v>37440</c:v>
                </c:pt>
                <c:pt idx="4843">
                  <c:v>37441</c:v>
                </c:pt>
                <c:pt idx="4844">
                  <c:v>37442</c:v>
                </c:pt>
                <c:pt idx="4845">
                  <c:v>37445</c:v>
                </c:pt>
                <c:pt idx="4846">
                  <c:v>37446</c:v>
                </c:pt>
                <c:pt idx="4847">
                  <c:v>37447</c:v>
                </c:pt>
                <c:pt idx="4848">
                  <c:v>37448</c:v>
                </c:pt>
                <c:pt idx="4849">
                  <c:v>37449</c:v>
                </c:pt>
                <c:pt idx="4850">
                  <c:v>37452</c:v>
                </c:pt>
                <c:pt idx="4851">
                  <c:v>37453</c:v>
                </c:pt>
                <c:pt idx="4852">
                  <c:v>37454</c:v>
                </c:pt>
                <c:pt idx="4853">
                  <c:v>37455</c:v>
                </c:pt>
                <c:pt idx="4854">
                  <c:v>37456</c:v>
                </c:pt>
                <c:pt idx="4855">
                  <c:v>37459</c:v>
                </c:pt>
                <c:pt idx="4856">
                  <c:v>37460</c:v>
                </c:pt>
                <c:pt idx="4857">
                  <c:v>37461</c:v>
                </c:pt>
                <c:pt idx="4858">
                  <c:v>37462</c:v>
                </c:pt>
                <c:pt idx="4859">
                  <c:v>37463</c:v>
                </c:pt>
                <c:pt idx="4860">
                  <c:v>37466</c:v>
                </c:pt>
                <c:pt idx="4861">
                  <c:v>37467</c:v>
                </c:pt>
                <c:pt idx="4862">
                  <c:v>37468</c:v>
                </c:pt>
                <c:pt idx="4863">
                  <c:v>37469</c:v>
                </c:pt>
                <c:pt idx="4864">
                  <c:v>37470</c:v>
                </c:pt>
                <c:pt idx="4865">
                  <c:v>37473</c:v>
                </c:pt>
                <c:pt idx="4866">
                  <c:v>37474</c:v>
                </c:pt>
                <c:pt idx="4867">
                  <c:v>37475</c:v>
                </c:pt>
                <c:pt idx="4868">
                  <c:v>37476</c:v>
                </c:pt>
                <c:pt idx="4869">
                  <c:v>37477</c:v>
                </c:pt>
                <c:pt idx="4870">
                  <c:v>37480</c:v>
                </c:pt>
                <c:pt idx="4871">
                  <c:v>37481</c:v>
                </c:pt>
                <c:pt idx="4872">
                  <c:v>37482</c:v>
                </c:pt>
                <c:pt idx="4873">
                  <c:v>37483</c:v>
                </c:pt>
                <c:pt idx="4874">
                  <c:v>37484</c:v>
                </c:pt>
                <c:pt idx="4875">
                  <c:v>37487</c:v>
                </c:pt>
                <c:pt idx="4876">
                  <c:v>37488</c:v>
                </c:pt>
                <c:pt idx="4877">
                  <c:v>37489</c:v>
                </c:pt>
                <c:pt idx="4878">
                  <c:v>37490</c:v>
                </c:pt>
                <c:pt idx="4879">
                  <c:v>37491</c:v>
                </c:pt>
                <c:pt idx="4880">
                  <c:v>37494</c:v>
                </c:pt>
                <c:pt idx="4881">
                  <c:v>37495</c:v>
                </c:pt>
                <c:pt idx="4882">
                  <c:v>37496</c:v>
                </c:pt>
                <c:pt idx="4883">
                  <c:v>37497</c:v>
                </c:pt>
                <c:pt idx="4884">
                  <c:v>37498</c:v>
                </c:pt>
                <c:pt idx="4885">
                  <c:v>37501</c:v>
                </c:pt>
                <c:pt idx="4886">
                  <c:v>37502</c:v>
                </c:pt>
                <c:pt idx="4887">
                  <c:v>37503</c:v>
                </c:pt>
                <c:pt idx="4888">
                  <c:v>37504</c:v>
                </c:pt>
                <c:pt idx="4889">
                  <c:v>37505</c:v>
                </c:pt>
                <c:pt idx="4890">
                  <c:v>37508</c:v>
                </c:pt>
                <c:pt idx="4891">
                  <c:v>37509</c:v>
                </c:pt>
                <c:pt idx="4892">
                  <c:v>37510</c:v>
                </c:pt>
                <c:pt idx="4893">
                  <c:v>37511</c:v>
                </c:pt>
                <c:pt idx="4894">
                  <c:v>37512</c:v>
                </c:pt>
                <c:pt idx="4895">
                  <c:v>37515</c:v>
                </c:pt>
                <c:pt idx="4896">
                  <c:v>37516</c:v>
                </c:pt>
                <c:pt idx="4897">
                  <c:v>37517</c:v>
                </c:pt>
                <c:pt idx="4898">
                  <c:v>37518</c:v>
                </c:pt>
                <c:pt idx="4899">
                  <c:v>37519</c:v>
                </c:pt>
                <c:pt idx="4900">
                  <c:v>37522</c:v>
                </c:pt>
                <c:pt idx="4901">
                  <c:v>37523</c:v>
                </c:pt>
                <c:pt idx="4902">
                  <c:v>37524</c:v>
                </c:pt>
                <c:pt idx="4903">
                  <c:v>37525</c:v>
                </c:pt>
                <c:pt idx="4904">
                  <c:v>37526</c:v>
                </c:pt>
                <c:pt idx="4905">
                  <c:v>37529</c:v>
                </c:pt>
                <c:pt idx="4906">
                  <c:v>37530</c:v>
                </c:pt>
                <c:pt idx="4907">
                  <c:v>37531</c:v>
                </c:pt>
                <c:pt idx="4908">
                  <c:v>37532</c:v>
                </c:pt>
                <c:pt idx="4909">
                  <c:v>37533</c:v>
                </c:pt>
                <c:pt idx="4910">
                  <c:v>37536</c:v>
                </c:pt>
                <c:pt idx="4911">
                  <c:v>37537</c:v>
                </c:pt>
                <c:pt idx="4912">
                  <c:v>37538</c:v>
                </c:pt>
                <c:pt idx="4913">
                  <c:v>37539</c:v>
                </c:pt>
                <c:pt idx="4914">
                  <c:v>37540</c:v>
                </c:pt>
                <c:pt idx="4915">
                  <c:v>37543</c:v>
                </c:pt>
                <c:pt idx="4916">
                  <c:v>37544</c:v>
                </c:pt>
                <c:pt idx="4917">
                  <c:v>37545</c:v>
                </c:pt>
                <c:pt idx="4918">
                  <c:v>37546</c:v>
                </c:pt>
                <c:pt idx="4919">
                  <c:v>37547</c:v>
                </c:pt>
                <c:pt idx="4920">
                  <c:v>37550</c:v>
                </c:pt>
                <c:pt idx="4921">
                  <c:v>37551</c:v>
                </c:pt>
                <c:pt idx="4922">
                  <c:v>37552</c:v>
                </c:pt>
                <c:pt idx="4923">
                  <c:v>37553</c:v>
                </c:pt>
                <c:pt idx="4924">
                  <c:v>37554</c:v>
                </c:pt>
                <c:pt idx="4925">
                  <c:v>37557</c:v>
                </c:pt>
                <c:pt idx="4926">
                  <c:v>37558</c:v>
                </c:pt>
                <c:pt idx="4927">
                  <c:v>37559</c:v>
                </c:pt>
                <c:pt idx="4928">
                  <c:v>37560</c:v>
                </c:pt>
                <c:pt idx="4929">
                  <c:v>37561</c:v>
                </c:pt>
                <c:pt idx="4930">
                  <c:v>37564</c:v>
                </c:pt>
                <c:pt idx="4931">
                  <c:v>37565</c:v>
                </c:pt>
                <c:pt idx="4932">
                  <c:v>37566</c:v>
                </c:pt>
                <c:pt idx="4933">
                  <c:v>37567</c:v>
                </c:pt>
                <c:pt idx="4934">
                  <c:v>37568</c:v>
                </c:pt>
                <c:pt idx="4935">
                  <c:v>37571</c:v>
                </c:pt>
                <c:pt idx="4936">
                  <c:v>37572</c:v>
                </c:pt>
                <c:pt idx="4937">
                  <c:v>37573</c:v>
                </c:pt>
                <c:pt idx="4938">
                  <c:v>37574</c:v>
                </c:pt>
                <c:pt idx="4939">
                  <c:v>37575</c:v>
                </c:pt>
                <c:pt idx="4940">
                  <c:v>37578</c:v>
                </c:pt>
                <c:pt idx="4941">
                  <c:v>37579</c:v>
                </c:pt>
                <c:pt idx="4942">
                  <c:v>37580</c:v>
                </c:pt>
                <c:pt idx="4943">
                  <c:v>37581</c:v>
                </c:pt>
                <c:pt idx="4944">
                  <c:v>37582</c:v>
                </c:pt>
                <c:pt idx="4945">
                  <c:v>37585</c:v>
                </c:pt>
                <c:pt idx="4946">
                  <c:v>37586</c:v>
                </c:pt>
                <c:pt idx="4947">
                  <c:v>37587</c:v>
                </c:pt>
                <c:pt idx="4948">
                  <c:v>37588</c:v>
                </c:pt>
                <c:pt idx="4949">
                  <c:v>37589</c:v>
                </c:pt>
                <c:pt idx="4950">
                  <c:v>37592</c:v>
                </c:pt>
                <c:pt idx="4951">
                  <c:v>37593</c:v>
                </c:pt>
                <c:pt idx="4952">
                  <c:v>37594</c:v>
                </c:pt>
                <c:pt idx="4953">
                  <c:v>37595</c:v>
                </c:pt>
                <c:pt idx="4954">
                  <c:v>37596</c:v>
                </c:pt>
                <c:pt idx="4955">
                  <c:v>37599</c:v>
                </c:pt>
                <c:pt idx="4956">
                  <c:v>37600</c:v>
                </c:pt>
                <c:pt idx="4957">
                  <c:v>37601</c:v>
                </c:pt>
                <c:pt idx="4958">
                  <c:v>37602</c:v>
                </c:pt>
                <c:pt idx="4959">
                  <c:v>37603</c:v>
                </c:pt>
                <c:pt idx="4960">
                  <c:v>37606</c:v>
                </c:pt>
                <c:pt idx="4961">
                  <c:v>37607</c:v>
                </c:pt>
                <c:pt idx="4962">
                  <c:v>37608</c:v>
                </c:pt>
                <c:pt idx="4963">
                  <c:v>37609</c:v>
                </c:pt>
                <c:pt idx="4964">
                  <c:v>37610</c:v>
                </c:pt>
                <c:pt idx="4965">
                  <c:v>37613</c:v>
                </c:pt>
                <c:pt idx="4966">
                  <c:v>37614</c:v>
                </c:pt>
                <c:pt idx="4967">
                  <c:v>37615</c:v>
                </c:pt>
                <c:pt idx="4968">
                  <c:v>37616</c:v>
                </c:pt>
                <c:pt idx="4969">
                  <c:v>37617</c:v>
                </c:pt>
                <c:pt idx="4970">
                  <c:v>37620</c:v>
                </c:pt>
                <c:pt idx="4971">
                  <c:v>37621</c:v>
                </c:pt>
                <c:pt idx="4972">
                  <c:v>37622</c:v>
                </c:pt>
                <c:pt idx="4973">
                  <c:v>37623</c:v>
                </c:pt>
                <c:pt idx="4974">
                  <c:v>37624</c:v>
                </c:pt>
                <c:pt idx="4975">
                  <c:v>37627</c:v>
                </c:pt>
                <c:pt idx="4976">
                  <c:v>37628</c:v>
                </c:pt>
                <c:pt idx="4977">
                  <c:v>37629</c:v>
                </c:pt>
                <c:pt idx="4978">
                  <c:v>37630</c:v>
                </c:pt>
                <c:pt idx="4979">
                  <c:v>37631</c:v>
                </c:pt>
                <c:pt idx="4980">
                  <c:v>37634</c:v>
                </c:pt>
                <c:pt idx="4981">
                  <c:v>37635</c:v>
                </c:pt>
                <c:pt idx="4982">
                  <c:v>37636</c:v>
                </c:pt>
                <c:pt idx="4983">
                  <c:v>37637</c:v>
                </c:pt>
                <c:pt idx="4984">
                  <c:v>37638</c:v>
                </c:pt>
                <c:pt idx="4985">
                  <c:v>37641</c:v>
                </c:pt>
                <c:pt idx="4986">
                  <c:v>37642</c:v>
                </c:pt>
                <c:pt idx="4987">
                  <c:v>37643</c:v>
                </c:pt>
                <c:pt idx="4988">
                  <c:v>37644</c:v>
                </c:pt>
                <c:pt idx="4989">
                  <c:v>37645</c:v>
                </c:pt>
                <c:pt idx="4990">
                  <c:v>37648</c:v>
                </c:pt>
                <c:pt idx="4991">
                  <c:v>37649</c:v>
                </c:pt>
                <c:pt idx="4992">
                  <c:v>37650</c:v>
                </c:pt>
                <c:pt idx="4993">
                  <c:v>37651</c:v>
                </c:pt>
                <c:pt idx="4994">
                  <c:v>37652</c:v>
                </c:pt>
                <c:pt idx="4995">
                  <c:v>37655</c:v>
                </c:pt>
                <c:pt idx="4996">
                  <c:v>37656</c:v>
                </c:pt>
                <c:pt idx="4997">
                  <c:v>37657</c:v>
                </c:pt>
                <c:pt idx="4998">
                  <c:v>37658</c:v>
                </c:pt>
                <c:pt idx="4999">
                  <c:v>37659</c:v>
                </c:pt>
                <c:pt idx="5000">
                  <c:v>37662</c:v>
                </c:pt>
                <c:pt idx="5001">
                  <c:v>37663</c:v>
                </c:pt>
                <c:pt idx="5002">
                  <c:v>37664</c:v>
                </c:pt>
                <c:pt idx="5003">
                  <c:v>37665</c:v>
                </c:pt>
                <c:pt idx="5004">
                  <c:v>37666</c:v>
                </c:pt>
                <c:pt idx="5005">
                  <c:v>37669</c:v>
                </c:pt>
                <c:pt idx="5006">
                  <c:v>37670</c:v>
                </c:pt>
                <c:pt idx="5007">
                  <c:v>37671</c:v>
                </c:pt>
                <c:pt idx="5008">
                  <c:v>37672</c:v>
                </c:pt>
                <c:pt idx="5009">
                  <c:v>37673</c:v>
                </c:pt>
                <c:pt idx="5010">
                  <c:v>37676</c:v>
                </c:pt>
                <c:pt idx="5011">
                  <c:v>37677</c:v>
                </c:pt>
                <c:pt idx="5012">
                  <c:v>37678</c:v>
                </c:pt>
                <c:pt idx="5013">
                  <c:v>37679</c:v>
                </c:pt>
                <c:pt idx="5014">
                  <c:v>37680</c:v>
                </c:pt>
                <c:pt idx="5015">
                  <c:v>37683</c:v>
                </c:pt>
                <c:pt idx="5016">
                  <c:v>37684</c:v>
                </c:pt>
                <c:pt idx="5017">
                  <c:v>37685</c:v>
                </c:pt>
                <c:pt idx="5018">
                  <c:v>37686</c:v>
                </c:pt>
                <c:pt idx="5019">
                  <c:v>37687</c:v>
                </c:pt>
                <c:pt idx="5020">
                  <c:v>37690</c:v>
                </c:pt>
                <c:pt idx="5021">
                  <c:v>37691</c:v>
                </c:pt>
                <c:pt idx="5022">
                  <c:v>37692</c:v>
                </c:pt>
                <c:pt idx="5023">
                  <c:v>37693</c:v>
                </c:pt>
                <c:pt idx="5024">
                  <c:v>37694</c:v>
                </c:pt>
                <c:pt idx="5025">
                  <c:v>37697</c:v>
                </c:pt>
                <c:pt idx="5026">
                  <c:v>37698</c:v>
                </c:pt>
                <c:pt idx="5027">
                  <c:v>37699</c:v>
                </c:pt>
                <c:pt idx="5028">
                  <c:v>37700</c:v>
                </c:pt>
                <c:pt idx="5029">
                  <c:v>37701</c:v>
                </c:pt>
                <c:pt idx="5030">
                  <c:v>37704</c:v>
                </c:pt>
                <c:pt idx="5031">
                  <c:v>37705</c:v>
                </c:pt>
                <c:pt idx="5032">
                  <c:v>37706</c:v>
                </c:pt>
                <c:pt idx="5033">
                  <c:v>37707</c:v>
                </c:pt>
                <c:pt idx="5034">
                  <c:v>37708</c:v>
                </c:pt>
                <c:pt idx="5035">
                  <c:v>37711</c:v>
                </c:pt>
                <c:pt idx="5036">
                  <c:v>37712</c:v>
                </c:pt>
                <c:pt idx="5037">
                  <c:v>37713</c:v>
                </c:pt>
                <c:pt idx="5038">
                  <c:v>37714</c:v>
                </c:pt>
                <c:pt idx="5039">
                  <c:v>37715</c:v>
                </c:pt>
                <c:pt idx="5040">
                  <c:v>37718</c:v>
                </c:pt>
                <c:pt idx="5041">
                  <c:v>37719</c:v>
                </c:pt>
                <c:pt idx="5042">
                  <c:v>37720</c:v>
                </c:pt>
                <c:pt idx="5043">
                  <c:v>37721</c:v>
                </c:pt>
                <c:pt idx="5044">
                  <c:v>37722</c:v>
                </c:pt>
                <c:pt idx="5045">
                  <c:v>37725</c:v>
                </c:pt>
                <c:pt idx="5046">
                  <c:v>37726</c:v>
                </c:pt>
                <c:pt idx="5047">
                  <c:v>37727</c:v>
                </c:pt>
                <c:pt idx="5048">
                  <c:v>37728</c:v>
                </c:pt>
                <c:pt idx="5049">
                  <c:v>37729</c:v>
                </c:pt>
                <c:pt idx="5050">
                  <c:v>37732</c:v>
                </c:pt>
                <c:pt idx="5051">
                  <c:v>37733</c:v>
                </c:pt>
                <c:pt idx="5052">
                  <c:v>37734</c:v>
                </c:pt>
                <c:pt idx="5053">
                  <c:v>37735</c:v>
                </c:pt>
                <c:pt idx="5054">
                  <c:v>37736</c:v>
                </c:pt>
                <c:pt idx="5055">
                  <c:v>37739</c:v>
                </c:pt>
                <c:pt idx="5056">
                  <c:v>37740</c:v>
                </c:pt>
                <c:pt idx="5057">
                  <c:v>37741</c:v>
                </c:pt>
                <c:pt idx="5058">
                  <c:v>37742</c:v>
                </c:pt>
                <c:pt idx="5059">
                  <c:v>37743</c:v>
                </c:pt>
                <c:pt idx="5060">
                  <c:v>37746</c:v>
                </c:pt>
                <c:pt idx="5061">
                  <c:v>37747</c:v>
                </c:pt>
                <c:pt idx="5062">
                  <c:v>37748</c:v>
                </c:pt>
                <c:pt idx="5063">
                  <c:v>37749</c:v>
                </c:pt>
                <c:pt idx="5064">
                  <c:v>37750</c:v>
                </c:pt>
                <c:pt idx="5065">
                  <c:v>37753</c:v>
                </c:pt>
                <c:pt idx="5066">
                  <c:v>37754</c:v>
                </c:pt>
                <c:pt idx="5067">
                  <c:v>37755</c:v>
                </c:pt>
                <c:pt idx="5068">
                  <c:v>37756</c:v>
                </c:pt>
                <c:pt idx="5069">
                  <c:v>37757</c:v>
                </c:pt>
                <c:pt idx="5070">
                  <c:v>37760</c:v>
                </c:pt>
                <c:pt idx="5071">
                  <c:v>37761</c:v>
                </c:pt>
                <c:pt idx="5072">
                  <c:v>37762</c:v>
                </c:pt>
                <c:pt idx="5073">
                  <c:v>37763</c:v>
                </c:pt>
                <c:pt idx="5074">
                  <c:v>37764</c:v>
                </c:pt>
                <c:pt idx="5075">
                  <c:v>37767</c:v>
                </c:pt>
                <c:pt idx="5076">
                  <c:v>37768</c:v>
                </c:pt>
                <c:pt idx="5077">
                  <c:v>37769</c:v>
                </c:pt>
                <c:pt idx="5078">
                  <c:v>37770</c:v>
                </c:pt>
                <c:pt idx="5079">
                  <c:v>37771</c:v>
                </c:pt>
                <c:pt idx="5080">
                  <c:v>37774</c:v>
                </c:pt>
                <c:pt idx="5081">
                  <c:v>37775</c:v>
                </c:pt>
                <c:pt idx="5082">
                  <c:v>37776</c:v>
                </c:pt>
                <c:pt idx="5083">
                  <c:v>37777</c:v>
                </c:pt>
                <c:pt idx="5084">
                  <c:v>37778</c:v>
                </c:pt>
                <c:pt idx="5085">
                  <c:v>37781</c:v>
                </c:pt>
                <c:pt idx="5086">
                  <c:v>37782</c:v>
                </c:pt>
                <c:pt idx="5087">
                  <c:v>37783</c:v>
                </c:pt>
                <c:pt idx="5088">
                  <c:v>37784</c:v>
                </c:pt>
                <c:pt idx="5089">
                  <c:v>37785</c:v>
                </c:pt>
                <c:pt idx="5090">
                  <c:v>37788</c:v>
                </c:pt>
                <c:pt idx="5091">
                  <c:v>37789</c:v>
                </c:pt>
                <c:pt idx="5092">
                  <c:v>37790</c:v>
                </c:pt>
                <c:pt idx="5093">
                  <c:v>37791</c:v>
                </c:pt>
                <c:pt idx="5094">
                  <c:v>37792</c:v>
                </c:pt>
                <c:pt idx="5095">
                  <c:v>37795</c:v>
                </c:pt>
                <c:pt idx="5096">
                  <c:v>37796</c:v>
                </c:pt>
                <c:pt idx="5097">
                  <c:v>37797</c:v>
                </c:pt>
                <c:pt idx="5098">
                  <c:v>37798</c:v>
                </c:pt>
                <c:pt idx="5099">
                  <c:v>37799</c:v>
                </c:pt>
                <c:pt idx="5100">
                  <c:v>37802</c:v>
                </c:pt>
                <c:pt idx="5101">
                  <c:v>37803</c:v>
                </c:pt>
                <c:pt idx="5102">
                  <c:v>37804</c:v>
                </c:pt>
                <c:pt idx="5103">
                  <c:v>37805</c:v>
                </c:pt>
                <c:pt idx="5104">
                  <c:v>37806</c:v>
                </c:pt>
                <c:pt idx="5105">
                  <c:v>37809</c:v>
                </c:pt>
                <c:pt idx="5106">
                  <c:v>37810</c:v>
                </c:pt>
                <c:pt idx="5107">
                  <c:v>37811</c:v>
                </c:pt>
                <c:pt idx="5108">
                  <c:v>37812</c:v>
                </c:pt>
                <c:pt idx="5109">
                  <c:v>37813</c:v>
                </c:pt>
                <c:pt idx="5110">
                  <c:v>37816</c:v>
                </c:pt>
                <c:pt idx="5111">
                  <c:v>37817</c:v>
                </c:pt>
                <c:pt idx="5112">
                  <c:v>37818</c:v>
                </c:pt>
                <c:pt idx="5113">
                  <c:v>37819</c:v>
                </c:pt>
                <c:pt idx="5114">
                  <c:v>37820</c:v>
                </c:pt>
                <c:pt idx="5115">
                  <c:v>37823</c:v>
                </c:pt>
                <c:pt idx="5116">
                  <c:v>37824</c:v>
                </c:pt>
                <c:pt idx="5117">
                  <c:v>37825</c:v>
                </c:pt>
                <c:pt idx="5118">
                  <c:v>37826</c:v>
                </c:pt>
                <c:pt idx="5119">
                  <c:v>37827</c:v>
                </c:pt>
                <c:pt idx="5120">
                  <c:v>37830</c:v>
                </c:pt>
                <c:pt idx="5121">
                  <c:v>37831</c:v>
                </c:pt>
                <c:pt idx="5122">
                  <c:v>37832</c:v>
                </c:pt>
                <c:pt idx="5123">
                  <c:v>37833</c:v>
                </c:pt>
                <c:pt idx="5124">
                  <c:v>37834</c:v>
                </c:pt>
                <c:pt idx="5125">
                  <c:v>37837</c:v>
                </c:pt>
                <c:pt idx="5126">
                  <c:v>37838</c:v>
                </c:pt>
                <c:pt idx="5127">
                  <c:v>37839</c:v>
                </c:pt>
                <c:pt idx="5128">
                  <c:v>37840</c:v>
                </c:pt>
                <c:pt idx="5129">
                  <c:v>37841</c:v>
                </c:pt>
                <c:pt idx="5130">
                  <c:v>37844</c:v>
                </c:pt>
                <c:pt idx="5131">
                  <c:v>37845</c:v>
                </c:pt>
                <c:pt idx="5132">
                  <c:v>37846</c:v>
                </c:pt>
                <c:pt idx="5133">
                  <c:v>37847</c:v>
                </c:pt>
                <c:pt idx="5134">
                  <c:v>37848</c:v>
                </c:pt>
                <c:pt idx="5135">
                  <c:v>37851</c:v>
                </c:pt>
                <c:pt idx="5136">
                  <c:v>37852</c:v>
                </c:pt>
                <c:pt idx="5137">
                  <c:v>37853</c:v>
                </c:pt>
                <c:pt idx="5138">
                  <c:v>37854</c:v>
                </c:pt>
                <c:pt idx="5139">
                  <c:v>37855</c:v>
                </c:pt>
                <c:pt idx="5140">
                  <c:v>37858</c:v>
                </c:pt>
                <c:pt idx="5141">
                  <c:v>37859</c:v>
                </c:pt>
                <c:pt idx="5142">
                  <c:v>37860</c:v>
                </c:pt>
                <c:pt idx="5143">
                  <c:v>37861</c:v>
                </c:pt>
                <c:pt idx="5144">
                  <c:v>37862</c:v>
                </c:pt>
                <c:pt idx="5145">
                  <c:v>37865</c:v>
                </c:pt>
                <c:pt idx="5146">
                  <c:v>37866</c:v>
                </c:pt>
                <c:pt idx="5147">
                  <c:v>37867</c:v>
                </c:pt>
                <c:pt idx="5148">
                  <c:v>37868</c:v>
                </c:pt>
                <c:pt idx="5149">
                  <c:v>37869</c:v>
                </c:pt>
                <c:pt idx="5150">
                  <c:v>37872</c:v>
                </c:pt>
                <c:pt idx="5151">
                  <c:v>37873</c:v>
                </c:pt>
                <c:pt idx="5152">
                  <c:v>37874</c:v>
                </c:pt>
                <c:pt idx="5153">
                  <c:v>37875</c:v>
                </c:pt>
                <c:pt idx="5154">
                  <c:v>37876</c:v>
                </c:pt>
                <c:pt idx="5155">
                  <c:v>37879</c:v>
                </c:pt>
                <c:pt idx="5156">
                  <c:v>37880</c:v>
                </c:pt>
                <c:pt idx="5157">
                  <c:v>37881</c:v>
                </c:pt>
                <c:pt idx="5158">
                  <c:v>37882</c:v>
                </c:pt>
                <c:pt idx="5159">
                  <c:v>37883</c:v>
                </c:pt>
                <c:pt idx="5160">
                  <c:v>37886</c:v>
                </c:pt>
                <c:pt idx="5161">
                  <c:v>37887</c:v>
                </c:pt>
                <c:pt idx="5162">
                  <c:v>37888</c:v>
                </c:pt>
                <c:pt idx="5163">
                  <c:v>37889</c:v>
                </c:pt>
                <c:pt idx="5164">
                  <c:v>37890</c:v>
                </c:pt>
                <c:pt idx="5165">
                  <c:v>37893</c:v>
                </c:pt>
                <c:pt idx="5166">
                  <c:v>37894</c:v>
                </c:pt>
                <c:pt idx="5167">
                  <c:v>37895</c:v>
                </c:pt>
                <c:pt idx="5168">
                  <c:v>37896</c:v>
                </c:pt>
                <c:pt idx="5169">
                  <c:v>37897</c:v>
                </c:pt>
                <c:pt idx="5170">
                  <c:v>37900</c:v>
                </c:pt>
                <c:pt idx="5171">
                  <c:v>37901</c:v>
                </c:pt>
                <c:pt idx="5172">
                  <c:v>37902</c:v>
                </c:pt>
                <c:pt idx="5173">
                  <c:v>37903</c:v>
                </c:pt>
                <c:pt idx="5174">
                  <c:v>37904</c:v>
                </c:pt>
                <c:pt idx="5175">
                  <c:v>37907</c:v>
                </c:pt>
                <c:pt idx="5176">
                  <c:v>37908</c:v>
                </c:pt>
                <c:pt idx="5177">
                  <c:v>37909</c:v>
                </c:pt>
                <c:pt idx="5178">
                  <c:v>37910</c:v>
                </c:pt>
                <c:pt idx="5179">
                  <c:v>37911</c:v>
                </c:pt>
                <c:pt idx="5180">
                  <c:v>37914</c:v>
                </c:pt>
                <c:pt idx="5181">
                  <c:v>37915</c:v>
                </c:pt>
                <c:pt idx="5182">
                  <c:v>37916</c:v>
                </c:pt>
                <c:pt idx="5183">
                  <c:v>37917</c:v>
                </c:pt>
                <c:pt idx="5184">
                  <c:v>37918</c:v>
                </c:pt>
                <c:pt idx="5185">
                  <c:v>37921</c:v>
                </c:pt>
                <c:pt idx="5186">
                  <c:v>37922</c:v>
                </c:pt>
                <c:pt idx="5187">
                  <c:v>37923</c:v>
                </c:pt>
                <c:pt idx="5188">
                  <c:v>37924</c:v>
                </c:pt>
                <c:pt idx="5189">
                  <c:v>37925</c:v>
                </c:pt>
                <c:pt idx="5190">
                  <c:v>37928</c:v>
                </c:pt>
                <c:pt idx="5191">
                  <c:v>37929</c:v>
                </c:pt>
                <c:pt idx="5192">
                  <c:v>37930</c:v>
                </c:pt>
                <c:pt idx="5193">
                  <c:v>37931</c:v>
                </c:pt>
                <c:pt idx="5194">
                  <c:v>37932</c:v>
                </c:pt>
                <c:pt idx="5195">
                  <c:v>37935</c:v>
                </c:pt>
                <c:pt idx="5196">
                  <c:v>37936</c:v>
                </c:pt>
                <c:pt idx="5197">
                  <c:v>37937</c:v>
                </c:pt>
                <c:pt idx="5198">
                  <c:v>37938</c:v>
                </c:pt>
                <c:pt idx="5199">
                  <c:v>37939</c:v>
                </c:pt>
                <c:pt idx="5200">
                  <c:v>37942</c:v>
                </c:pt>
                <c:pt idx="5201">
                  <c:v>37943</c:v>
                </c:pt>
                <c:pt idx="5202">
                  <c:v>37944</c:v>
                </c:pt>
                <c:pt idx="5203">
                  <c:v>37945</c:v>
                </c:pt>
                <c:pt idx="5204">
                  <c:v>37946</c:v>
                </c:pt>
                <c:pt idx="5205">
                  <c:v>37949</c:v>
                </c:pt>
                <c:pt idx="5206">
                  <c:v>37950</c:v>
                </c:pt>
                <c:pt idx="5207">
                  <c:v>37951</c:v>
                </c:pt>
                <c:pt idx="5208">
                  <c:v>37952</c:v>
                </c:pt>
                <c:pt idx="5209">
                  <c:v>37953</c:v>
                </c:pt>
                <c:pt idx="5210">
                  <c:v>37956</c:v>
                </c:pt>
                <c:pt idx="5211">
                  <c:v>37957</c:v>
                </c:pt>
                <c:pt idx="5212">
                  <c:v>37958</c:v>
                </c:pt>
                <c:pt idx="5213">
                  <c:v>37959</c:v>
                </c:pt>
                <c:pt idx="5214">
                  <c:v>37960</c:v>
                </c:pt>
                <c:pt idx="5215">
                  <c:v>37963</c:v>
                </c:pt>
                <c:pt idx="5216">
                  <c:v>37964</c:v>
                </c:pt>
                <c:pt idx="5217">
                  <c:v>37965</c:v>
                </c:pt>
                <c:pt idx="5218">
                  <c:v>37966</c:v>
                </c:pt>
                <c:pt idx="5219">
                  <c:v>37967</c:v>
                </c:pt>
                <c:pt idx="5220">
                  <c:v>37970</c:v>
                </c:pt>
                <c:pt idx="5221">
                  <c:v>37971</c:v>
                </c:pt>
                <c:pt idx="5222">
                  <c:v>37972</c:v>
                </c:pt>
                <c:pt idx="5223">
                  <c:v>37973</c:v>
                </c:pt>
                <c:pt idx="5224">
                  <c:v>37974</c:v>
                </c:pt>
                <c:pt idx="5225">
                  <c:v>37977</c:v>
                </c:pt>
                <c:pt idx="5226">
                  <c:v>37978</c:v>
                </c:pt>
                <c:pt idx="5227">
                  <c:v>37979</c:v>
                </c:pt>
                <c:pt idx="5228">
                  <c:v>37980</c:v>
                </c:pt>
                <c:pt idx="5229">
                  <c:v>37981</c:v>
                </c:pt>
                <c:pt idx="5230">
                  <c:v>37984</c:v>
                </c:pt>
                <c:pt idx="5231">
                  <c:v>37985</c:v>
                </c:pt>
                <c:pt idx="5232">
                  <c:v>37986</c:v>
                </c:pt>
                <c:pt idx="5233">
                  <c:v>37987</c:v>
                </c:pt>
                <c:pt idx="5234">
                  <c:v>37988</c:v>
                </c:pt>
                <c:pt idx="5235">
                  <c:v>37991</c:v>
                </c:pt>
                <c:pt idx="5236">
                  <c:v>37992</c:v>
                </c:pt>
                <c:pt idx="5237">
                  <c:v>37993</c:v>
                </c:pt>
                <c:pt idx="5238">
                  <c:v>37994</c:v>
                </c:pt>
                <c:pt idx="5239">
                  <c:v>37995</c:v>
                </c:pt>
                <c:pt idx="5240">
                  <c:v>37998</c:v>
                </c:pt>
                <c:pt idx="5241">
                  <c:v>37999</c:v>
                </c:pt>
                <c:pt idx="5242">
                  <c:v>38000</c:v>
                </c:pt>
                <c:pt idx="5243">
                  <c:v>38001</c:v>
                </c:pt>
                <c:pt idx="5244">
                  <c:v>38002</c:v>
                </c:pt>
                <c:pt idx="5245">
                  <c:v>38005</c:v>
                </c:pt>
                <c:pt idx="5246">
                  <c:v>38006</c:v>
                </c:pt>
                <c:pt idx="5247">
                  <c:v>38007</c:v>
                </c:pt>
                <c:pt idx="5248">
                  <c:v>38008</c:v>
                </c:pt>
                <c:pt idx="5249">
                  <c:v>38009</c:v>
                </c:pt>
                <c:pt idx="5250">
                  <c:v>38012</c:v>
                </c:pt>
                <c:pt idx="5251">
                  <c:v>38013</c:v>
                </c:pt>
                <c:pt idx="5252">
                  <c:v>38014</c:v>
                </c:pt>
                <c:pt idx="5253">
                  <c:v>38015</c:v>
                </c:pt>
                <c:pt idx="5254">
                  <c:v>38016</c:v>
                </c:pt>
                <c:pt idx="5255">
                  <c:v>38019</c:v>
                </c:pt>
                <c:pt idx="5256">
                  <c:v>38020</c:v>
                </c:pt>
                <c:pt idx="5257">
                  <c:v>38021</c:v>
                </c:pt>
                <c:pt idx="5258">
                  <c:v>38022</c:v>
                </c:pt>
                <c:pt idx="5259">
                  <c:v>38023</c:v>
                </c:pt>
                <c:pt idx="5260">
                  <c:v>38026</c:v>
                </c:pt>
                <c:pt idx="5261">
                  <c:v>38027</c:v>
                </c:pt>
                <c:pt idx="5262">
                  <c:v>38028</c:v>
                </c:pt>
                <c:pt idx="5263">
                  <c:v>38029</c:v>
                </c:pt>
                <c:pt idx="5264">
                  <c:v>38030</c:v>
                </c:pt>
                <c:pt idx="5265">
                  <c:v>38033</c:v>
                </c:pt>
                <c:pt idx="5266">
                  <c:v>38034</c:v>
                </c:pt>
                <c:pt idx="5267">
                  <c:v>38035</c:v>
                </c:pt>
                <c:pt idx="5268">
                  <c:v>38036</c:v>
                </c:pt>
                <c:pt idx="5269">
                  <c:v>38037</c:v>
                </c:pt>
                <c:pt idx="5270">
                  <c:v>38040</c:v>
                </c:pt>
                <c:pt idx="5271">
                  <c:v>38041</c:v>
                </c:pt>
                <c:pt idx="5272">
                  <c:v>38042</c:v>
                </c:pt>
                <c:pt idx="5273">
                  <c:v>38043</c:v>
                </c:pt>
                <c:pt idx="5274">
                  <c:v>38044</c:v>
                </c:pt>
                <c:pt idx="5275">
                  <c:v>38047</c:v>
                </c:pt>
                <c:pt idx="5276">
                  <c:v>38048</c:v>
                </c:pt>
                <c:pt idx="5277">
                  <c:v>38049</c:v>
                </c:pt>
                <c:pt idx="5278">
                  <c:v>38050</c:v>
                </c:pt>
                <c:pt idx="5279">
                  <c:v>38051</c:v>
                </c:pt>
                <c:pt idx="5280">
                  <c:v>38054</c:v>
                </c:pt>
                <c:pt idx="5281">
                  <c:v>38055</c:v>
                </c:pt>
                <c:pt idx="5282">
                  <c:v>38056</c:v>
                </c:pt>
                <c:pt idx="5283">
                  <c:v>38057</c:v>
                </c:pt>
                <c:pt idx="5284">
                  <c:v>38058</c:v>
                </c:pt>
                <c:pt idx="5285">
                  <c:v>38061</c:v>
                </c:pt>
                <c:pt idx="5286">
                  <c:v>38062</c:v>
                </c:pt>
                <c:pt idx="5287">
                  <c:v>38063</c:v>
                </c:pt>
                <c:pt idx="5288">
                  <c:v>38064</c:v>
                </c:pt>
                <c:pt idx="5289">
                  <c:v>38065</c:v>
                </c:pt>
                <c:pt idx="5290">
                  <c:v>38068</c:v>
                </c:pt>
                <c:pt idx="5291">
                  <c:v>38069</c:v>
                </c:pt>
                <c:pt idx="5292">
                  <c:v>38070</c:v>
                </c:pt>
                <c:pt idx="5293">
                  <c:v>38071</c:v>
                </c:pt>
                <c:pt idx="5294">
                  <c:v>38072</c:v>
                </c:pt>
                <c:pt idx="5295">
                  <c:v>38075</c:v>
                </c:pt>
                <c:pt idx="5296">
                  <c:v>38076</c:v>
                </c:pt>
                <c:pt idx="5297">
                  <c:v>38077</c:v>
                </c:pt>
                <c:pt idx="5298">
                  <c:v>38078</c:v>
                </c:pt>
                <c:pt idx="5299">
                  <c:v>38079</c:v>
                </c:pt>
                <c:pt idx="5300">
                  <c:v>38082</c:v>
                </c:pt>
                <c:pt idx="5301">
                  <c:v>38083</c:v>
                </c:pt>
                <c:pt idx="5302">
                  <c:v>38084</c:v>
                </c:pt>
                <c:pt idx="5303">
                  <c:v>38085</c:v>
                </c:pt>
                <c:pt idx="5304">
                  <c:v>38086</c:v>
                </c:pt>
                <c:pt idx="5305">
                  <c:v>38089</c:v>
                </c:pt>
                <c:pt idx="5306">
                  <c:v>38090</c:v>
                </c:pt>
                <c:pt idx="5307">
                  <c:v>38091</c:v>
                </c:pt>
                <c:pt idx="5308">
                  <c:v>38092</c:v>
                </c:pt>
                <c:pt idx="5309">
                  <c:v>38093</c:v>
                </c:pt>
                <c:pt idx="5310">
                  <c:v>38096</c:v>
                </c:pt>
                <c:pt idx="5311">
                  <c:v>38097</c:v>
                </c:pt>
                <c:pt idx="5312">
                  <c:v>38098</c:v>
                </c:pt>
                <c:pt idx="5313">
                  <c:v>38099</c:v>
                </c:pt>
                <c:pt idx="5314">
                  <c:v>38100</c:v>
                </c:pt>
                <c:pt idx="5315">
                  <c:v>38103</c:v>
                </c:pt>
                <c:pt idx="5316">
                  <c:v>38104</c:v>
                </c:pt>
                <c:pt idx="5317">
                  <c:v>38105</c:v>
                </c:pt>
                <c:pt idx="5318">
                  <c:v>38106</c:v>
                </c:pt>
                <c:pt idx="5319">
                  <c:v>38107</c:v>
                </c:pt>
                <c:pt idx="5320">
                  <c:v>38110</c:v>
                </c:pt>
                <c:pt idx="5321">
                  <c:v>38111</c:v>
                </c:pt>
                <c:pt idx="5322">
                  <c:v>38112</c:v>
                </c:pt>
                <c:pt idx="5323">
                  <c:v>38113</c:v>
                </c:pt>
                <c:pt idx="5324">
                  <c:v>38114</c:v>
                </c:pt>
                <c:pt idx="5325">
                  <c:v>38117</c:v>
                </c:pt>
                <c:pt idx="5326">
                  <c:v>38118</c:v>
                </c:pt>
                <c:pt idx="5327">
                  <c:v>38119</c:v>
                </c:pt>
                <c:pt idx="5328">
                  <c:v>38120</c:v>
                </c:pt>
                <c:pt idx="5329">
                  <c:v>38121</c:v>
                </c:pt>
                <c:pt idx="5330">
                  <c:v>38124</c:v>
                </c:pt>
                <c:pt idx="5331">
                  <c:v>38125</c:v>
                </c:pt>
                <c:pt idx="5332">
                  <c:v>38126</c:v>
                </c:pt>
                <c:pt idx="5333">
                  <c:v>38127</c:v>
                </c:pt>
                <c:pt idx="5334">
                  <c:v>38128</c:v>
                </c:pt>
                <c:pt idx="5335">
                  <c:v>38131</c:v>
                </c:pt>
                <c:pt idx="5336">
                  <c:v>38132</c:v>
                </c:pt>
                <c:pt idx="5337">
                  <c:v>38133</c:v>
                </c:pt>
                <c:pt idx="5338">
                  <c:v>38134</c:v>
                </c:pt>
                <c:pt idx="5339">
                  <c:v>38135</c:v>
                </c:pt>
                <c:pt idx="5340">
                  <c:v>38138</c:v>
                </c:pt>
                <c:pt idx="5341">
                  <c:v>38139</c:v>
                </c:pt>
                <c:pt idx="5342">
                  <c:v>38140</c:v>
                </c:pt>
                <c:pt idx="5343">
                  <c:v>38141</c:v>
                </c:pt>
                <c:pt idx="5344">
                  <c:v>38142</c:v>
                </c:pt>
                <c:pt idx="5345">
                  <c:v>38145</c:v>
                </c:pt>
                <c:pt idx="5346">
                  <c:v>38146</c:v>
                </c:pt>
                <c:pt idx="5347">
                  <c:v>38147</c:v>
                </c:pt>
                <c:pt idx="5348">
                  <c:v>38148</c:v>
                </c:pt>
                <c:pt idx="5349">
                  <c:v>38149</c:v>
                </c:pt>
                <c:pt idx="5350">
                  <c:v>38152</c:v>
                </c:pt>
                <c:pt idx="5351">
                  <c:v>38153</c:v>
                </c:pt>
                <c:pt idx="5352">
                  <c:v>38154</c:v>
                </c:pt>
                <c:pt idx="5353">
                  <c:v>38155</c:v>
                </c:pt>
                <c:pt idx="5354">
                  <c:v>38156</c:v>
                </c:pt>
                <c:pt idx="5355">
                  <c:v>38159</c:v>
                </c:pt>
                <c:pt idx="5356">
                  <c:v>38160</c:v>
                </c:pt>
                <c:pt idx="5357">
                  <c:v>38161</c:v>
                </c:pt>
                <c:pt idx="5358">
                  <c:v>38162</c:v>
                </c:pt>
                <c:pt idx="5359">
                  <c:v>38163</c:v>
                </c:pt>
                <c:pt idx="5360">
                  <c:v>38166</c:v>
                </c:pt>
                <c:pt idx="5361">
                  <c:v>38167</c:v>
                </c:pt>
                <c:pt idx="5362">
                  <c:v>38168</c:v>
                </c:pt>
                <c:pt idx="5363">
                  <c:v>38169</c:v>
                </c:pt>
                <c:pt idx="5364">
                  <c:v>38170</c:v>
                </c:pt>
                <c:pt idx="5365">
                  <c:v>38173</c:v>
                </c:pt>
                <c:pt idx="5366">
                  <c:v>38174</c:v>
                </c:pt>
                <c:pt idx="5367">
                  <c:v>38175</c:v>
                </c:pt>
                <c:pt idx="5368">
                  <c:v>38176</c:v>
                </c:pt>
                <c:pt idx="5369">
                  <c:v>38177</c:v>
                </c:pt>
                <c:pt idx="5370">
                  <c:v>38180</c:v>
                </c:pt>
                <c:pt idx="5371">
                  <c:v>38181</c:v>
                </c:pt>
                <c:pt idx="5372">
                  <c:v>38182</c:v>
                </c:pt>
                <c:pt idx="5373">
                  <c:v>38183</c:v>
                </c:pt>
                <c:pt idx="5374">
                  <c:v>38184</c:v>
                </c:pt>
                <c:pt idx="5375">
                  <c:v>38187</c:v>
                </c:pt>
                <c:pt idx="5376">
                  <c:v>38188</c:v>
                </c:pt>
                <c:pt idx="5377">
                  <c:v>38189</c:v>
                </c:pt>
                <c:pt idx="5378">
                  <c:v>38190</c:v>
                </c:pt>
                <c:pt idx="5379">
                  <c:v>38191</c:v>
                </c:pt>
                <c:pt idx="5380">
                  <c:v>38194</c:v>
                </c:pt>
                <c:pt idx="5381">
                  <c:v>38195</c:v>
                </c:pt>
                <c:pt idx="5382">
                  <c:v>38196</c:v>
                </c:pt>
                <c:pt idx="5383">
                  <c:v>38197</c:v>
                </c:pt>
                <c:pt idx="5384">
                  <c:v>38198</c:v>
                </c:pt>
                <c:pt idx="5385">
                  <c:v>38201</c:v>
                </c:pt>
                <c:pt idx="5386">
                  <c:v>38202</c:v>
                </c:pt>
                <c:pt idx="5387">
                  <c:v>38203</c:v>
                </c:pt>
                <c:pt idx="5388">
                  <c:v>38204</c:v>
                </c:pt>
                <c:pt idx="5389">
                  <c:v>38205</c:v>
                </c:pt>
                <c:pt idx="5390">
                  <c:v>38208</c:v>
                </c:pt>
                <c:pt idx="5391">
                  <c:v>38209</c:v>
                </c:pt>
                <c:pt idx="5392">
                  <c:v>38210</c:v>
                </c:pt>
                <c:pt idx="5393">
                  <c:v>38211</c:v>
                </c:pt>
                <c:pt idx="5394">
                  <c:v>38212</c:v>
                </c:pt>
                <c:pt idx="5395">
                  <c:v>38215</c:v>
                </c:pt>
                <c:pt idx="5396">
                  <c:v>38216</c:v>
                </c:pt>
                <c:pt idx="5397">
                  <c:v>38217</c:v>
                </c:pt>
                <c:pt idx="5398">
                  <c:v>38218</c:v>
                </c:pt>
                <c:pt idx="5399">
                  <c:v>38219</c:v>
                </c:pt>
                <c:pt idx="5400">
                  <c:v>38222</c:v>
                </c:pt>
                <c:pt idx="5401">
                  <c:v>38223</c:v>
                </c:pt>
                <c:pt idx="5402">
                  <c:v>38224</c:v>
                </c:pt>
                <c:pt idx="5403">
                  <c:v>38225</c:v>
                </c:pt>
                <c:pt idx="5404">
                  <c:v>38226</c:v>
                </c:pt>
                <c:pt idx="5405">
                  <c:v>38229</c:v>
                </c:pt>
                <c:pt idx="5406">
                  <c:v>38230</c:v>
                </c:pt>
                <c:pt idx="5407">
                  <c:v>38231</c:v>
                </c:pt>
                <c:pt idx="5408">
                  <c:v>38232</c:v>
                </c:pt>
                <c:pt idx="5409">
                  <c:v>38233</c:v>
                </c:pt>
                <c:pt idx="5410">
                  <c:v>38236</c:v>
                </c:pt>
                <c:pt idx="5411">
                  <c:v>38237</c:v>
                </c:pt>
                <c:pt idx="5412">
                  <c:v>38238</c:v>
                </c:pt>
                <c:pt idx="5413">
                  <c:v>38239</c:v>
                </c:pt>
                <c:pt idx="5414">
                  <c:v>38240</c:v>
                </c:pt>
                <c:pt idx="5415">
                  <c:v>38243</c:v>
                </c:pt>
                <c:pt idx="5416">
                  <c:v>38244</c:v>
                </c:pt>
                <c:pt idx="5417">
                  <c:v>38245</c:v>
                </c:pt>
                <c:pt idx="5418">
                  <c:v>38246</c:v>
                </c:pt>
                <c:pt idx="5419">
                  <c:v>38247</c:v>
                </c:pt>
                <c:pt idx="5420">
                  <c:v>38250</c:v>
                </c:pt>
                <c:pt idx="5421">
                  <c:v>38251</c:v>
                </c:pt>
                <c:pt idx="5422">
                  <c:v>38252</c:v>
                </c:pt>
                <c:pt idx="5423">
                  <c:v>38253</c:v>
                </c:pt>
                <c:pt idx="5424">
                  <c:v>38254</c:v>
                </c:pt>
                <c:pt idx="5425">
                  <c:v>38257</c:v>
                </c:pt>
                <c:pt idx="5426">
                  <c:v>38258</c:v>
                </c:pt>
                <c:pt idx="5427">
                  <c:v>38259</c:v>
                </c:pt>
                <c:pt idx="5428">
                  <c:v>38260</c:v>
                </c:pt>
                <c:pt idx="5429">
                  <c:v>38261</c:v>
                </c:pt>
                <c:pt idx="5430">
                  <c:v>38264</c:v>
                </c:pt>
                <c:pt idx="5431">
                  <c:v>38265</c:v>
                </c:pt>
                <c:pt idx="5432">
                  <c:v>38266</c:v>
                </c:pt>
                <c:pt idx="5433">
                  <c:v>38267</c:v>
                </c:pt>
                <c:pt idx="5434">
                  <c:v>38268</c:v>
                </c:pt>
                <c:pt idx="5435">
                  <c:v>38271</c:v>
                </c:pt>
                <c:pt idx="5436">
                  <c:v>38272</c:v>
                </c:pt>
                <c:pt idx="5437">
                  <c:v>38273</c:v>
                </c:pt>
                <c:pt idx="5438">
                  <c:v>38274</c:v>
                </c:pt>
                <c:pt idx="5439">
                  <c:v>38275</c:v>
                </c:pt>
                <c:pt idx="5440">
                  <c:v>38278</c:v>
                </c:pt>
                <c:pt idx="5441">
                  <c:v>38279</c:v>
                </c:pt>
                <c:pt idx="5442">
                  <c:v>38280</c:v>
                </c:pt>
                <c:pt idx="5443">
                  <c:v>38281</c:v>
                </c:pt>
                <c:pt idx="5444">
                  <c:v>38282</c:v>
                </c:pt>
                <c:pt idx="5445">
                  <c:v>38285</c:v>
                </c:pt>
                <c:pt idx="5446">
                  <c:v>38286</c:v>
                </c:pt>
                <c:pt idx="5447">
                  <c:v>38287</c:v>
                </c:pt>
                <c:pt idx="5448">
                  <c:v>38288</c:v>
                </c:pt>
                <c:pt idx="5449">
                  <c:v>38289</c:v>
                </c:pt>
                <c:pt idx="5450">
                  <c:v>38292</c:v>
                </c:pt>
                <c:pt idx="5451">
                  <c:v>38293</c:v>
                </c:pt>
                <c:pt idx="5452">
                  <c:v>38294</c:v>
                </c:pt>
                <c:pt idx="5453">
                  <c:v>38295</c:v>
                </c:pt>
                <c:pt idx="5454">
                  <c:v>38296</c:v>
                </c:pt>
                <c:pt idx="5455">
                  <c:v>38299</c:v>
                </c:pt>
                <c:pt idx="5456">
                  <c:v>38300</c:v>
                </c:pt>
                <c:pt idx="5457">
                  <c:v>38301</c:v>
                </c:pt>
                <c:pt idx="5458">
                  <c:v>38302</c:v>
                </c:pt>
                <c:pt idx="5459">
                  <c:v>38303</c:v>
                </c:pt>
                <c:pt idx="5460">
                  <c:v>38306</c:v>
                </c:pt>
                <c:pt idx="5461">
                  <c:v>38307</c:v>
                </c:pt>
                <c:pt idx="5462">
                  <c:v>38308</c:v>
                </c:pt>
                <c:pt idx="5463">
                  <c:v>38309</c:v>
                </c:pt>
                <c:pt idx="5464">
                  <c:v>38310</c:v>
                </c:pt>
                <c:pt idx="5465">
                  <c:v>38313</c:v>
                </c:pt>
                <c:pt idx="5466">
                  <c:v>38314</c:v>
                </c:pt>
                <c:pt idx="5467">
                  <c:v>38315</c:v>
                </c:pt>
                <c:pt idx="5468">
                  <c:v>38316</c:v>
                </c:pt>
                <c:pt idx="5469">
                  <c:v>38317</c:v>
                </c:pt>
                <c:pt idx="5470">
                  <c:v>38320</c:v>
                </c:pt>
                <c:pt idx="5471">
                  <c:v>38321</c:v>
                </c:pt>
                <c:pt idx="5472">
                  <c:v>38322</c:v>
                </c:pt>
                <c:pt idx="5473">
                  <c:v>38323</c:v>
                </c:pt>
                <c:pt idx="5474">
                  <c:v>38324</c:v>
                </c:pt>
                <c:pt idx="5475">
                  <c:v>38327</c:v>
                </c:pt>
                <c:pt idx="5476">
                  <c:v>38328</c:v>
                </c:pt>
                <c:pt idx="5477">
                  <c:v>38329</c:v>
                </c:pt>
                <c:pt idx="5478">
                  <c:v>38330</c:v>
                </c:pt>
                <c:pt idx="5479">
                  <c:v>38331</c:v>
                </c:pt>
                <c:pt idx="5480">
                  <c:v>38334</c:v>
                </c:pt>
                <c:pt idx="5481">
                  <c:v>38335</c:v>
                </c:pt>
                <c:pt idx="5482">
                  <c:v>38336</c:v>
                </c:pt>
                <c:pt idx="5483">
                  <c:v>38337</c:v>
                </c:pt>
                <c:pt idx="5484">
                  <c:v>38338</c:v>
                </c:pt>
                <c:pt idx="5485">
                  <c:v>38341</c:v>
                </c:pt>
                <c:pt idx="5486">
                  <c:v>38342</c:v>
                </c:pt>
                <c:pt idx="5487">
                  <c:v>38343</c:v>
                </c:pt>
                <c:pt idx="5488">
                  <c:v>38344</c:v>
                </c:pt>
                <c:pt idx="5489">
                  <c:v>38345</c:v>
                </c:pt>
                <c:pt idx="5490">
                  <c:v>38348</c:v>
                </c:pt>
                <c:pt idx="5491">
                  <c:v>38349</c:v>
                </c:pt>
                <c:pt idx="5492">
                  <c:v>38350</c:v>
                </c:pt>
                <c:pt idx="5493">
                  <c:v>38351</c:v>
                </c:pt>
                <c:pt idx="5494">
                  <c:v>38352</c:v>
                </c:pt>
                <c:pt idx="5495">
                  <c:v>38355</c:v>
                </c:pt>
                <c:pt idx="5496">
                  <c:v>38356</c:v>
                </c:pt>
                <c:pt idx="5497">
                  <c:v>38357</c:v>
                </c:pt>
                <c:pt idx="5498">
                  <c:v>38358</c:v>
                </c:pt>
                <c:pt idx="5499">
                  <c:v>38359</c:v>
                </c:pt>
                <c:pt idx="5500">
                  <c:v>38362</c:v>
                </c:pt>
                <c:pt idx="5501">
                  <c:v>38363</c:v>
                </c:pt>
                <c:pt idx="5502">
                  <c:v>38364</c:v>
                </c:pt>
                <c:pt idx="5503">
                  <c:v>38365</c:v>
                </c:pt>
                <c:pt idx="5504">
                  <c:v>38366</c:v>
                </c:pt>
                <c:pt idx="5505">
                  <c:v>38369</c:v>
                </c:pt>
                <c:pt idx="5506">
                  <c:v>38370</c:v>
                </c:pt>
                <c:pt idx="5507">
                  <c:v>38371</c:v>
                </c:pt>
                <c:pt idx="5508">
                  <c:v>38372</c:v>
                </c:pt>
                <c:pt idx="5509">
                  <c:v>38373</c:v>
                </c:pt>
                <c:pt idx="5510">
                  <c:v>38376</c:v>
                </c:pt>
                <c:pt idx="5511">
                  <c:v>38377</c:v>
                </c:pt>
                <c:pt idx="5512">
                  <c:v>38378</c:v>
                </c:pt>
                <c:pt idx="5513">
                  <c:v>38379</c:v>
                </c:pt>
                <c:pt idx="5514">
                  <c:v>38380</c:v>
                </c:pt>
                <c:pt idx="5515">
                  <c:v>38383</c:v>
                </c:pt>
                <c:pt idx="5516">
                  <c:v>38384</c:v>
                </c:pt>
                <c:pt idx="5517">
                  <c:v>38385</c:v>
                </c:pt>
                <c:pt idx="5518">
                  <c:v>38386</c:v>
                </c:pt>
                <c:pt idx="5519">
                  <c:v>38387</c:v>
                </c:pt>
                <c:pt idx="5520">
                  <c:v>38390</c:v>
                </c:pt>
                <c:pt idx="5521">
                  <c:v>38391</c:v>
                </c:pt>
                <c:pt idx="5522">
                  <c:v>38392</c:v>
                </c:pt>
                <c:pt idx="5523">
                  <c:v>38393</c:v>
                </c:pt>
                <c:pt idx="5524">
                  <c:v>38394</c:v>
                </c:pt>
                <c:pt idx="5525">
                  <c:v>38397</c:v>
                </c:pt>
                <c:pt idx="5526">
                  <c:v>38398</c:v>
                </c:pt>
                <c:pt idx="5527">
                  <c:v>38399</c:v>
                </c:pt>
                <c:pt idx="5528">
                  <c:v>38400</c:v>
                </c:pt>
                <c:pt idx="5529">
                  <c:v>38401</c:v>
                </c:pt>
                <c:pt idx="5530">
                  <c:v>38404</c:v>
                </c:pt>
                <c:pt idx="5531">
                  <c:v>38405</c:v>
                </c:pt>
                <c:pt idx="5532">
                  <c:v>38406</c:v>
                </c:pt>
                <c:pt idx="5533">
                  <c:v>38407</c:v>
                </c:pt>
                <c:pt idx="5534">
                  <c:v>38408</c:v>
                </c:pt>
                <c:pt idx="5535">
                  <c:v>38411</c:v>
                </c:pt>
                <c:pt idx="5536">
                  <c:v>38412</c:v>
                </c:pt>
                <c:pt idx="5537">
                  <c:v>38413</c:v>
                </c:pt>
                <c:pt idx="5538">
                  <c:v>38414</c:v>
                </c:pt>
                <c:pt idx="5539">
                  <c:v>38415</c:v>
                </c:pt>
                <c:pt idx="5540">
                  <c:v>38418</c:v>
                </c:pt>
                <c:pt idx="5541">
                  <c:v>38419</c:v>
                </c:pt>
                <c:pt idx="5542">
                  <c:v>38420</c:v>
                </c:pt>
                <c:pt idx="5543">
                  <c:v>38421</c:v>
                </c:pt>
                <c:pt idx="5544">
                  <c:v>38422</c:v>
                </c:pt>
                <c:pt idx="5545">
                  <c:v>38425</c:v>
                </c:pt>
                <c:pt idx="5546">
                  <c:v>38426</c:v>
                </c:pt>
                <c:pt idx="5547">
                  <c:v>38427</c:v>
                </c:pt>
                <c:pt idx="5548">
                  <c:v>38428</c:v>
                </c:pt>
                <c:pt idx="5549">
                  <c:v>38429</c:v>
                </c:pt>
                <c:pt idx="5550">
                  <c:v>38432</c:v>
                </c:pt>
                <c:pt idx="5551">
                  <c:v>38433</c:v>
                </c:pt>
                <c:pt idx="5552">
                  <c:v>38434</c:v>
                </c:pt>
                <c:pt idx="5553">
                  <c:v>38435</c:v>
                </c:pt>
                <c:pt idx="5554">
                  <c:v>38436</c:v>
                </c:pt>
                <c:pt idx="5555">
                  <c:v>38439</c:v>
                </c:pt>
                <c:pt idx="5556">
                  <c:v>38440</c:v>
                </c:pt>
                <c:pt idx="5557">
                  <c:v>38441</c:v>
                </c:pt>
                <c:pt idx="5558">
                  <c:v>38442</c:v>
                </c:pt>
                <c:pt idx="5559">
                  <c:v>38443</c:v>
                </c:pt>
                <c:pt idx="5560">
                  <c:v>38446</c:v>
                </c:pt>
                <c:pt idx="5561">
                  <c:v>38447</c:v>
                </c:pt>
                <c:pt idx="5562">
                  <c:v>38448</c:v>
                </c:pt>
                <c:pt idx="5563">
                  <c:v>38449</c:v>
                </c:pt>
                <c:pt idx="5564">
                  <c:v>38450</c:v>
                </c:pt>
                <c:pt idx="5565">
                  <c:v>38453</c:v>
                </c:pt>
                <c:pt idx="5566">
                  <c:v>38454</c:v>
                </c:pt>
                <c:pt idx="5567">
                  <c:v>38455</c:v>
                </c:pt>
                <c:pt idx="5568">
                  <c:v>38456</c:v>
                </c:pt>
                <c:pt idx="5569">
                  <c:v>38457</c:v>
                </c:pt>
                <c:pt idx="5570">
                  <c:v>38460</c:v>
                </c:pt>
                <c:pt idx="5571">
                  <c:v>38461</c:v>
                </c:pt>
                <c:pt idx="5572">
                  <c:v>38462</c:v>
                </c:pt>
                <c:pt idx="5573">
                  <c:v>38463</c:v>
                </c:pt>
                <c:pt idx="5574">
                  <c:v>38464</c:v>
                </c:pt>
                <c:pt idx="5575">
                  <c:v>38467</c:v>
                </c:pt>
                <c:pt idx="5576">
                  <c:v>38468</c:v>
                </c:pt>
                <c:pt idx="5577">
                  <c:v>38469</c:v>
                </c:pt>
                <c:pt idx="5578">
                  <c:v>38470</c:v>
                </c:pt>
                <c:pt idx="5579">
                  <c:v>38471</c:v>
                </c:pt>
                <c:pt idx="5580">
                  <c:v>38474</c:v>
                </c:pt>
                <c:pt idx="5581">
                  <c:v>38475</c:v>
                </c:pt>
                <c:pt idx="5582">
                  <c:v>38476</c:v>
                </c:pt>
                <c:pt idx="5583">
                  <c:v>38477</c:v>
                </c:pt>
                <c:pt idx="5584">
                  <c:v>38478</c:v>
                </c:pt>
                <c:pt idx="5585">
                  <c:v>38481</c:v>
                </c:pt>
                <c:pt idx="5586">
                  <c:v>38482</c:v>
                </c:pt>
                <c:pt idx="5587">
                  <c:v>38483</c:v>
                </c:pt>
                <c:pt idx="5588">
                  <c:v>38484</c:v>
                </c:pt>
                <c:pt idx="5589">
                  <c:v>38485</c:v>
                </c:pt>
                <c:pt idx="5590">
                  <c:v>38488</c:v>
                </c:pt>
                <c:pt idx="5591">
                  <c:v>38489</c:v>
                </c:pt>
                <c:pt idx="5592">
                  <c:v>38490</c:v>
                </c:pt>
                <c:pt idx="5593">
                  <c:v>38491</c:v>
                </c:pt>
                <c:pt idx="5594">
                  <c:v>38492</c:v>
                </c:pt>
                <c:pt idx="5595">
                  <c:v>38495</c:v>
                </c:pt>
                <c:pt idx="5596">
                  <c:v>38496</c:v>
                </c:pt>
                <c:pt idx="5597">
                  <c:v>38497</c:v>
                </c:pt>
                <c:pt idx="5598">
                  <c:v>38498</c:v>
                </c:pt>
                <c:pt idx="5599">
                  <c:v>38499</c:v>
                </c:pt>
                <c:pt idx="5600">
                  <c:v>38502</c:v>
                </c:pt>
                <c:pt idx="5601">
                  <c:v>38503</c:v>
                </c:pt>
                <c:pt idx="5602">
                  <c:v>38504</c:v>
                </c:pt>
                <c:pt idx="5603">
                  <c:v>38505</c:v>
                </c:pt>
                <c:pt idx="5604">
                  <c:v>38506</c:v>
                </c:pt>
                <c:pt idx="5605">
                  <c:v>38509</c:v>
                </c:pt>
                <c:pt idx="5606">
                  <c:v>38510</c:v>
                </c:pt>
                <c:pt idx="5607">
                  <c:v>38511</c:v>
                </c:pt>
                <c:pt idx="5608">
                  <c:v>38512</c:v>
                </c:pt>
                <c:pt idx="5609">
                  <c:v>38513</c:v>
                </c:pt>
                <c:pt idx="5610">
                  <c:v>38516</c:v>
                </c:pt>
                <c:pt idx="5611">
                  <c:v>38517</c:v>
                </c:pt>
                <c:pt idx="5612">
                  <c:v>38518</c:v>
                </c:pt>
                <c:pt idx="5613">
                  <c:v>38519</c:v>
                </c:pt>
                <c:pt idx="5614">
                  <c:v>38520</c:v>
                </c:pt>
                <c:pt idx="5615">
                  <c:v>38523</c:v>
                </c:pt>
                <c:pt idx="5616">
                  <c:v>38524</c:v>
                </c:pt>
                <c:pt idx="5617">
                  <c:v>38525</c:v>
                </c:pt>
                <c:pt idx="5618">
                  <c:v>38526</c:v>
                </c:pt>
                <c:pt idx="5619">
                  <c:v>38527</c:v>
                </c:pt>
                <c:pt idx="5620">
                  <c:v>38530</c:v>
                </c:pt>
                <c:pt idx="5621">
                  <c:v>38531</c:v>
                </c:pt>
                <c:pt idx="5622">
                  <c:v>38532</c:v>
                </c:pt>
                <c:pt idx="5623">
                  <c:v>38533</c:v>
                </c:pt>
                <c:pt idx="5624">
                  <c:v>38534</c:v>
                </c:pt>
                <c:pt idx="5625">
                  <c:v>38537</c:v>
                </c:pt>
                <c:pt idx="5626">
                  <c:v>38538</c:v>
                </c:pt>
                <c:pt idx="5627">
                  <c:v>38539</c:v>
                </c:pt>
                <c:pt idx="5628">
                  <c:v>38540</c:v>
                </c:pt>
                <c:pt idx="5629">
                  <c:v>38541</c:v>
                </c:pt>
                <c:pt idx="5630">
                  <c:v>38544</c:v>
                </c:pt>
                <c:pt idx="5631">
                  <c:v>38545</c:v>
                </c:pt>
                <c:pt idx="5632">
                  <c:v>38546</c:v>
                </c:pt>
                <c:pt idx="5633">
                  <c:v>38547</c:v>
                </c:pt>
                <c:pt idx="5634">
                  <c:v>38548</c:v>
                </c:pt>
                <c:pt idx="5635">
                  <c:v>38551</c:v>
                </c:pt>
                <c:pt idx="5636">
                  <c:v>38552</c:v>
                </c:pt>
                <c:pt idx="5637">
                  <c:v>38553</c:v>
                </c:pt>
                <c:pt idx="5638">
                  <c:v>38554</c:v>
                </c:pt>
                <c:pt idx="5639">
                  <c:v>38555</c:v>
                </c:pt>
                <c:pt idx="5640">
                  <c:v>38558</c:v>
                </c:pt>
                <c:pt idx="5641">
                  <c:v>38559</c:v>
                </c:pt>
                <c:pt idx="5642">
                  <c:v>38560</c:v>
                </c:pt>
                <c:pt idx="5643">
                  <c:v>38561</c:v>
                </c:pt>
                <c:pt idx="5644">
                  <c:v>38562</c:v>
                </c:pt>
                <c:pt idx="5645">
                  <c:v>38565</c:v>
                </c:pt>
                <c:pt idx="5646">
                  <c:v>38566</c:v>
                </c:pt>
                <c:pt idx="5647">
                  <c:v>38567</c:v>
                </c:pt>
                <c:pt idx="5648">
                  <c:v>38568</c:v>
                </c:pt>
                <c:pt idx="5649">
                  <c:v>38569</c:v>
                </c:pt>
                <c:pt idx="5650">
                  <c:v>38572</c:v>
                </c:pt>
                <c:pt idx="5651">
                  <c:v>38573</c:v>
                </c:pt>
                <c:pt idx="5652">
                  <c:v>38574</c:v>
                </c:pt>
                <c:pt idx="5653">
                  <c:v>38575</c:v>
                </c:pt>
                <c:pt idx="5654">
                  <c:v>38576</c:v>
                </c:pt>
                <c:pt idx="5655">
                  <c:v>38579</c:v>
                </c:pt>
                <c:pt idx="5656">
                  <c:v>38580</c:v>
                </c:pt>
                <c:pt idx="5657">
                  <c:v>38581</c:v>
                </c:pt>
                <c:pt idx="5658">
                  <c:v>38582</c:v>
                </c:pt>
                <c:pt idx="5659">
                  <c:v>38583</c:v>
                </c:pt>
                <c:pt idx="5660">
                  <c:v>38586</c:v>
                </c:pt>
                <c:pt idx="5661">
                  <c:v>38587</c:v>
                </c:pt>
                <c:pt idx="5662">
                  <c:v>38588</c:v>
                </c:pt>
                <c:pt idx="5663">
                  <c:v>38589</c:v>
                </c:pt>
                <c:pt idx="5664">
                  <c:v>38590</c:v>
                </c:pt>
                <c:pt idx="5665">
                  <c:v>38593</c:v>
                </c:pt>
                <c:pt idx="5666">
                  <c:v>38594</c:v>
                </c:pt>
                <c:pt idx="5667">
                  <c:v>38595</c:v>
                </c:pt>
                <c:pt idx="5668">
                  <c:v>38596</c:v>
                </c:pt>
                <c:pt idx="5669">
                  <c:v>38597</c:v>
                </c:pt>
                <c:pt idx="5670">
                  <c:v>38600</c:v>
                </c:pt>
                <c:pt idx="5671">
                  <c:v>38601</c:v>
                </c:pt>
                <c:pt idx="5672">
                  <c:v>38602</c:v>
                </c:pt>
                <c:pt idx="5673">
                  <c:v>38603</c:v>
                </c:pt>
                <c:pt idx="5674">
                  <c:v>38604</c:v>
                </c:pt>
                <c:pt idx="5675">
                  <c:v>38607</c:v>
                </c:pt>
                <c:pt idx="5676">
                  <c:v>38608</c:v>
                </c:pt>
                <c:pt idx="5677">
                  <c:v>38609</c:v>
                </c:pt>
                <c:pt idx="5678">
                  <c:v>38610</c:v>
                </c:pt>
                <c:pt idx="5679">
                  <c:v>38611</c:v>
                </c:pt>
                <c:pt idx="5680">
                  <c:v>38614</c:v>
                </c:pt>
                <c:pt idx="5681">
                  <c:v>38615</c:v>
                </c:pt>
                <c:pt idx="5682">
                  <c:v>38616</c:v>
                </c:pt>
                <c:pt idx="5683">
                  <c:v>38617</c:v>
                </c:pt>
                <c:pt idx="5684">
                  <c:v>38618</c:v>
                </c:pt>
                <c:pt idx="5685">
                  <c:v>38621</c:v>
                </c:pt>
                <c:pt idx="5686">
                  <c:v>38622</c:v>
                </c:pt>
                <c:pt idx="5687">
                  <c:v>38623</c:v>
                </c:pt>
                <c:pt idx="5688">
                  <c:v>38624</c:v>
                </c:pt>
                <c:pt idx="5689">
                  <c:v>38625</c:v>
                </c:pt>
                <c:pt idx="5690">
                  <c:v>38628</c:v>
                </c:pt>
                <c:pt idx="5691">
                  <c:v>38629</c:v>
                </c:pt>
                <c:pt idx="5692">
                  <c:v>38630</c:v>
                </c:pt>
                <c:pt idx="5693">
                  <c:v>38631</c:v>
                </c:pt>
                <c:pt idx="5694">
                  <c:v>38632</c:v>
                </c:pt>
                <c:pt idx="5695">
                  <c:v>38635</c:v>
                </c:pt>
                <c:pt idx="5696">
                  <c:v>38636</c:v>
                </c:pt>
                <c:pt idx="5697">
                  <c:v>38637</c:v>
                </c:pt>
                <c:pt idx="5698">
                  <c:v>38638</c:v>
                </c:pt>
                <c:pt idx="5699">
                  <c:v>38639</c:v>
                </c:pt>
                <c:pt idx="5700">
                  <c:v>38642</c:v>
                </c:pt>
                <c:pt idx="5701">
                  <c:v>38643</c:v>
                </c:pt>
                <c:pt idx="5702">
                  <c:v>38644</c:v>
                </c:pt>
                <c:pt idx="5703">
                  <c:v>38645</c:v>
                </c:pt>
                <c:pt idx="5704">
                  <c:v>38646</c:v>
                </c:pt>
                <c:pt idx="5705">
                  <c:v>38649</c:v>
                </c:pt>
                <c:pt idx="5706">
                  <c:v>38650</c:v>
                </c:pt>
                <c:pt idx="5707">
                  <c:v>38651</c:v>
                </c:pt>
                <c:pt idx="5708">
                  <c:v>38652</c:v>
                </c:pt>
                <c:pt idx="5709">
                  <c:v>38653</c:v>
                </c:pt>
                <c:pt idx="5710">
                  <c:v>38656</c:v>
                </c:pt>
                <c:pt idx="5711">
                  <c:v>38657</c:v>
                </c:pt>
                <c:pt idx="5712">
                  <c:v>38658</c:v>
                </c:pt>
                <c:pt idx="5713">
                  <c:v>38659</c:v>
                </c:pt>
                <c:pt idx="5714">
                  <c:v>38660</c:v>
                </c:pt>
                <c:pt idx="5715">
                  <c:v>38663</c:v>
                </c:pt>
                <c:pt idx="5716">
                  <c:v>38664</c:v>
                </c:pt>
                <c:pt idx="5717">
                  <c:v>38665</c:v>
                </c:pt>
                <c:pt idx="5718">
                  <c:v>38666</c:v>
                </c:pt>
                <c:pt idx="5719">
                  <c:v>38667</c:v>
                </c:pt>
                <c:pt idx="5720">
                  <c:v>38670</c:v>
                </c:pt>
                <c:pt idx="5721">
                  <c:v>38671</c:v>
                </c:pt>
                <c:pt idx="5722">
                  <c:v>38672</c:v>
                </c:pt>
                <c:pt idx="5723">
                  <c:v>38673</c:v>
                </c:pt>
                <c:pt idx="5724">
                  <c:v>38674</c:v>
                </c:pt>
                <c:pt idx="5725">
                  <c:v>38677</c:v>
                </c:pt>
                <c:pt idx="5726">
                  <c:v>38678</c:v>
                </c:pt>
                <c:pt idx="5727">
                  <c:v>38679</c:v>
                </c:pt>
                <c:pt idx="5728">
                  <c:v>38680</c:v>
                </c:pt>
                <c:pt idx="5729">
                  <c:v>38681</c:v>
                </c:pt>
                <c:pt idx="5730">
                  <c:v>38684</c:v>
                </c:pt>
                <c:pt idx="5731">
                  <c:v>38685</c:v>
                </c:pt>
                <c:pt idx="5732">
                  <c:v>38686</c:v>
                </c:pt>
                <c:pt idx="5733">
                  <c:v>38687</c:v>
                </c:pt>
                <c:pt idx="5734">
                  <c:v>38688</c:v>
                </c:pt>
                <c:pt idx="5735">
                  <c:v>38691</c:v>
                </c:pt>
                <c:pt idx="5736">
                  <c:v>38692</c:v>
                </c:pt>
                <c:pt idx="5737">
                  <c:v>38693</c:v>
                </c:pt>
                <c:pt idx="5738">
                  <c:v>38694</c:v>
                </c:pt>
                <c:pt idx="5739">
                  <c:v>38695</c:v>
                </c:pt>
                <c:pt idx="5740">
                  <c:v>38698</c:v>
                </c:pt>
                <c:pt idx="5741">
                  <c:v>38699</c:v>
                </c:pt>
                <c:pt idx="5742">
                  <c:v>38700</c:v>
                </c:pt>
                <c:pt idx="5743">
                  <c:v>38701</c:v>
                </c:pt>
                <c:pt idx="5744">
                  <c:v>38702</c:v>
                </c:pt>
                <c:pt idx="5745">
                  <c:v>38705</c:v>
                </c:pt>
                <c:pt idx="5746">
                  <c:v>38706</c:v>
                </c:pt>
                <c:pt idx="5747">
                  <c:v>38707</c:v>
                </c:pt>
                <c:pt idx="5748">
                  <c:v>38708</c:v>
                </c:pt>
                <c:pt idx="5749">
                  <c:v>38709</c:v>
                </c:pt>
                <c:pt idx="5750">
                  <c:v>38712</c:v>
                </c:pt>
                <c:pt idx="5751">
                  <c:v>38713</c:v>
                </c:pt>
                <c:pt idx="5752">
                  <c:v>38714</c:v>
                </c:pt>
                <c:pt idx="5753">
                  <c:v>38715</c:v>
                </c:pt>
                <c:pt idx="5754">
                  <c:v>38716</c:v>
                </c:pt>
                <c:pt idx="5755">
                  <c:v>38719</c:v>
                </c:pt>
                <c:pt idx="5756">
                  <c:v>38720</c:v>
                </c:pt>
                <c:pt idx="5757">
                  <c:v>38721</c:v>
                </c:pt>
                <c:pt idx="5758">
                  <c:v>38722</c:v>
                </c:pt>
                <c:pt idx="5759">
                  <c:v>38723</c:v>
                </c:pt>
                <c:pt idx="5760">
                  <c:v>38726</c:v>
                </c:pt>
                <c:pt idx="5761">
                  <c:v>38727</c:v>
                </c:pt>
                <c:pt idx="5762">
                  <c:v>38728</c:v>
                </c:pt>
                <c:pt idx="5763">
                  <c:v>38729</c:v>
                </c:pt>
                <c:pt idx="5764">
                  <c:v>38730</c:v>
                </c:pt>
                <c:pt idx="5765">
                  <c:v>38733</c:v>
                </c:pt>
                <c:pt idx="5766">
                  <c:v>38734</c:v>
                </c:pt>
                <c:pt idx="5767">
                  <c:v>38735</c:v>
                </c:pt>
                <c:pt idx="5768">
                  <c:v>38736</c:v>
                </c:pt>
                <c:pt idx="5769">
                  <c:v>38737</c:v>
                </c:pt>
                <c:pt idx="5770">
                  <c:v>38740</c:v>
                </c:pt>
                <c:pt idx="5771">
                  <c:v>38741</c:v>
                </c:pt>
                <c:pt idx="5772">
                  <c:v>38742</c:v>
                </c:pt>
                <c:pt idx="5773">
                  <c:v>38743</c:v>
                </c:pt>
                <c:pt idx="5774">
                  <c:v>38744</c:v>
                </c:pt>
                <c:pt idx="5775">
                  <c:v>38747</c:v>
                </c:pt>
                <c:pt idx="5776">
                  <c:v>38748</c:v>
                </c:pt>
                <c:pt idx="5777">
                  <c:v>38749</c:v>
                </c:pt>
                <c:pt idx="5778">
                  <c:v>38750</c:v>
                </c:pt>
                <c:pt idx="5779">
                  <c:v>38751</c:v>
                </c:pt>
                <c:pt idx="5780">
                  <c:v>38754</c:v>
                </c:pt>
                <c:pt idx="5781">
                  <c:v>38755</c:v>
                </c:pt>
                <c:pt idx="5782">
                  <c:v>38756</c:v>
                </c:pt>
                <c:pt idx="5783">
                  <c:v>38757</c:v>
                </c:pt>
                <c:pt idx="5784">
                  <c:v>38758</c:v>
                </c:pt>
                <c:pt idx="5785">
                  <c:v>38761</c:v>
                </c:pt>
                <c:pt idx="5786">
                  <c:v>38762</c:v>
                </c:pt>
                <c:pt idx="5787">
                  <c:v>38763</c:v>
                </c:pt>
                <c:pt idx="5788">
                  <c:v>38764</c:v>
                </c:pt>
                <c:pt idx="5789">
                  <c:v>38765</c:v>
                </c:pt>
                <c:pt idx="5790">
                  <c:v>38768</c:v>
                </c:pt>
                <c:pt idx="5791">
                  <c:v>38769</c:v>
                </c:pt>
                <c:pt idx="5792">
                  <c:v>38770</c:v>
                </c:pt>
                <c:pt idx="5793">
                  <c:v>38771</c:v>
                </c:pt>
                <c:pt idx="5794">
                  <c:v>38772</c:v>
                </c:pt>
                <c:pt idx="5795">
                  <c:v>38775</c:v>
                </c:pt>
                <c:pt idx="5796">
                  <c:v>38776</c:v>
                </c:pt>
                <c:pt idx="5797">
                  <c:v>38777</c:v>
                </c:pt>
                <c:pt idx="5798">
                  <c:v>38778</c:v>
                </c:pt>
                <c:pt idx="5799">
                  <c:v>38779</c:v>
                </c:pt>
                <c:pt idx="5800">
                  <c:v>38782</c:v>
                </c:pt>
                <c:pt idx="5801">
                  <c:v>38783</c:v>
                </c:pt>
                <c:pt idx="5802">
                  <c:v>38784</c:v>
                </c:pt>
                <c:pt idx="5803">
                  <c:v>38785</c:v>
                </c:pt>
                <c:pt idx="5804">
                  <c:v>38786</c:v>
                </c:pt>
                <c:pt idx="5805">
                  <c:v>38789</c:v>
                </c:pt>
                <c:pt idx="5806">
                  <c:v>38790</c:v>
                </c:pt>
                <c:pt idx="5807">
                  <c:v>38791</c:v>
                </c:pt>
                <c:pt idx="5808">
                  <c:v>38792</c:v>
                </c:pt>
                <c:pt idx="5809">
                  <c:v>38793</c:v>
                </c:pt>
                <c:pt idx="5810">
                  <c:v>38796</c:v>
                </c:pt>
                <c:pt idx="5811">
                  <c:v>38797</c:v>
                </c:pt>
                <c:pt idx="5812">
                  <c:v>38798</c:v>
                </c:pt>
                <c:pt idx="5813">
                  <c:v>38799</c:v>
                </c:pt>
                <c:pt idx="5814">
                  <c:v>38800</c:v>
                </c:pt>
                <c:pt idx="5815">
                  <c:v>38803</c:v>
                </c:pt>
                <c:pt idx="5816">
                  <c:v>38804</c:v>
                </c:pt>
                <c:pt idx="5817">
                  <c:v>38805</c:v>
                </c:pt>
                <c:pt idx="5818">
                  <c:v>38806</c:v>
                </c:pt>
                <c:pt idx="5819">
                  <c:v>38807</c:v>
                </c:pt>
                <c:pt idx="5820">
                  <c:v>38810</c:v>
                </c:pt>
                <c:pt idx="5821">
                  <c:v>38811</c:v>
                </c:pt>
                <c:pt idx="5822">
                  <c:v>38812</c:v>
                </c:pt>
                <c:pt idx="5823">
                  <c:v>38813</c:v>
                </c:pt>
                <c:pt idx="5824">
                  <c:v>38814</c:v>
                </c:pt>
                <c:pt idx="5825">
                  <c:v>38817</c:v>
                </c:pt>
                <c:pt idx="5826">
                  <c:v>38818</c:v>
                </c:pt>
                <c:pt idx="5827">
                  <c:v>38819</c:v>
                </c:pt>
                <c:pt idx="5828">
                  <c:v>38820</c:v>
                </c:pt>
                <c:pt idx="5829">
                  <c:v>38821</c:v>
                </c:pt>
                <c:pt idx="5830">
                  <c:v>38824</c:v>
                </c:pt>
                <c:pt idx="5831">
                  <c:v>38825</c:v>
                </c:pt>
                <c:pt idx="5832">
                  <c:v>38826</c:v>
                </c:pt>
                <c:pt idx="5833">
                  <c:v>38827</c:v>
                </c:pt>
                <c:pt idx="5834">
                  <c:v>38828</c:v>
                </c:pt>
                <c:pt idx="5835">
                  <c:v>38831</c:v>
                </c:pt>
                <c:pt idx="5836">
                  <c:v>38832</c:v>
                </c:pt>
                <c:pt idx="5837">
                  <c:v>38833</c:v>
                </c:pt>
                <c:pt idx="5838">
                  <c:v>38834</c:v>
                </c:pt>
                <c:pt idx="5839">
                  <c:v>38835</c:v>
                </c:pt>
                <c:pt idx="5840">
                  <c:v>38838</c:v>
                </c:pt>
                <c:pt idx="5841">
                  <c:v>38839</c:v>
                </c:pt>
                <c:pt idx="5842">
                  <c:v>38840</c:v>
                </c:pt>
                <c:pt idx="5843">
                  <c:v>38841</c:v>
                </c:pt>
                <c:pt idx="5844">
                  <c:v>38842</c:v>
                </c:pt>
                <c:pt idx="5845">
                  <c:v>38845</c:v>
                </c:pt>
                <c:pt idx="5846">
                  <c:v>38846</c:v>
                </c:pt>
                <c:pt idx="5847">
                  <c:v>38847</c:v>
                </c:pt>
                <c:pt idx="5848">
                  <c:v>38848</c:v>
                </c:pt>
                <c:pt idx="5849">
                  <c:v>38849</c:v>
                </c:pt>
                <c:pt idx="5850">
                  <c:v>38852</c:v>
                </c:pt>
                <c:pt idx="5851">
                  <c:v>38853</c:v>
                </c:pt>
                <c:pt idx="5852">
                  <c:v>38854</c:v>
                </c:pt>
                <c:pt idx="5853">
                  <c:v>38855</c:v>
                </c:pt>
                <c:pt idx="5854">
                  <c:v>38856</c:v>
                </c:pt>
                <c:pt idx="5855">
                  <c:v>38859</c:v>
                </c:pt>
                <c:pt idx="5856">
                  <c:v>38860</c:v>
                </c:pt>
                <c:pt idx="5857">
                  <c:v>38861</c:v>
                </c:pt>
                <c:pt idx="5858">
                  <c:v>38862</c:v>
                </c:pt>
                <c:pt idx="5859">
                  <c:v>38863</c:v>
                </c:pt>
                <c:pt idx="5860">
                  <c:v>38866</c:v>
                </c:pt>
                <c:pt idx="5861">
                  <c:v>38867</c:v>
                </c:pt>
                <c:pt idx="5862">
                  <c:v>38868</c:v>
                </c:pt>
                <c:pt idx="5863">
                  <c:v>38869</c:v>
                </c:pt>
                <c:pt idx="5864">
                  <c:v>38870</c:v>
                </c:pt>
                <c:pt idx="5865">
                  <c:v>38873</c:v>
                </c:pt>
                <c:pt idx="5866">
                  <c:v>38874</c:v>
                </c:pt>
                <c:pt idx="5867">
                  <c:v>38875</c:v>
                </c:pt>
                <c:pt idx="5868">
                  <c:v>38876</c:v>
                </c:pt>
                <c:pt idx="5869">
                  <c:v>38877</c:v>
                </c:pt>
                <c:pt idx="5870">
                  <c:v>38880</c:v>
                </c:pt>
                <c:pt idx="5871">
                  <c:v>38881</c:v>
                </c:pt>
                <c:pt idx="5872">
                  <c:v>38882</c:v>
                </c:pt>
                <c:pt idx="5873">
                  <c:v>38883</c:v>
                </c:pt>
                <c:pt idx="5874">
                  <c:v>38884</c:v>
                </c:pt>
                <c:pt idx="5875">
                  <c:v>38887</c:v>
                </c:pt>
                <c:pt idx="5876">
                  <c:v>38888</c:v>
                </c:pt>
                <c:pt idx="5877">
                  <c:v>38889</c:v>
                </c:pt>
                <c:pt idx="5878">
                  <c:v>38890</c:v>
                </c:pt>
                <c:pt idx="5879">
                  <c:v>38891</c:v>
                </c:pt>
                <c:pt idx="5880">
                  <c:v>38894</c:v>
                </c:pt>
                <c:pt idx="5881">
                  <c:v>38895</c:v>
                </c:pt>
                <c:pt idx="5882">
                  <c:v>38896</c:v>
                </c:pt>
                <c:pt idx="5883">
                  <c:v>38897</c:v>
                </c:pt>
                <c:pt idx="5884">
                  <c:v>38898</c:v>
                </c:pt>
                <c:pt idx="5885">
                  <c:v>38901</c:v>
                </c:pt>
                <c:pt idx="5886">
                  <c:v>38902</c:v>
                </c:pt>
                <c:pt idx="5887">
                  <c:v>38903</c:v>
                </c:pt>
                <c:pt idx="5888">
                  <c:v>38904</c:v>
                </c:pt>
                <c:pt idx="5889">
                  <c:v>38905</c:v>
                </c:pt>
                <c:pt idx="5890">
                  <c:v>38908</c:v>
                </c:pt>
                <c:pt idx="5891">
                  <c:v>38909</c:v>
                </c:pt>
                <c:pt idx="5892">
                  <c:v>38910</c:v>
                </c:pt>
                <c:pt idx="5893">
                  <c:v>38911</c:v>
                </c:pt>
                <c:pt idx="5894">
                  <c:v>38912</c:v>
                </c:pt>
                <c:pt idx="5895">
                  <c:v>38915</c:v>
                </c:pt>
                <c:pt idx="5896">
                  <c:v>38916</c:v>
                </c:pt>
                <c:pt idx="5897">
                  <c:v>38917</c:v>
                </c:pt>
                <c:pt idx="5898">
                  <c:v>38918</c:v>
                </c:pt>
                <c:pt idx="5899">
                  <c:v>38919</c:v>
                </c:pt>
                <c:pt idx="5900">
                  <c:v>38922</c:v>
                </c:pt>
                <c:pt idx="5901">
                  <c:v>38923</c:v>
                </c:pt>
                <c:pt idx="5902">
                  <c:v>38924</c:v>
                </c:pt>
                <c:pt idx="5903">
                  <c:v>38925</c:v>
                </c:pt>
                <c:pt idx="5904">
                  <c:v>38926</c:v>
                </c:pt>
                <c:pt idx="5905">
                  <c:v>38929</c:v>
                </c:pt>
                <c:pt idx="5906">
                  <c:v>38930</c:v>
                </c:pt>
                <c:pt idx="5907">
                  <c:v>38931</c:v>
                </c:pt>
                <c:pt idx="5908">
                  <c:v>38932</c:v>
                </c:pt>
                <c:pt idx="5909">
                  <c:v>38933</c:v>
                </c:pt>
                <c:pt idx="5910">
                  <c:v>38936</c:v>
                </c:pt>
                <c:pt idx="5911">
                  <c:v>38937</c:v>
                </c:pt>
                <c:pt idx="5912">
                  <c:v>38938</c:v>
                </c:pt>
                <c:pt idx="5913">
                  <c:v>38939</c:v>
                </c:pt>
                <c:pt idx="5914">
                  <c:v>38940</c:v>
                </c:pt>
                <c:pt idx="5915">
                  <c:v>38943</c:v>
                </c:pt>
                <c:pt idx="5916">
                  <c:v>38944</c:v>
                </c:pt>
                <c:pt idx="5917">
                  <c:v>38945</c:v>
                </c:pt>
                <c:pt idx="5918">
                  <c:v>38946</c:v>
                </c:pt>
                <c:pt idx="5919">
                  <c:v>38947</c:v>
                </c:pt>
                <c:pt idx="5920">
                  <c:v>38950</c:v>
                </c:pt>
                <c:pt idx="5921">
                  <c:v>38951</c:v>
                </c:pt>
                <c:pt idx="5922">
                  <c:v>38952</c:v>
                </c:pt>
                <c:pt idx="5923">
                  <c:v>38953</c:v>
                </c:pt>
                <c:pt idx="5924">
                  <c:v>38954</c:v>
                </c:pt>
                <c:pt idx="5925">
                  <c:v>38957</c:v>
                </c:pt>
                <c:pt idx="5926">
                  <c:v>38958</c:v>
                </c:pt>
                <c:pt idx="5927">
                  <c:v>38959</c:v>
                </c:pt>
                <c:pt idx="5928">
                  <c:v>38960</c:v>
                </c:pt>
                <c:pt idx="5929">
                  <c:v>38961</c:v>
                </c:pt>
                <c:pt idx="5930">
                  <c:v>38964</c:v>
                </c:pt>
                <c:pt idx="5931">
                  <c:v>38965</c:v>
                </c:pt>
                <c:pt idx="5932">
                  <c:v>38966</c:v>
                </c:pt>
                <c:pt idx="5933">
                  <c:v>38967</c:v>
                </c:pt>
                <c:pt idx="5934">
                  <c:v>38968</c:v>
                </c:pt>
                <c:pt idx="5935">
                  <c:v>38971</c:v>
                </c:pt>
                <c:pt idx="5936">
                  <c:v>38972</c:v>
                </c:pt>
                <c:pt idx="5937">
                  <c:v>38973</c:v>
                </c:pt>
                <c:pt idx="5938">
                  <c:v>38974</c:v>
                </c:pt>
                <c:pt idx="5939">
                  <c:v>38975</c:v>
                </c:pt>
                <c:pt idx="5940">
                  <c:v>38978</c:v>
                </c:pt>
                <c:pt idx="5941">
                  <c:v>38979</c:v>
                </c:pt>
                <c:pt idx="5942">
                  <c:v>38980</c:v>
                </c:pt>
                <c:pt idx="5943">
                  <c:v>38981</c:v>
                </c:pt>
                <c:pt idx="5944">
                  <c:v>38982</c:v>
                </c:pt>
                <c:pt idx="5945">
                  <c:v>38985</c:v>
                </c:pt>
                <c:pt idx="5946">
                  <c:v>38986</c:v>
                </c:pt>
                <c:pt idx="5947">
                  <c:v>38987</c:v>
                </c:pt>
                <c:pt idx="5948">
                  <c:v>38988</c:v>
                </c:pt>
                <c:pt idx="5949">
                  <c:v>38989</c:v>
                </c:pt>
                <c:pt idx="5950">
                  <c:v>38992</c:v>
                </c:pt>
                <c:pt idx="5951">
                  <c:v>38993</c:v>
                </c:pt>
                <c:pt idx="5952">
                  <c:v>38994</c:v>
                </c:pt>
                <c:pt idx="5953">
                  <c:v>38995</c:v>
                </c:pt>
                <c:pt idx="5954">
                  <c:v>38996</c:v>
                </c:pt>
                <c:pt idx="5955">
                  <c:v>38999</c:v>
                </c:pt>
                <c:pt idx="5956">
                  <c:v>39000</c:v>
                </c:pt>
                <c:pt idx="5957">
                  <c:v>39001</c:v>
                </c:pt>
                <c:pt idx="5958">
                  <c:v>39002</c:v>
                </c:pt>
                <c:pt idx="5959">
                  <c:v>39003</c:v>
                </c:pt>
                <c:pt idx="5960">
                  <c:v>39006</c:v>
                </c:pt>
                <c:pt idx="5961">
                  <c:v>39007</c:v>
                </c:pt>
                <c:pt idx="5962">
                  <c:v>39008</c:v>
                </c:pt>
                <c:pt idx="5963">
                  <c:v>39009</c:v>
                </c:pt>
                <c:pt idx="5964">
                  <c:v>39010</c:v>
                </c:pt>
                <c:pt idx="5965">
                  <c:v>39013</c:v>
                </c:pt>
                <c:pt idx="5966">
                  <c:v>39014</c:v>
                </c:pt>
                <c:pt idx="5967">
                  <c:v>39015</c:v>
                </c:pt>
                <c:pt idx="5968">
                  <c:v>39016</c:v>
                </c:pt>
                <c:pt idx="5969">
                  <c:v>39017</c:v>
                </c:pt>
                <c:pt idx="5970">
                  <c:v>39020</c:v>
                </c:pt>
                <c:pt idx="5971">
                  <c:v>39021</c:v>
                </c:pt>
                <c:pt idx="5972">
                  <c:v>39022</c:v>
                </c:pt>
                <c:pt idx="5973">
                  <c:v>39023</c:v>
                </c:pt>
                <c:pt idx="5974">
                  <c:v>39024</c:v>
                </c:pt>
                <c:pt idx="5975">
                  <c:v>39027</c:v>
                </c:pt>
                <c:pt idx="5976">
                  <c:v>39028</c:v>
                </c:pt>
                <c:pt idx="5977">
                  <c:v>39029</c:v>
                </c:pt>
                <c:pt idx="5978">
                  <c:v>39030</c:v>
                </c:pt>
                <c:pt idx="5979">
                  <c:v>39031</c:v>
                </c:pt>
                <c:pt idx="5980">
                  <c:v>39034</c:v>
                </c:pt>
                <c:pt idx="5981">
                  <c:v>39035</c:v>
                </c:pt>
                <c:pt idx="5982">
                  <c:v>39036</c:v>
                </c:pt>
                <c:pt idx="5983">
                  <c:v>39037</c:v>
                </c:pt>
                <c:pt idx="5984">
                  <c:v>39038</c:v>
                </c:pt>
                <c:pt idx="5985">
                  <c:v>39041</c:v>
                </c:pt>
                <c:pt idx="5986">
                  <c:v>39042</c:v>
                </c:pt>
                <c:pt idx="5987">
                  <c:v>39043</c:v>
                </c:pt>
                <c:pt idx="5988">
                  <c:v>39044</c:v>
                </c:pt>
                <c:pt idx="5989">
                  <c:v>39045</c:v>
                </c:pt>
                <c:pt idx="5990">
                  <c:v>39048</c:v>
                </c:pt>
                <c:pt idx="5991">
                  <c:v>39049</c:v>
                </c:pt>
                <c:pt idx="5992">
                  <c:v>39050</c:v>
                </c:pt>
                <c:pt idx="5993">
                  <c:v>39051</c:v>
                </c:pt>
                <c:pt idx="5994">
                  <c:v>39052</c:v>
                </c:pt>
                <c:pt idx="5995">
                  <c:v>39055</c:v>
                </c:pt>
                <c:pt idx="5996">
                  <c:v>39056</c:v>
                </c:pt>
                <c:pt idx="5997">
                  <c:v>39057</c:v>
                </c:pt>
                <c:pt idx="5998">
                  <c:v>39058</c:v>
                </c:pt>
                <c:pt idx="5999">
                  <c:v>39059</c:v>
                </c:pt>
                <c:pt idx="6000">
                  <c:v>39062</c:v>
                </c:pt>
                <c:pt idx="6001">
                  <c:v>39063</c:v>
                </c:pt>
                <c:pt idx="6002">
                  <c:v>39064</c:v>
                </c:pt>
                <c:pt idx="6003">
                  <c:v>39065</c:v>
                </c:pt>
                <c:pt idx="6004">
                  <c:v>39066</c:v>
                </c:pt>
                <c:pt idx="6005">
                  <c:v>39069</c:v>
                </c:pt>
                <c:pt idx="6006">
                  <c:v>39070</c:v>
                </c:pt>
                <c:pt idx="6007">
                  <c:v>39071</c:v>
                </c:pt>
                <c:pt idx="6008">
                  <c:v>39072</c:v>
                </c:pt>
                <c:pt idx="6009">
                  <c:v>39073</c:v>
                </c:pt>
                <c:pt idx="6010">
                  <c:v>39076</c:v>
                </c:pt>
                <c:pt idx="6011">
                  <c:v>39077</c:v>
                </c:pt>
                <c:pt idx="6012">
                  <c:v>39078</c:v>
                </c:pt>
                <c:pt idx="6013">
                  <c:v>39079</c:v>
                </c:pt>
                <c:pt idx="6014">
                  <c:v>39080</c:v>
                </c:pt>
                <c:pt idx="6015">
                  <c:v>39083</c:v>
                </c:pt>
                <c:pt idx="6016">
                  <c:v>39084</c:v>
                </c:pt>
                <c:pt idx="6017">
                  <c:v>39085</c:v>
                </c:pt>
                <c:pt idx="6018">
                  <c:v>39086</c:v>
                </c:pt>
                <c:pt idx="6019">
                  <c:v>39087</c:v>
                </c:pt>
                <c:pt idx="6020">
                  <c:v>39090</c:v>
                </c:pt>
                <c:pt idx="6021">
                  <c:v>39091</c:v>
                </c:pt>
                <c:pt idx="6022">
                  <c:v>39092</c:v>
                </c:pt>
                <c:pt idx="6023">
                  <c:v>39093</c:v>
                </c:pt>
                <c:pt idx="6024">
                  <c:v>39094</c:v>
                </c:pt>
                <c:pt idx="6025">
                  <c:v>39097</c:v>
                </c:pt>
                <c:pt idx="6026">
                  <c:v>39098</c:v>
                </c:pt>
                <c:pt idx="6027">
                  <c:v>39099</c:v>
                </c:pt>
                <c:pt idx="6028">
                  <c:v>39100</c:v>
                </c:pt>
                <c:pt idx="6029">
                  <c:v>39101</c:v>
                </c:pt>
                <c:pt idx="6030">
                  <c:v>39104</c:v>
                </c:pt>
                <c:pt idx="6031">
                  <c:v>39105</c:v>
                </c:pt>
                <c:pt idx="6032">
                  <c:v>39106</c:v>
                </c:pt>
                <c:pt idx="6033">
                  <c:v>39107</c:v>
                </c:pt>
                <c:pt idx="6034">
                  <c:v>39108</c:v>
                </c:pt>
                <c:pt idx="6035">
                  <c:v>39111</c:v>
                </c:pt>
                <c:pt idx="6036">
                  <c:v>39112</c:v>
                </c:pt>
                <c:pt idx="6037">
                  <c:v>39113</c:v>
                </c:pt>
                <c:pt idx="6038">
                  <c:v>39114</c:v>
                </c:pt>
                <c:pt idx="6039">
                  <c:v>39115</c:v>
                </c:pt>
                <c:pt idx="6040">
                  <c:v>39118</c:v>
                </c:pt>
                <c:pt idx="6041">
                  <c:v>39119</c:v>
                </c:pt>
                <c:pt idx="6042">
                  <c:v>39120</c:v>
                </c:pt>
                <c:pt idx="6043">
                  <c:v>39121</c:v>
                </c:pt>
                <c:pt idx="6044">
                  <c:v>39122</c:v>
                </c:pt>
                <c:pt idx="6045">
                  <c:v>39125</c:v>
                </c:pt>
                <c:pt idx="6046">
                  <c:v>39126</c:v>
                </c:pt>
                <c:pt idx="6047">
                  <c:v>39127</c:v>
                </c:pt>
                <c:pt idx="6048">
                  <c:v>39128</c:v>
                </c:pt>
                <c:pt idx="6049">
                  <c:v>39129</c:v>
                </c:pt>
                <c:pt idx="6050">
                  <c:v>39132</c:v>
                </c:pt>
                <c:pt idx="6051">
                  <c:v>39133</c:v>
                </c:pt>
                <c:pt idx="6052">
                  <c:v>39134</c:v>
                </c:pt>
                <c:pt idx="6053">
                  <c:v>39135</c:v>
                </c:pt>
                <c:pt idx="6054">
                  <c:v>39136</c:v>
                </c:pt>
                <c:pt idx="6055">
                  <c:v>39139</c:v>
                </c:pt>
                <c:pt idx="6056">
                  <c:v>39140</c:v>
                </c:pt>
                <c:pt idx="6057">
                  <c:v>39141</c:v>
                </c:pt>
                <c:pt idx="6058">
                  <c:v>39142</c:v>
                </c:pt>
                <c:pt idx="6059">
                  <c:v>39143</c:v>
                </c:pt>
                <c:pt idx="6060">
                  <c:v>39146</c:v>
                </c:pt>
                <c:pt idx="6061">
                  <c:v>39147</c:v>
                </c:pt>
                <c:pt idx="6062">
                  <c:v>39148</c:v>
                </c:pt>
                <c:pt idx="6063">
                  <c:v>39149</c:v>
                </c:pt>
                <c:pt idx="6064">
                  <c:v>39150</c:v>
                </c:pt>
                <c:pt idx="6065">
                  <c:v>39153</c:v>
                </c:pt>
                <c:pt idx="6066">
                  <c:v>39154</c:v>
                </c:pt>
                <c:pt idx="6067">
                  <c:v>39155</c:v>
                </c:pt>
                <c:pt idx="6068">
                  <c:v>39156</c:v>
                </c:pt>
                <c:pt idx="6069">
                  <c:v>39157</c:v>
                </c:pt>
                <c:pt idx="6070">
                  <c:v>39160</c:v>
                </c:pt>
                <c:pt idx="6071">
                  <c:v>39161</c:v>
                </c:pt>
                <c:pt idx="6072">
                  <c:v>39162</c:v>
                </c:pt>
                <c:pt idx="6073">
                  <c:v>39163</c:v>
                </c:pt>
                <c:pt idx="6074">
                  <c:v>39164</c:v>
                </c:pt>
                <c:pt idx="6075">
                  <c:v>39167</c:v>
                </c:pt>
                <c:pt idx="6076">
                  <c:v>39168</c:v>
                </c:pt>
                <c:pt idx="6077">
                  <c:v>39169</c:v>
                </c:pt>
                <c:pt idx="6078">
                  <c:v>39170</c:v>
                </c:pt>
                <c:pt idx="6079">
                  <c:v>39171</c:v>
                </c:pt>
                <c:pt idx="6080">
                  <c:v>39174</c:v>
                </c:pt>
                <c:pt idx="6081">
                  <c:v>39175</c:v>
                </c:pt>
                <c:pt idx="6082">
                  <c:v>39176</c:v>
                </c:pt>
                <c:pt idx="6083">
                  <c:v>39177</c:v>
                </c:pt>
                <c:pt idx="6084">
                  <c:v>39178</c:v>
                </c:pt>
                <c:pt idx="6085">
                  <c:v>39181</c:v>
                </c:pt>
                <c:pt idx="6086">
                  <c:v>39182</c:v>
                </c:pt>
                <c:pt idx="6087">
                  <c:v>39183</c:v>
                </c:pt>
                <c:pt idx="6088">
                  <c:v>39184</c:v>
                </c:pt>
                <c:pt idx="6089">
                  <c:v>39185</c:v>
                </c:pt>
                <c:pt idx="6090">
                  <c:v>39188</c:v>
                </c:pt>
                <c:pt idx="6091">
                  <c:v>39189</c:v>
                </c:pt>
                <c:pt idx="6092">
                  <c:v>39190</c:v>
                </c:pt>
                <c:pt idx="6093">
                  <c:v>39191</c:v>
                </c:pt>
                <c:pt idx="6094">
                  <c:v>39192</c:v>
                </c:pt>
                <c:pt idx="6095">
                  <c:v>39195</c:v>
                </c:pt>
                <c:pt idx="6096">
                  <c:v>39196</c:v>
                </c:pt>
                <c:pt idx="6097">
                  <c:v>39197</c:v>
                </c:pt>
                <c:pt idx="6098">
                  <c:v>39198</c:v>
                </c:pt>
                <c:pt idx="6099">
                  <c:v>39199</c:v>
                </c:pt>
                <c:pt idx="6100">
                  <c:v>39202</c:v>
                </c:pt>
                <c:pt idx="6101">
                  <c:v>39203</c:v>
                </c:pt>
                <c:pt idx="6102">
                  <c:v>39204</c:v>
                </c:pt>
                <c:pt idx="6103">
                  <c:v>39205</c:v>
                </c:pt>
                <c:pt idx="6104">
                  <c:v>39206</c:v>
                </c:pt>
                <c:pt idx="6105">
                  <c:v>39209</c:v>
                </c:pt>
                <c:pt idx="6106">
                  <c:v>39210</c:v>
                </c:pt>
                <c:pt idx="6107">
                  <c:v>39211</c:v>
                </c:pt>
                <c:pt idx="6108">
                  <c:v>39212</c:v>
                </c:pt>
                <c:pt idx="6109">
                  <c:v>39213</c:v>
                </c:pt>
                <c:pt idx="6110">
                  <c:v>39216</c:v>
                </c:pt>
                <c:pt idx="6111">
                  <c:v>39217</c:v>
                </c:pt>
                <c:pt idx="6112">
                  <c:v>39218</c:v>
                </c:pt>
                <c:pt idx="6113">
                  <c:v>39219</c:v>
                </c:pt>
                <c:pt idx="6114">
                  <c:v>39220</c:v>
                </c:pt>
                <c:pt idx="6115">
                  <c:v>39223</c:v>
                </c:pt>
                <c:pt idx="6116">
                  <c:v>39224</c:v>
                </c:pt>
                <c:pt idx="6117">
                  <c:v>39225</c:v>
                </c:pt>
                <c:pt idx="6118">
                  <c:v>39226</c:v>
                </c:pt>
                <c:pt idx="6119">
                  <c:v>39227</c:v>
                </c:pt>
                <c:pt idx="6120">
                  <c:v>39230</c:v>
                </c:pt>
                <c:pt idx="6121">
                  <c:v>39231</c:v>
                </c:pt>
                <c:pt idx="6122">
                  <c:v>39232</c:v>
                </c:pt>
                <c:pt idx="6123">
                  <c:v>39233</c:v>
                </c:pt>
                <c:pt idx="6124">
                  <c:v>39234</c:v>
                </c:pt>
                <c:pt idx="6125">
                  <c:v>39237</c:v>
                </c:pt>
                <c:pt idx="6126">
                  <c:v>39238</c:v>
                </c:pt>
                <c:pt idx="6127">
                  <c:v>39239</c:v>
                </c:pt>
                <c:pt idx="6128">
                  <c:v>39240</c:v>
                </c:pt>
                <c:pt idx="6129">
                  <c:v>39241</c:v>
                </c:pt>
                <c:pt idx="6130">
                  <c:v>39244</c:v>
                </c:pt>
                <c:pt idx="6131">
                  <c:v>39245</c:v>
                </c:pt>
                <c:pt idx="6132">
                  <c:v>39246</c:v>
                </c:pt>
                <c:pt idx="6133">
                  <c:v>39247</c:v>
                </c:pt>
                <c:pt idx="6134">
                  <c:v>39248</c:v>
                </c:pt>
                <c:pt idx="6135">
                  <c:v>39251</c:v>
                </c:pt>
                <c:pt idx="6136">
                  <c:v>39252</c:v>
                </c:pt>
                <c:pt idx="6137">
                  <c:v>39253</c:v>
                </c:pt>
                <c:pt idx="6138">
                  <c:v>39254</c:v>
                </c:pt>
                <c:pt idx="6139">
                  <c:v>39255</c:v>
                </c:pt>
                <c:pt idx="6140">
                  <c:v>39258</c:v>
                </c:pt>
                <c:pt idx="6141">
                  <c:v>39259</c:v>
                </c:pt>
                <c:pt idx="6142">
                  <c:v>39260</c:v>
                </c:pt>
                <c:pt idx="6143">
                  <c:v>39261</c:v>
                </c:pt>
                <c:pt idx="6144">
                  <c:v>39262</c:v>
                </c:pt>
                <c:pt idx="6145">
                  <c:v>39265</c:v>
                </c:pt>
                <c:pt idx="6146">
                  <c:v>39266</c:v>
                </c:pt>
                <c:pt idx="6147">
                  <c:v>39267</c:v>
                </c:pt>
                <c:pt idx="6148">
                  <c:v>39268</c:v>
                </c:pt>
                <c:pt idx="6149">
                  <c:v>39269</c:v>
                </c:pt>
                <c:pt idx="6150">
                  <c:v>39272</c:v>
                </c:pt>
                <c:pt idx="6151">
                  <c:v>39273</c:v>
                </c:pt>
                <c:pt idx="6152">
                  <c:v>39274</c:v>
                </c:pt>
                <c:pt idx="6153">
                  <c:v>39275</c:v>
                </c:pt>
                <c:pt idx="6154">
                  <c:v>39276</c:v>
                </c:pt>
                <c:pt idx="6155">
                  <c:v>39279</c:v>
                </c:pt>
                <c:pt idx="6156">
                  <c:v>39280</c:v>
                </c:pt>
                <c:pt idx="6157">
                  <c:v>39281</c:v>
                </c:pt>
                <c:pt idx="6158">
                  <c:v>39282</c:v>
                </c:pt>
                <c:pt idx="6159">
                  <c:v>39283</c:v>
                </c:pt>
                <c:pt idx="6160">
                  <c:v>39286</c:v>
                </c:pt>
                <c:pt idx="6161">
                  <c:v>39287</c:v>
                </c:pt>
                <c:pt idx="6162">
                  <c:v>39288</c:v>
                </c:pt>
                <c:pt idx="6163">
                  <c:v>39289</c:v>
                </c:pt>
                <c:pt idx="6164">
                  <c:v>39290</c:v>
                </c:pt>
                <c:pt idx="6165">
                  <c:v>39293</c:v>
                </c:pt>
                <c:pt idx="6166">
                  <c:v>39294</c:v>
                </c:pt>
                <c:pt idx="6167">
                  <c:v>39295</c:v>
                </c:pt>
                <c:pt idx="6168">
                  <c:v>39296</c:v>
                </c:pt>
                <c:pt idx="6169">
                  <c:v>39297</c:v>
                </c:pt>
                <c:pt idx="6170">
                  <c:v>39300</c:v>
                </c:pt>
                <c:pt idx="6171">
                  <c:v>39301</c:v>
                </c:pt>
                <c:pt idx="6172">
                  <c:v>39302</c:v>
                </c:pt>
                <c:pt idx="6173">
                  <c:v>39303</c:v>
                </c:pt>
                <c:pt idx="6174">
                  <c:v>39304</c:v>
                </c:pt>
                <c:pt idx="6175">
                  <c:v>39307</c:v>
                </c:pt>
                <c:pt idx="6176">
                  <c:v>39308</c:v>
                </c:pt>
                <c:pt idx="6177">
                  <c:v>39309</c:v>
                </c:pt>
                <c:pt idx="6178">
                  <c:v>39310</c:v>
                </c:pt>
                <c:pt idx="6179">
                  <c:v>39311</c:v>
                </c:pt>
                <c:pt idx="6180">
                  <c:v>39314</c:v>
                </c:pt>
                <c:pt idx="6181">
                  <c:v>39315</c:v>
                </c:pt>
                <c:pt idx="6182">
                  <c:v>39316</c:v>
                </c:pt>
                <c:pt idx="6183">
                  <c:v>39317</c:v>
                </c:pt>
                <c:pt idx="6184">
                  <c:v>39318</c:v>
                </c:pt>
                <c:pt idx="6185">
                  <c:v>39321</c:v>
                </c:pt>
                <c:pt idx="6186">
                  <c:v>39322</c:v>
                </c:pt>
                <c:pt idx="6187">
                  <c:v>39323</c:v>
                </c:pt>
                <c:pt idx="6188">
                  <c:v>39324</c:v>
                </c:pt>
                <c:pt idx="6189">
                  <c:v>39325</c:v>
                </c:pt>
                <c:pt idx="6190">
                  <c:v>39328</c:v>
                </c:pt>
                <c:pt idx="6191">
                  <c:v>39329</c:v>
                </c:pt>
                <c:pt idx="6192">
                  <c:v>39330</c:v>
                </c:pt>
                <c:pt idx="6193">
                  <c:v>39331</c:v>
                </c:pt>
                <c:pt idx="6194">
                  <c:v>39332</c:v>
                </c:pt>
                <c:pt idx="6195">
                  <c:v>39335</c:v>
                </c:pt>
                <c:pt idx="6196">
                  <c:v>39336</c:v>
                </c:pt>
                <c:pt idx="6197">
                  <c:v>39337</c:v>
                </c:pt>
                <c:pt idx="6198">
                  <c:v>39338</c:v>
                </c:pt>
                <c:pt idx="6199">
                  <c:v>39339</c:v>
                </c:pt>
                <c:pt idx="6200">
                  <c:v>39342</c:v>
                </c:pt>
                <c:pt idx="6201">
                  <c:v>39343</c:v>
                </c:pt>
                <c:pt idx="6202">
                  <c:v>39344</c:v>
                </c:pt>
                <c:pt idx="6203">
                  <c:v>39345</c:v>
                </c:pt>
                <c:pt idx="6204">
                  <c:v>39346</c:v>
                </c:pt>
                <c:pt idx="6205">
                  <c:v>39349</c:v>
                </c:pt>
                <c:pt idx="6206">
                  <c:v>39350</c:v>
                </c:pt>
                <c:pt idx="6207">
                  <c:v>39351</c:v>
                </c:pt>
                <c:pt idx="6208">
                  <c:v>39352</c:v>
                </c:pt>
                <c:pt idx="6209">
                  <c:v>39353</c:v>
                </c:pt>
                <c:pt idx="6210">
                  <c:v>39356</c:v>
                </c:pt>
                <c:pt idx="6211">
                  <c:v>39357</c:v>
                </c:pt>
                <c:pt idx="6212">
                  <c:v>39358</c:v>
                </c:pt>
                <c:pt idx="6213">
                  <c:v>39359</c:v>
                </c:pt>
                <c:pt idx="6214">
                  <c:v>39360</c:v>
                </c:pt>
                <c:pt idx="6215">
                  <c:v>39363</c:v>
                </c:pt>
                <c:pt idx="6216">
                  <c:v>39364</c:v>
                </c:pt>
                <c:pt idx="6217">
                  <c:v>39365</c:v>
                </c:pt>
                <c:pt idx="6218">
                  <c:v>39366</c:v>
                </c:pt>
                <c:pt idx="6219">
                  <c:v>39367</c:v>
                </c:pt>
                <c:pt idx="6220">
                  <c:v>39370</c:v>
                </c:pt>
                <c:pt idx="6221">
                  <c:v>39371</c:v>
                </c:pt>
                <c:pt idx="6222">
                  <c:v>39372</c:v>
                </c:pt>
                <c:pt idx="6223">
                  <c:v>39373</c:v>
                </c:pt>
                <c:pt idx="6224">
                  <c:v>39374</c:v>
                </c:pt>
                <c:pt idx="6225">
                  <c:v>39377</c:v>
                </c:pt>
                <c:pt idx="6226">
                  <c:v>39378</c:v>
                </c:pt>
                <c:pt idx="6227">
                  <c:v>39379</c:v>
                </c:pt>
                <c:pt idx="6228">
                  <c:v>39380</c:v>
                </c:pt>
                <c:pt idx="6229">
                  <c:v>39381</c:v>
                </c:pt>
                <c:pt idx="6230">
                  <c:v>39384</c:v>
                </c:pt>
                <c:pt idx="6231">
                  <c:v>39385</c:v>
                </c:pt>
                <c:pt idx="6232">
                  <c:v>39386</c:v>
                </c:pt>
                <c:pt idx="6233">
                  <c:v>39387</c:v>
                </c:pt>
                <c:pt idx="6234">
                  <c:v>39388</c:v>
                </c:pt>
                <c:pt idx="6235">
                  <c:v>39391</c:v>
                </c:pt>
                <c:pt idx="6236">
                  <c:v>39392</c:v>
                </c:pt>
                <c:pt idx="6237">
                  <c:v>39393</c:v>
                </c:pt>
                <c:pt idx="6238">
                  <c:v>39394</c:v>
                </c:pt>
                <c:pt idx="6239">
                  <c:v>39395</c:v>
                </c:pt>
                <c:pt idx="6240">
                  <c:v>39398</c:v>
                </c:pt>
                <c:pt idx="6241">
                  <c:v>39399</c:v>
                </c:pt>
                <c:pt idx="6242">
                  <c:v>39400</c:v>
                </c:pt>
                <c:pt idx="6243">
                  <c:v>39401</c:v>
                </c:pt>
                <c:pt idx="6244">
                  <c:v>39402</c:v>
                </c:pt>
                <c:pt idx="6245">
                  <c:v>39405</c:v>
                </c:pt>
                <c:pt idx="6246">
                  <c:v>39406</c:v>
                </c:pt>
                <c:pt idx="6247">
                  <c:v>39407</c:v>
                </c:pt>
                <c:pt idx="6248">
                  <c:v>39408</c:v>
                </c:pt>
                <c:pt idx="6249">
                  <c:v>39409</c:v>
                </c:pt>
                <c:pt idx="6250">
                  <c:v>39412</c:v>
                </c:pt>
                <c:pt idx="6251">
                  <c:v>39413</c:v>
                </c:pt>
                <c:pt idx="6252">
                  <c:v>39414</c:v>
                </c:pt>
                <c:pt idx="6253">
                  <c:v>39415</c:v>
                </c:pt>
                <c:pt idx="6254">
                  <c:v>39416</c:v>
                </c:pt>
                <c:pt idx="6255">
                  <c:v>39419</c:v>
                </c:pt>
                <c:pt idx="6256">
                  <c:v>39420</c:v>
                </c:pt>
                <c:pt idx="6257">
                  <c:v>39421</c:v>
                </c:pt>
                <c:pt idx="6258">
                  <c:v>39422</c:v>
                </c:pt>
                <c:pt idx="6259">
                  <c:v>39423</c:v>
                </c:pt>
                <c:pt idx="6260">
                  <c:v>39426</c:v>
                </c:pt>
                <c:pt idx="6261">
                  <c:v>39427</c:v>
                </c:pt>
                <c:pt idx="6262">
                  <c:v>39428</c:v>
                </c:pt>
                <c:pt idx="6263">
                  <c:v>39429</c:v>
                </c:pt>
                <c:pt idx="6264">
                  <c:v>39430</c:v>
                </c:pt>
                <c:pt idx="6265">
                  <c:v>39433</c:v>
                </c:pt>
                <c:pt idx="6266">
                  <c:v>39434</c:v>
                </c:pt>
                <c:pt idx="6267">
                  <c:v>39435</c:v>
                </c:pt>
                <c:pt idx="6268">
                  <c:v>39436</c:v>
                </c:pt>
                <c:pt idx="6269">
                  <c:v>39437</c:v>
                </c:pt>
                <c:pt idx="6270">
                  <c:v>39440</c:v>
                </c:pt>
                <c:pt idx="6271">
                  <c:v>39441</c:v>
                </c:pt>
                <c:pt idx="6272">
                  <c:v>39442</c:v>
                </c:pt>
                <c:pt idx="6273">
                  <c:v>39443</c:v>
                </c:pt>
                <c:pt idx="6274">
                  <c:v>39444</c:v>
                </c:pt>
                <c:pt idx="6275">
                  <c:v>39447</c:v>
                </c:pt>
                <c:pt idx="6276">
                  <c:v>39448</c:v>
                </c:pt>
                <c:pt idx="6277">
                  <c:v>39449</c:v>
                </c:pt>
                <c:pt idx="6278">
                  <c:v>39450</c:v>
                </c:pt>
                <c:pt idx="6279">
                  <c:v>39451</c:v>
                </c:pt>
                <c:pt idx="6280">
                  <c:v>39454</c:v>
                </c:pt>
                <c:pt idx="6281">
                  <c:v>39455</c:v>
                </c:pt>
                <c:pt idx="6282">
                  <c:v>39456</c:v>
                </c:pt>
                <c:pt idx="6283">
                  <c:v>39457</c:v>
                </c:pt>
                <c:pt idx="6284">
                  <c:v>39458</c:v>
                </c:pt>
                <c:pt idx="6285">
                  <c:v>39461</c:v>
                </c:pt>
                <c:pt idx="6286">
                  <c:v>39462</c:v>
                </c:pt>
                <c:pt idx="6287">
                  <c:v>39463</c:v>
                </c:pt>
                <c:pt idx="6288">
                  <c:v>39464</c:v>
                </c:pt>
                <c:pt idx="6289">
                  <c:v>39465</c:v>
                </c:pt>
                <c:pt idx="6290">
                  <c:v>39468</c:v>
                </c:pt>
                <c:pt idx="6291">
                  <c:v>39469</c:v>
                </c:pt>
                <c:pt idx="6292">
                  <c:v>39470</c:v>
                </c:pt>
                <c:pt idx="6293">
                  <c:v>39471</c:v>
                </c:pt>
                <c:pt idx="6294">
                  <c:v>39472</c:v>
                </c:pt>
                <c:pt idx="6295">
                  <c:v>39475</c:v>
                </c:pt>
                <c:pt idx="6296">
                  <c:v>39476</c:v>
                </c:pt>
                <c:pt idx="6297">
                  <c:v>39477</c:v>
                </c:pt>
                <c:pt idx="6298">
                  <c:v>39478</c:v>
                </c:pt>
                <c:pt idx="6299">
                  <c:v>39479</c:v>
                </c:pt>
                <c:pt idx="6300">
                  <c:v>39482</c:v>
                </c:pt>
                <c:pt idx="6301">
                  <c:v>39483</c:v>
                </c:pt>
                <c:pt idx="6302">
                  <c:v>39484</c:v>
                </c:pt>
                <c:pt idx="6303">
                  <c:v>39485</c:v>
                </c:pt>
                <c:pt idx="6304">
                  <c:v>39486</c:v>
                </c:pt>
                <c:pt idx="6305">
                  <c:v>39489</c:v>
                </c:pt>
                <c:pt idx="6306">
                  <c:v>39490</c:v>
                </c:pt>
                <c:pt idx="6307">
                  <c:v>39491</c:v>
                </c:pt>
                <c:pt idx="6308">
                  <c:v>39492</c:v>
                </c:pt>
                <c:pt idx="6309">
                  <c:v>39493</c:v>
                </c:pt>
                <c:pt idx="6310">
                  <c:v>39496</c:v>
                </c:pt>
                <c:pt idx="6311">
                  <c:v>39497</c:v>
                </c:pt>
                <c:pt idx="6312">
                  <c:v>39498</c:v>
                </c:pt>
                <c:pt idx="6313">
                  <c:v>39499</c:v>
                </c:pt>
                <c:pt idx="6314">
                  <c:v>39500</c:v>
                </c:pt>
                <c:pt idx="6315">
                  <c:v>39503</c:v>
                </c:pt>
                <c:pt idx="6316">
                  <c:v>39504</c:v>
                </c:pt>
                <c:pt idx="6317">
                  <c:v>39505</c:v>
                </c:pt>
                <c:pt idx="6318">
                  <c:v>39506</c:v>
                </c:pt>
                <c:pt idx="6319">
                  <c:v>39507</c:v>
                </c:pt>
                <c:pt idx="6320">
                  <c:v>39510</c:v>
                </c:pt>
                <c:pt idx="6321">
                  <c:v>39511</c:v>
                </c:pt>
                <c:pt idx="6322">
                  <c:v>39512</c:v>
                </c:pt>
                <c:pt idx="6323">
                  <c:v>39513</c:v>
                </c:pt>
                <c:pt idx="6324">
                  <c:v>39514</c:v>
                </c:pt>
                <c:pt idx="6325">
                  <c:v>39517</c:v>
                </c:pt>
                <c:pt idx="6326">
                  <c:v>39518</c:v>
                </c:pt>
                <c:pt idx="6327">
                  <c:v>39519</c:v>
                </c:pt>
                <c:pt idx="6328">
                  <c:v>39520</c:v>
                </c:pt>
                <c:pt idx="6329">
                  <c:v>39521</c:v>
                </c:pt>
                <c:pt idx="6330">
                  <c:v>39524</c:v>
                </c:pt>
                <c:pt idx="6331">
                  <c:v>39525</c:v>
                </c:pt>
                <c:pt idx="6332">
                  <c:v>39526</c:v>
                </c:pt>
                <c:pt idx="6333">
                  <c:v>39527</c:v>
                </c:pt>
                <c:pt idx="6334">
                  <c:v>39528</c:v>
                </c:pt>
                <c:pt idx="6335">
                  <c:v>39531</c:v>
                </c:pt>
                <c:pt idx="6336">
                  <c:v>39532</c:v>
                </c:pt>
                <c:pt idx="6337">
                  <c:v>39533</c:v>
                </c:pt>
                <c:pt idx="6338">
                  <c:v>39534</c:v>
                </c:pt>
                <c:pt idx="6339">
                  <c:v>39535</c:v>
                </c:pt>
                <c:pt idx="6340">
                  <c:v>39538</c:v>
                </c:pt>
                <c:pt idx="6341">
                  <c:v>39539</c:v>
                </c:pt>
                <c:pt idx="6342">
                  <c:v>39540</c:v>
                </c:pt>
                <c:pt idx="6343">
                  <c:v>39541</c:v>
                </c:pt>
                <c:pt idx="6344">
                  <c:v>39542</c:v>
                </c:pt>
                <c:pt idx="6345">
                  <c:v>39545</c:v>
                </c:pt>
                <c:pt idx="6346">
                  <c:v>39546</c:v>
                </c:pt>
                <c:pt idx="6347">
                  <c:v>39547</c:v>
                </c:pt>
                <c:pt idx="6348">
                  <c:v>39548</c:v>
                </c:pt>
                <c:pt idx="6349">
                  <c:v>39549</c:v>
                </c:pt>
                <c:pt idx="6350">
                  <c:v>39552</c:v>
                </c:pt>
                <c:pt idx="6351">
                  <c:v>39553</c:v>
                </c:pt>
                <c:pt idx="6352">
                  <c:v>39554</c:v>
                </c:pt>
                <c:pt idx="6353">
                  <c:v>39555</c:v>
                </c:pt>
                <c:pt idx="6354">
                  <c:v>39556</c:v>
                </c:pt>
                <c:pt idx="6355">
                  <c:v>39559</c:v>
                </c:pt>
                <c:pt idx="6356">
                  <c:v>39560</c:v>
                </c:pt>
                <c:pt idx="6357">
                  <c:v>39561</c:v>
                </c:pt>
                <c:pt idx="6358">
                  <c:v>39562</c:v>
                </c:pt>
                <c:pt idx="6359">
                  <c:v>39563</c:v>
                </c:pt>
                <c:pt idx="6360">
                  <c:v>39566</c:v>
                </c:pt>
                <c:pt idx="6361">
                  <c:v>39567</c:v>
                </c:pt>
                <c:pt idx="6362">
                  <c:v>39568</c:v>
                </c:pt>
                <c:pt idx="6363">
                  <c:v>39569</c:v>
                </c:pt>
                <c:pt idx="6364">
                  <c:v>39570</c:v>
                </c:pt>
                <c:pt idx="6365">
                  <c:v>39573</c:v>
                </c:pt>
                <c:pt idx="6366">
                  <c:v>39574</c:v>
                </c:pt>
                <c:pt idx="6367">
                  <c:v>39575</c:v>
                </c:pt>
                <c:pt idx="6368">
                  <c:v>39576</c:v>
                </c:pt>
                <c:pt idx="6369">
                  <c:v>39577</c:v>
                </c:pt>
                <c:pt idx="6370">
                  <c:v>39580</c:v>
                </c:pt>
                <c:pt idx="6371">
                  <c:v>39581</c:v>
                </c:pt>
                <c:pt idx="6372">
                  <c:v>39582</c:v>
                </c:pt>
                <c:pt idx="6373">
                  <c:v>39583</c:v>
                </c:pt>
                <c:pt idx="6374">
                  <c:v>39584</c:v>
                </c:pt>
                <c:pt idx="6375">
                  <c:v>39587</c:v>
                </c:pt>
                <c:pt idx="6376">
                  <c:v>39588</c:v>
                </c:pt>
                <c:pt idx="6377">
                  <c:v>39589</c:v>
                </c:pt>
                <c:pt idx="6378">
                  <c:v>39590</c:v>
                </c:pt>
                <c:pt idx="6379">
                  <c:v>39591</c:v>
                </c:pt>
                <c:pt idx="6380">
                  <c:v>39594</c:v>
                </c:pt>
                <c:pt idx="6381">
                  <c:v>39595</c:v>
                </c:pt>
                <c:pt idx="6382">
                  <c:v>39596</c:v>
                </c:pt>
                <c:pt idx="6383">
                  <c:v>39597</c:v>
                </c:pt>
                <c:pt idx="6384">
                  <c:v>39598</c:v>
                </c:pt>
                <c:pt idx="6385">
                  <c:v>39601</c:v>
                </c:pt>
                <c:pt idx="6386">
                  <c:v>39602</c:v>
                </c:pt>
                <c:pt idx="6387">
                  <c:v>39603</c:v>
                </c:pt>
                <c:pt idx="6388">
                  <c:v>39604</c:v>
                </c:pt>
                <c:pt idx="6389">
                  <c:v>39605</c:v>
                </c:pt>
                <c:pt idx="6390">
                  <c:v>39608</c:v>
                </c:pt>
                <c:pt idx="6391">
                  <c:v>39609</c:v>
                </c:pt>
                <c:pt idx="6392">
                  <c:v>39610</c:v>
                </c:pt>
                <c:pt idx="6393">
                  <c:v>39611</c:v>
                </c:pt>
                <c:pt idx="6394">
                  <c:v>39612</c:v>
                </c:pt>
                <c:pt idx="6395">
                  <c:v>39615</c:v>
                </c:pt>
                <c:pt idx="6396">
                  <c:v>39616</c:v>
                </c:pt>
                <c:pt idx="6397">
                  <c:v>39617</c:v>
                </c:pt>
                <c:pt idx="6398">
                  <c:v>39618</c:v>
                </c:pt>
                <c:pt idx="6399">
                  <c:v>39619</c:v>
                </c:pt>
                <c:pt idx="6400">
                  <c:v>39622</c:v>
                </c:pt>
                <c:pt idx="6401">
                  <c:v>39623</c:v>
                </c:pt>
                <c:pt idx="6402">
                  <c:v>39624</c:v>
                </c:pt>
                <c:pt idx="6403">
                  <c:v>39625</c:v>
                </c:pt>
                <c:pt idx="6404">
                  <c:v>39626</c:v>
                </c:pt>
                <c:pt idx="6405">
                  <c:v>39629</c:v>
                </c:pt>
                <c:pt idx="6406">
                  <c:v>39630</c:v>
                </c:pt>
                <c:pt idx="6407">
                  <c:v>39631</c:v>
                </c:pt>
                <c:pt idx="6408">
                  <c:v>39632</c:v>
                </c:pt>
                <c:pt idx="6409">
                  <c:v>39633</c:v>
                </c:pt>
                <c:pt idx="6410">
                  <c:v>39636</c:v>
                </c:pt>
                <c:pt idx="6411">
                  <c:v>39637</c:v>
                </c:pt>
                <c:pt idx="6412">
                  <c:v>39638</c:v>
                </c:pt>
                <c:pt idx="6413">
                  <c:v>39639</c:v>
                </c:pt>
                <c:pt idx="6414">
                  <c:v>39640</c:v>
                </c:pt>
                <c:pt idx="6415">
                  <c:v>39643</c:v>
                </c:pt>
                <c:pt idx="6416">
                  <c:v>39644</c:v>
                </c:pt>
                <c:pt idx="6417">
                  <c:v>39645</c:v>
                </c:pt>
                <c:pt idx="6418">
                  <c:v>39646</c:v>
                </c:pt>
                <c:pt idx="6419">
                  <c:v>39647</c:v>
                </c:pt>
                <c:pt idx="6420">
                  <c:v>39650</c:v>
                </c:pt>
                <c:pt idx="6421">
                  <c:v>39651</c:v>
                </c:pt>
                <c:pt idx="6422">
                  <c:v>39652</c:v>
                </c:pt>
                <c:pt idx="6423">
                  <c:v>39653</c:v>
                </c:pt>
                <c:pt idx="6424">
                  <c:v>39654</c:v>
                </c:pt>
                <c:pt idx="6425">
                  <c:v>39657</c:v>
                </c:pt>
                <c:pt idx="6426">
                  <c:v>39658</c:v>
                </c:pt>
                <c:pt idx="6427">
                  <c:v>39659</c:v>
                </c:pt>
                <c:pt idx="6428">
                  <c:v>39660</c:v>
                </c:pt>
                <c:pt idx="6429">
                  <c:v>39661</c:v>
                </c:pt>
                <c:pt idx="6430">
                  <c:v>39664</c:v>
                </c:pt>
                <c:pt idx="6431">
                  <c:v>39665</c:v>
                </c:pt>
                <c:pt idx="6432">
                  <c:v>39666</c:v>
                </c:pt>
                <c:pt idx="6433">
                  <c:v>39667</c:v>
                </c:pt>
                <c:pt idx="6434">
                  <c:v>39668</c:v>
                </c:pt>
                <c:pt idx="6435">
                  <c:v>39671</c:v>
                </c:pt>
                <c:pt idx="6436">
                  <c:v>39672</c:v>
                </c:pt>
                <c:pt idx="6437">
                  <c:v>39673</c:v>
                </c:pt>
                <c:pt idx="6438">
                  <c:v>39674</c:v>
                </c:pt>
                <c:pt idx="6439">
                  <c:v>39675</c:v>
                </c:pt>
                <c:pt idx="6440">
                  <c:v>39678</c:v>
                </c:pt>
                <c:pt idx="6441">
                  <c:v>39679</c:v>
                </c:pt>
                <c:pt idx="6442">
                  <c:v>39680</c:v>
                </c:pt>
                <c:pt idx="6443">
                  <c:v>39681</c:v>
                </c:pt>
                <c:pt idx="6444">
                  <c:v>39682</c:v>
                </c:pt>
                <c:pt idx="6445">
                  <c:v>39685</c:v>
                </c:pt>
                <c:pt idx="6446">
                  <c:v>39686</c:v>
                </c:pt>
                <c:pt idx="6447">
                  <c:v>39687</c:v>
                </c:pt>
                <c:pt idx="6448">
                  <c:v>39688</c:v>
                </c:pt>
                <c:pt idx="6449">
                  <c:v>39689</c:v>
                </c:pt>
                <c:pt idx="6450">
                  <c:v>39692</c:v>
                </c:pt>
                <c:pt idx="6451">
                  <c:v>39693</c:v>
                </c:pt>
                <c:pt idx="6452">
                  <c:v>39694</c:v>
                </c:pt>
                <c:pt idx="6453">
                  <c:v>39695</c:v>
                </c:pt>
                <c:pt idx="6454">
                  <c:v>39696</c:v>
                </c:pt>
                <c:pt idx="6455">
                  <c:v>39699</c:v>
                </c:pt>
                <c:pt idx="6456">
                  <c:v>39700</c:v>
                </c:pt>
                <c:pt idx="6457">
                  <c:v>39701</c:v>
                </c:pt>
                <c:pt idx="6458">
                  <c:v>39702</c:v>
                </c:pt>
                <c:pt idx="6459">
                  <c:v>39703</c:v>
                </c:pt>
                <c:pt idx="6460">
                  <c:v>39706</c:v>
                </c:pt>
                <c:pt idx="6461">
                  <c:v>39707</c:v>
                </c:pt>
                <c:pt idx="6462">
                  <c:v>39708</c:v>
                </c:pt>
                <c:pt idx="6463">
                  <c:v>39709</c:v>
                </c:pt>
                <c:pt idx="6464">
                  <c:v>39710</c:v>
                </c:pt>
                <c:pt idx="6465">
                  <c:v>39713</c:v>
                </c:pt>
                <c:pt idx="6466">
                  <c:v>39714</c:v>
                </c:pt>
                <c:pt idx="6467">
                  <c:v>39715</c:v>
                </c:pt>
                <c:pt idx="6468">
                  <c:v>39716</c:v>
                </c:pt>
                <c:pt idx="6469">
                  <c:v>39717</c:v>
                </c:pt>
                <c:pt idx="6470">
                  <c:v>39720</c:v>
                </c:pt>
                <c:pt idx="6471">
                  <c:v>39721</c:v>
                </c:pt>
                <c:pt idx="6472">
                  <c:v>39722</c:v>
                </c:pt>
                <c:pt idx="6473">
                  <c:v>39723</c:v>
                </c:pt>
                <c:pt idx="6474">
                  <c:v>39724</c:v>
                </c:pt>
                <c:pt idx="6475">
                  <c:v>39727</c:v>
                </c:pt>
                <c:pt idx="6476">
                  <c:v>39728</c:v>
                </c:pt>
                <c:pt idx="6477">
                  <c:v>39729</c:v>
                </c:pt>
                <c:pt idx="6478">
                  <c:v>39730</c:v>
                </c:pt>
                <c:pt idx="6479">
                  <c:v>39731</c:v>
                </c:pt>
                <c:pt idx="6480">
                  <c:v>39734</c:v>
                </c:pt>
                <c:pt idx="6481">
                  <c:v>39735</c:v>
                </c:pt>
                <c:pt idx="6482">
                  <c:v>39736</c:v>
                </c:pt>
                <c:pt idx="6483">
                  <c:v>39737</c:v>
                </c:pt>
                <c:pt idx="6484">
                  <c:v>39738</c:v>
                </c:pt>
                <c:pt idx="6485">
                  <c:v>39741</c:v>
                </c:pt>
                <c:pt idx="6486">
                  <c:v>39742</c:v>
                </c:pt>
                <c:pt idx="6487">
                  <c:v>39743</c:v>
                </c:pt>
                <c:pt idx="6488">
                  <c:v>39744</c:v>
                </c:pt>
                <c:pt idx="6489">
                  <c:v>39745</c:v>
                </c:pt>
                <c:pt idx="6490">
                  <c:v>39748</c:v>
                </c:pt>
                <c:pt idx="6491">
                  <c:v>39749</c:v>
                </c:pt>
                <c:pt idx="6492">
                  <c:v>39750</c:v>
                </c:pt>
                <c:pt idx="6493">
                  <c:v>39751</c:v>
                </c:pt>
                <c:pt idx="6494">
                  <c:v>39752</c:v>
                </c:pt>
                <c:pt idx="6495">
                  <c:v>39755</c:v>
                </c:pt>
                <c:pt idx="6496">
                  <c:v>39756</c:v>
                </c:pt>
                <c:pt idx="6497">
                  <c:v>39757</c:v>
                </c:pt>
                <c:pt idx="6498">
                  <c:v>39758</c:v>
                </c:pt>
                <c:pt idx="6499">
                  <c:v>39759</c:v>
                </c:pt>
                <c:pt idx="6500">
                  <c:v>39762</c:v>
                </c:pt>
                <c:pt idx="6501">
                  <c:v>39763</c:v>
                </c:pt>
                <c:pt idx="6502">
                  <c:v>39764</c:v>
                </c:pt>
                <c:pt idx="6503">
                  <c:v>39765</c:v>
                </c:pt>
                <c:pt idx="6504">
                  <c:v>39766</c:v>
                </c:pt>
                <c:pt idx="6505">
                  <c:v>39769</c:v>
                </c:pt>
                <c:pt idx="6506">
                  <c:v>39770</c:v>
                </c:pt>
                <c:pt idx="6507">
                  <c:v>39771</c:v>
                </c:pt>
                <c:pt idx="6508">
                  <c:v>39772</c:v>
                </c:pt>
                <c:pt idx="6509">
                  <c:v>39773</c:v>
                </c:pt>
                <c:pt idx="6510">
                  <c:v>39776</c:v>
                </c:pt>
                <c:pt idx="6511">
                  <c:v>39777</c:v>
                </c:pt>
                <c:pt idx="6512">
                  <c:v>39778</c:v>
                </c:pt>
                <c:pt idx="6513">
                  <c:v>39779</c:v>
                </c:pt>
                <c:pt idx="6514">
                  <c:v>39780</c:v>
                </c:pt>
                <c:pt idx="6515">
                  <c:v>39783</c:v>
                </c:pt>
                <c:pt idx="6516">
                  <c:v>39784</c:v>
                </c:pt>
                <c:pt idx="6517">
                  <c:v>39785</c:v>
                </c:pt>
                <c:pt idx="6518">
                  <c:v>39786</c:v>
                </c:pt>
                <c:pt idx="6519">
                  <c:v>39787</c:v>
                </c:pt>
                <c:pt idx="6520">
                  <c:v>39790</c:v>
                </c:pt>
                <c:pt idx="6521">
                  <c:v>39791</c:v>
                </c:pt>
                <c:pt idx="6522">
                  <c:v>39792</c:v>
                </c:pt>
                <c:pt idx="6523">
                  <c:v>39793</c:v>
                </c:pt>
                <c:pt idx="6524">
                  <c:v>39794</c:v>
                </c:pt>
                <c:pt idx="6525">
                  <c:v>39797</c:v>
                </c:pt>
                <c:pt idx="6526">
                  <c:v>39798</c:v>
                </c:pt>
                <c:pt idx="6527">
                  <c:v>39799</c:v>
                </c:pt>
                <c:pt idx="6528">
                  <c:v>39800</c:v>
                </c:pt>
                <c:pt idx="6529">
                  <c:v>39801</c:v>
                </c:pt>
                <c:pt idx="6530">
                  <c:v>39804</c:v>
                </c:pt>
                <c:pt idx="6531">
                  <c:v>39805</c:v>
                </c:pt>
                <c:pt idx="6532">
                  <c:v>39806</c:v>
                </c:pt>
                <c:pt idx="6533">
                  <c:v>39807</c:v>
                </c:pt>
                <c:pt idx="6534">
                  <c:v>39808</c:v>
                </c:pt>
                <c:pt idx="6535">
                  <c:v>39811</c:v>
                </c:pt>
                <c:pt idx="6536">
                  <c:v>39812</c:v>
                </c:pt>
                <c:pt idx="6537">
                  <c:v>39813</c:v>
                </c:pt>
                <c:pt idx="6538">
                  <c:v>39814</c:v>
                </c:pt>
                <c:pt idx="6539">
                  <c:v>39815</c:v>
                </c:pt>
                <c:pt idx="6540">
                  <c:v>39818</c:v>
                </c:pt>
                <c:pt idx="6541">
                  <c:v>39819</c:v>
                </c:pt>
                <c:pt idx="6542">
                  <c:v>39820</c:v>
                </c:pt>
                <c:pt idx="6543">
                  <c:v>39821</c:v>
                </c:pt>
                <c:pt idx="6544">
                  <c:v>39822</c:v>
                </c:pt>
                <c:pt idx="6545">
                  <c:v>39825</c:v>
                </c:pt>
                <c:pt idx="6546">
                  <c:v>39826</c:v>
                </c:pt>
                <c:pt idx="6547">
                  <c:v>39827</c:v>
                </c:pt>
                <c:pt idx="6548">
                  <c:v>39828</c:v>
                </c:pt>
                <c:pt idx="6549">
                  <c:v>39829</c:v>
                </c:pt>
                <c:pt idx="6550">
                  <c:v>39832</c:v>
                </c:pt>
                <c:pt idx="6551">
                  <c:v>39833</c:v>
                </c:pt>
                <c:pt idx="6552">
                  <c:v>39834</c:v>
                </c:pt>
                <c:pt idx="6553">
                  <c:v>39835</c:v>
                </c:pt>
                <c:pt idx="6554">
                  <c:v>39836</c:v>
                </c:pt>
                <c:pt idx="6555">
                  <c:v>39839</c:v>
                </c:pt>
                <c:pt idx="6556">
                  <c:v>39840</c:v>
                </c:pt>
                <c:pt idx="6557">
                  <c:v>39841</c:v>
                </c:pt>
                <c:pt idx="6558">
                  <c:v>39842</c:v>
                </c:pt>
                <c:pt idx="6559">
                  <c:v>39843</c:v>
                </c:pt>
                <c:pt idx="6560">
                  <c:v>39846</c:v>
                </c:pt>
                <c:pt idx="6561">
                  <c:v>39847</c:v>
                </c:pt>
                <c:pt idx="6562">
                  <c:v>39848</c:v>
                </c:pt>
                <c:pt idx="6563">
                  <c:v>39849</c:v>
                </c:pt>
                <c:pt idx="6564">
                  <c:v>39850</c:v>
                </c:pt>
                <c:pt idx="6565">
                  <c:v>39853</c:v>
                </c:pt>
                <c:pt idx="6566">
                  <c:v>39854</c:v>
                </c:pt>
                <c:pt idx="6567">
                  <c:v>39855</c:v>
                </c:pt>
                <c:pt idx="6568">
                  <c:v>39856</c:v>
                </c:pt>
                <c:pt idx="6569">
                  <c:v>39857</c:v>
                </c:pt>
                <c:pt idx="6570">
                  <c:v>39860</c:v>
                </c:pt>
                <c:pt idx="6571">
                  <c:v>39861</c:v>
                </c:pt>
                <c:pt idx="6572">
                  <c:v>39862</c:v>
                </c:pt>
                <c:pt idx="6573">
                  <c:v>39863</c:v>
                </c:pt>
                <c:pt idx="6574">
                  <c:v>39864</c:v>
                </c:pt>
                <c:pt idx="6575">
                  <c:v>39867</c:v>
                </c:pt>
                <c:pt idx="6576">
                  <c:v>39868</c:v>
                </c:pt>
                <c:pt idx="6577">
                  <c:v>39869</c:v>
                </c:pt>
                <c:pt idx="6578">
                  <c:v>39870</c:v>
                </c:pt>
                <c:pt idx="6579">
                  <c:v>39871</c:v>
                </c:pt>
                <c:pt idx="6580">
                  <c:v>39874</c:v>
                </c:pt>
                <c:pt idx="6581">
                  <c:v>39875</c:v>
                </c:pt>
                <c:pt idx="6582">
                  <c:v>39876</c:v>
                </c:pt>
                <c:pt idx="6583">
                  <c:v>39877</c:v>
                </c:pt>
                <c:pt idx="6584">
                  <c:v>39878</c:v>
                </c:pt>
                <c:pt idx="6585">
                  <c:v>39881</c:v>
                </c:pt>
                <c:pt idx="6586">
                  <c:v>39882</c:v>
                </c:pt>
                <c:pt idx="6587">
                  <c:v>39883</c:v>
                </c:pt>
                <c:pt idx="6588">
                  <c:v>39884</c:v>
                </c:pt>
                <c:pt idx="6589">
                  <c:v>39885</c:v>
                </c:pt>
                <c:pt idx="6590">
                  <c:v>39888</c:v>
                </c:pt>
                <c:pt idx="6591">
                  <c:v>39889</c:v>
                </c:pt>
                <c:pt idx="6592">
                  <c:v>39890</c:v>
                </c:pt>
                <c:pt idx="6593">
                  <c:v>39891</c:v>
                </c:pt>
                <c:pt idx="6594">
                  <c:v>39892</c:v>
                </c:pt>
                <c:pt idx="6595">
                  <c:v>39895</c:v>
                </c:pt>
                <c:pt idx="6596">
                  <c:v>39896</c:v>
                </c:pt>
                <c:pt idx="6597">
                  <c:v>39897</c:v>
                </c:pt>
                <c:pt idx="6598">
                  <c:v>39898</c:v>
                </c:pt>
                <c:pt idx="6599">
                  <c:v>39899</c:v>
                </c:pt>
                <c:pt idx="6600">
                  <c:v>39902</c:v>
                </c:pt>
                <c:pt idx="6601">
                  <c:v>39903</c:v>
                </c:pt>
                <c:pt idx="6602">
                  <c:v>39904</c:v>
                </c:pt>
                <c:pt idx="6603">
                  <c:v>39905</c:v>
                </c:pt>
                <c:pt idx="6604">
                  <c:v>39906</c:v>
                </c:pt>
                <c:pt idx="6605">
                  <c:v>39909</c:v>
                </c:pt>
                <c:pt idx="6606">
                  <c:v>39910</c:v>
                </c:pt>
                <c:pt idx="6607">
                  <c:v>39911</c:v>
                </c:pt>
                <c:pt idx="6608">
                  <c:v>39912</c:v>
                </c:pt>
                <c:pt idx="6609">
                  <c:v>39913</c:v>
                </c:pt>
                <c:pt idx="6610">
                  <c:v>39916</c:v>
                </c:pt>
                <c:pt idx="6611">
                  <c:v>39917</c:v>
                </c:pt>
                <c:pt idx="6612">
                  <c:v>39918</c:v>
                </c:pt>
                <c:pt idx="6613">
                  <c:v>39919</c:v>
                </c:pt>
                <c:pt idx="6614">
                  <c:v>39920</c:v>
                </c:pt>
                <c:pt idx="6615">
                  <c:v>39923</c:v>
                </c:pt>
                <c:pt idx="6616">
                  <c:v>39924</c:v>
                </c:pt>
                <c:pt idx="6617">
                  <c:v>39925</c:v>
                </c:pt>
                <c:pt idx="6618">
                  <c:v>39926</c:v>
                </c:pt>
                <c:pt idx="6619">
                  <c:v>39927</c:v>
                </c:pt>
                <c:pt idx="6620">
                  <c:v>39930</c:v>
                </c:pt>
                <c:pt idx="6621">
                  <c:v>39931</c:v>
                </c:pt>
                <c:pt idx="6622">
                  <c:v>39932</c:v>
                </c:pt>
                <c:pt idx="6623">
                  <c:v>39933</c:v>
                </c:pt>
                <c:pt idx="6624">
                  <c:v>39934</c:v>
                </c:pt>
                <c:pt idx="6625">
                  <c:v>39937</c:v>
                </c:pt>
                <c:pt idx="6626">
                  <c:v>39938</c:v>
                </c:pt>
                <c:pt idx="6627">
                  <c:v>39939</c:v>
                </c:pt>
                <c:pt idx="6628">
                  <c:v>39940</c:v>
                </c:pt>
                <c:pt idx="6629">
                  <c:v>39941</c:v>
                </c:pt>
                <c:pt idx="6630">
                  <c:v>39944</c:v>
                </c:pt>
                <c:pt idx="6631">
                  <c:v>39945</c:v>
                </c:pt>
                <c:pt idx="6632">
                  <c:v>39946</c:v>
                </c:pt>
                <c:pt idx="6633">
                  <c:v>39947</c:v>
                </c:pt>
                <c:pt idx="6634">
                  <c:v>39948</c:v>
                </c:pt>
                <c:pt idx="6635">
                  <c:v>39951</c:v>
                </c:pt>
                <c:pt idx="6636">
                  <c:v>39952</c:v>
                </c:pt>
                <c:pt idx="6637">
                  <c:v>39953</c:v>
                </c:pt>
                <c:pt idx="6638">
                  <c:v>39954</c:v>
                </c:pt>
                <c:pt idx="6639">
                  <c:v>39955</c:v>
                </c:pt>
                <c:pt idx="6640">
                  <c:v>39958</c:v>
                </c:pt>
                <c:pt idx="6641">
                  <c:v>39959</c:v>
                </c:pt>
                <c:pt idx="6642">
                  <c:v>39960</c:v>
                </c:pt>
                <c:pt idx="6643">
                  <c:v>39961</c:v>
                </c:pt>
                <c:pt idx="6644">
                  <c:v>39962</c:v>
                </c:pt>
                <c:pt idx="6645">
                  <c:v>39965</c:v>
                </c:pt>
                <c:pt idx="6646">
                  <c:v>39966</c:v>
                </c:pt>
                <c:pt idx="6647">
                  <c:v>39967</c:v>
                </c:pt>
                <c:pt idx="6648">
                  <c:v>39968</c:v>
                </c:pt>
                <c:pt idx="6649">
                  <c:v>39969</c:v>
                </c:pt>
                <c:pt idx="6650">
                  <c:v>39972</c:v>
                </c:pt>
                <c:pt idx="6651">
                  <c:v>39973</c:v>
                </c:pt>
                <c:pt idx="6652">
                  <c:v>39974</c:v>
                </c:pt>
                <c:pt idx="6653">
                  <c:v>39975</c:v>
                </c:pt>
                <c:pt idx="6654">
                  <c:v>39976</c:v>
                </c:pt>
                <c:pt idx="6655">
                  <c:v>39979</c:v>
                </c:pt>
                <c:pt idx="6656">
                  <c:v>39980</c:v>
                </c:pt>
                <c:pt idx="6657">
                  <c:v>39981</c:v>
                </c:pt>
                <c:pt idx="6658">
                  <c:v>39982</c:v>
                </c:pt>
                <c:pt idx="6659">
                  <c:v>39983</c:v>
                </c:pt>
                <c:pt idx="6660">
                  <c:v>39986</c:v>
                </c:pt>
                <c:pt idx="6661">
                  <c:v>39987</c:v>
                </c:pt>
                <c:pt idx="6662">
                  <c:v>39988</c:v>
                </c:pt>
                <c:pt idx="6663">
                  <c:v>39989</c:v>
                </c:pt>
                <c:pt idx="6664">
                  <c:v>39990</c:v>
                </c:pt>
                <c:pt idx="6665">
                  <c:v>39993</c:v>
                </c:pt>
                <c:pt idx="6666">
                  <c:v>39994</c:v>
                </c:pt>
                <c:pt idx="6667">
                  <c:v>39995</c:v>
                </c:pt>
                <c:pt idx="6668">
                  <c:v>39996</c:v>
                </c:pt>
                <c:pt idx="6669">
                  <c:v>39997</c:v>
                </c:pt>
                <c:pt idx="6670">
                  <c:v>40000</c:v>
                </c:pt>
                <c:pt idx="6671">
                  <c:v>40001</c:v>
                </c:pt>
                <c:pt idx="6672">
                  <c:v>40002</c:v>
                </c:pt>
                <c:pt idx="6673">
                  <c:v>40003</c:v>
                </c:pt>
                <c:pt idx="6674">
                  <c:v>40004</c:v>
                </c:pt>
                <c:pt idx="6675">
                  <c:v>40007</c:v>
                </c:pt>
                <c:pt idx="6676">
                  <c:v>40008</c:v>
                </c:pt>
                <c:pt idx="6677">
                  <c:v>40009</c:v>
                </c:pt>
                <c:pt idx="6678">
                  <c:v>40010</c:v>
                </c:pt>
                <c:pt idx="6679">
                  <c:v>40011</c:v>
                </c:pt>
                <c:pt idx="6680">
                  <c:v>40014</c:v>
                </c:pt>
                <c:pt idx="6681">
                  <c:v>40015</c:v>
                </c:pt>
                <c:pt idx="6682">
                  <c:v>40016</c:v>
                </c:pt>
                <c:pt idx="6683">
                  <c:v>40017</c:v>
                </c:pt>
                <c:pt idx="6684">
                  <c:v>40018</c:v>
                </c:pt>
                <c:pt idx="6685">
                  <c:v>40021</c:v>
                </c:pt>
                <c:pt idx="6686">
                  <c:v>40022</c:v>
                </c:pt>
                <c:pt idx="6687">
                  <c:v>40023</c:v>
                </c:pt>
                <c:pt idx="6688">
                  <c:v>40024</c:v>
                </c:pt>
                <c:pt idx="6689">
                  <c:v>40025</c:v>
                </c:pt>
                <c:pt idx="6690">
                  <c:v>40028</c:v>
                </c:pt>
                <c:pt idx="6691">
                  <c:v>40029</c:v>
                </c:pt>
                <c:pt idx="6692">
                  <c:v>40030</c:v>
                </c:pt>
                <c:pt idx="6693">
                  <c:v>40031</c:v>
                </c:pt>
                <c:pt idx="6694">
                  <c:v>40032</c:v>
                </c:pt>
                <c:pt idx="6695">
                  <c:v>40035</c:v>
                </c:pt>
                <c:pt idx="6696">
                  <c:v>40036</c:v>
                </c:pt>
                <c:pt idx="6697">
                  <c:v>40037</c:v>
                </c:pt>
                <c:pt idx="6698">
                  <c:v>40038</c:v>
                </c:pt>
                <c:pt idx="6699">
                  <c:v>40039</c:v>
                </c:pt>
                <c:pt idx="6700">
                  <c:v>40042</c:v>
                </c:pt>
                <c:pt idx="6701">
                  <c:v>40043</c:v>
                </c:pt>
                <c:pt idx="6702">
                  <c:v>40044</c:v>
                </c:pt>
                <c:pt idx="6703">
                  <c:v>40045</c:v>
                </c:pt>
                <c:pt idx="6704">
                  <c:v>40046</c:v>
                </c:pt>
                <c:pt idx="6705">
                  <c:v>40049</c:v>
                </c:pt>
                <c:pt idx="6706">
                  <c:v>40050</c:v>
                </c:pt>
                <c:pt idx="6707">
                  <c:v>40051</c:v>
                </c:pt>
                <c:pt idx="6708">
                  <c:v>40052</c:v>
                </c:pt>
                <c:pt idx="6709">
                  <c:v>40053</c:v>
                </c:pt>
                <c:pt idx="6710">
                  <c:v>40056</c:v>
                </c:pt>
                <c:pt idx="6711">
                  <c:v>40057</c:v>
                </c:pt>
                <c:pt idx="6712">
                  <c:v>40058</c:v>
                </c:pt>
                <c:pt idx="6713">
                  <c:v>40059</c:v>
                </c:pt>
                <c:pt idx="6714">
                  <c:v>40060</c:v>
                </c:pt>
                <c:pt idx="6715">
                  <c:v>40063</c:v>
                </c:pt>
                <c:pt idx="6716">
                  <c:v>40064</c:v>
                </c:pt>
                <c:pt idx="6717">
                  <c:v>40065</c:v>
                </c:pt>
                <c:pt idx="6718">
                  <c:v>40066</c:v>
                </c:pt>
                <c:pt idx="6719">
                  <c:v>40067</c:v>
                </c:pt>
                <c:pt idx="6720">
                  <c:v>40070</c:v>
                </c:pt>
                <c:pt idx="6721">
                  <c:v>40071</c:v>
                </c:pt>
                <c:pt idx="6722">
                  <c:v>40072</c:v>
                </c:pt>
                <c:pt idx="6723">
                  <c:v>40073</c:v>
                </c:pt>
                <c:pt idx="6724">
                  <c:v>40074</c:v>
                </c:pt>
                <c:pt idx="6725">
                  <c:v>40077</c:v>
                </c:pt>
                <c:pt idx="6726">
                  <c:v>40078</c:v>
                </c:pt>
                <c:pt idx="6727">
                  <c:v>40079</c:v>
                </c:pt>
                <c:pt idx="6728">
                  <c:v>40080</c:v>
                </c:pt>
                <c:pt idx="6729">
                  <c:v>40081</c:v>
                </c:pt>
                <c:pt idx="6730">
                  <c:v>40084</c:v>
                </c:pt>
                <c:pt idx="6731">
                  <c:v>40085</c:v>
                </c:pt>
                <c:pt idx="6732">
                  <c:v>40086</c:v>
                </c:pt>
                <c:pt idx="6733">
                  <c:v>40087</c:v>
                </c:pt>
                <c:pt idx="6734">
                  <c:v>40088</c:v>
                </c:pt>
                <c:pt idx="6735">
                  <c:v>40091</c:v>
                </c:pt>
                <c:pt idx="6736">
                  <c:v>40092</c:v>
                </c:pt>
                <c:pt idx="6737">
                  <c:v>40093</c:v>
                </c:pt>
                <c:pt idx="6738">
                  <c:v>40094</c:v>
                </c:pt>
                <c:pt idx="6739">
                  <c:v>40095</c:v>
                </c:pt>
                <c:pt idx="6740">
                  <c:v>40098</c:v>
                </c:pt>
                <c:pt idx="6741">
                  <c:v>40099</c:v>
                </c:pt>
                <c:pt idx="6742">
                  <c:v>40100</c:v>
                </c:pt>
                <c:pt idx="6743">
                  <c:v>40101</c:v>
                </c:pt>
                <c:pt idx="6744">
                  <c:v>40102</c:v>
                </c:pt>
                <c:pt idx="6745">
                  <c:v>40105</c:v>
                </c:pt>
                <c:pt idx="6746">
                  <c:v>40106</c:v>
                </c:pt>
                <c:pt idx="6747">
                  <c:v>40107</c:v>
                </c:pt>
                <c:pt idx="6748">
                  <c:v>40108</c:v>
                </c:pt>
                <c:pt idx="6749">
                  <c:v>40109</c:v>
                </c:pt>
                <c:pt idx="6750">
                  <c:v>40112</c:v>
                </c:pt>
                <c:pt idx="6751">
                  <c:v>40113</c:v>
                </c:pt>
                <c:pt idx="6752">
                  <c:v>40114</c:v>
                </c:pt>
                <c:pt idx="6753">
                  <c:v>40115</c:v>
                </c:pt>
                <c:pt idx="6754">
                  <c:v>40116</c:v>
                </c:pt>
                <c:pt idx="6755">
                  <c:v>40119</c:v>
                </c:pt>
                <c:pt idx="6756">
                  <c:v>40120</c:v>
                </c:pt>
                <c:pt idx="6757">
                  <c:v>40121</c:v>
                </c:pt>
                <c:pt idx="6758">
                  <c:v>40122</c:v>
                </c:pt>
                <c:pt idx="6759">
                  <c:v>40123</c:v>
                </c:pt>
                <c:pt idx="6760">
                  <c:v>40126</c:v>
                </c:pt>
                <c:pt idx="6761">
                  <c:v>40127</c:v>
                </c:pt>
                <c:pt idx="6762">
                  <c:v>40128</c:v>
                </c:pt>
                <c:pt idx="6763">
                  <c:v>40129</c:v>
                </c:pt>
                <c:pt idx="6764">
                  <c:v>40130</c:v>
                </c:pt>
                <c:pt idx="6765">
                  <c:v>40133</c:v>
                </c:pt>
                <c:pt idx="6766">
                  <c:v>40134</c:v>
                </c:pt>
                <c:pt idx="6767">
                  <c:v>40135</c:v>
                </c:pt>
                <c:pt idx="6768">
                  <c:v>40136</c:v>
                </c:pt>
                <c:pt idx="6769">
                  <c:v>40137</c:v>
                </c:pt>
                <c:pt idx="6770">
                  <c:v>40140</c:v>
                </c:pt>
                <c:pt idx="6771">
                  <c:v>40141</c:v>
                </c:pt>
                <c:pt idx="6772">
                  <c:v>40142</c:v>
                </c:pt>
                <c:pt idx="6773">
                  <c:v>40143</c:v>
                </c:pt>
                <c:pt idx="6774">
                  <c:v>40144</c:v>
                </c:pt>
                <c:pt idx="6775">
                  <c:v>40147</c:v>
                </c:pt>
                <c:pt idx="6776">
                  <c:v>40148</c:v>
                </c:pt>
                <c:pt idx="6777">
                  <c:v>40149</c:v>
                </c:pt>
                <c:pt idx="6778">
                  <c:v>40150</c:v>
                </c:pt>
                <c:pt idx="6779">
                  <c:v>40151</c:v>
                </c:pt>
                <c:pt idx="6780">
                  <c:v>40154</c:v>
                </c:pt>
                <c:pt idx="6781">
                  <c:v>40155</c:v>
                </c:pt>
                <c:pt idx="6782">
                  <c:v>40156</c:v>
                </c:pt>
                <c:pt idx="6783">
                  <c:v>40157</c:v>
                </c:pt>
                <c:pt idx="6784">
                  <c:v>40158</c:v>
                </c:pt>
                <c:pt idx="6785">
                  <c:v>40161</c:v>
                </c:pt>
                <c:pt idx="6786">
                  <c:v>40162</c:v>
                </c:pt>
                <c:pt idx="6787">
                  <c:v>40163</c:v>
                </c:pt>
                <c:pt idx="6788">
                  <c:v>40164</c:v>
                </c:pt>
                <c:pt idx="6789">
                  <c:v>40165</c:v>
                </c:pt>
                <c:pt idx="6790">
                  <c:v>40168</c:v>
                </c:pt>
                <c:pt idx="6791">
                  <c:v>40169</c:v>
                </c:pt>
                <c:pt idx="6792">
                  <c:v>40170</c:v>
                </c:pt>
                <c:pt idx="6793">
                  <c:v>40171</c:v>
                </c:pt>
                <c:pt idx="6794">
                  <c:v>40172</c:v>
                </c:pt>
                <c:pt idx="6795">
                  <c:v>40175</c:v>
                </c:pt>
                <c:pt idx="6796">
                  <c:v>40176</c:v>
                </c:pt>
                <c:pt idx="6797">
                  <c:v>40177</c:v>
                </c:pt>
                <c:pt idx="6798">
                  <c:v>40178</c:v>
                </c:pt>
                <c:pt idx="6799">
                  <c:v>40179</c:v>
                </c:pt>
                <c:pt idx="6800">
                  <c:v>40182</c:v>
                </c:pt>
                <c:pt idx="6801">
                  <c:v>40183</c:v>
                </c:pt>
                <c:pt idx="6802">
                  <c:v>40184</c:v>
                </c:pt>
                <c:pt idx="6803">
                  <c:v>40185</c:v>
                </c:pt>
                <c:pt idx="6804">
                  <c:v>40186</c:v>
                </c:pt>
                <c:pt idx="6805">
                  <c:v>40189</c:v>
                </c:pt>
                <c:pt idx="6806">
                  <c:v>40190</c:v>
                </c:pt>
                <c:pt idx="6807">
                  <c:v>40191</c:v>
                </c:pt>
                <c:pt idx="6808">
                  <c:v>40192</c:v>
                </c:pt>
                <c:pt idx="6809">
                  <c:v>40193</c:v>
                </c:pt>
                <c:pt idx="6810">
                  <c:v>40196</c:v>
                </c:pt>
                <c:pt idx="6811">
                  <c:v>40197</c:v>
                </c:pt>
                <c:pt idx="6812">
                  <c:v>40198</c:v>
                </c:pt>
                <c:pt idx="6813">
                  <c:v>40199</c:v>
                </c:pt>
                <c:pt idx="6814">
                  <c:v>40200</c:v>
                </c:pt>
                <c:pt idx="6815">
                  <c:v>40203</c:v>
                </c:pt>
                <c:pt idx="6816">
                  <c:v>40204</c:v>
                </c:pt>
                <c:pt idx="6817">
                  <c:v>40205</c:v>
                </c:pt>
                <c:pt idx="6818">
                  <c:v>40206</c:v>
                </c:pt>
                <c:pt idx="6819">
                  <c:v>40207</c:v>
                </c:pt>
                <c:pt idx="6820">
                  <c:v>40210</c:v>
                </c:pt>
                <c:pt idx="6821">
                  <c:v>40211</c:v>
                </c:pt>
                <c:pt idx="6822">
                  <c:v>40212</c:v>
                </c:pt>
                <c:pt idx="6823">
                  <c:v>40213</c:v>
                </c:pt>
                <c:pt idx="6824">
                  <c:v>40214</c:v>
                </c:pt>
                <c:pt idx="6825">
                  <c:v>40217</c:v>
                </c:pt>
                <c:pt idx="6826">
                  <c:v>40218</c:v>
                </c:pt>
                <c:pt idx="6827">
                  <c:v>40219</c:v>
                </c:pt>
                <c:pt idx="6828">
                  <c:v>40220</c:v>
                </c:pt>
                <c:pt idx="6829">
                  <c:v>40221</c:v>
                </c:pt>
                <c:pt idx="6830">
                  <c:v>40224</c:v>
                </c:pt>
                <c:pt idx="6831">
                  <c:v>40225</c:v>
                </c:pt>
                <c:pt idx="6832">
                  <c:v>40226</c:v>
                </c:pt>
                <c:pt idx="6833">
                  <c:v>40227</c:v>
                </c:pt>
                <c:pt idx="6834">
                  <c:v>40228</c:v>
                </c:pt>
                <c:pt idx="6835">
                  <c:v>40231</c:v>
                </c:pt>
                <c:pt idx="6836">
                  <c:v>40232</c:v>
                </c:pt>
                <c:pt idx="6837">
                  <c:v>40233</c:v>
                </c:pt>
                <c:pt idx="6838">
                  <c:v>40234</c:v>
                </c:pt>
                <c:pt idx="6839">
                  <c:v>40235</c:v>
                </c:pt>
                <c:pt idx="6840">
                  <c:v>40238</c:v>
                </c:pt>
                <c:pt idx="6841">
                  <c:v>40239</c:v>
                </c:pt>
                <c:pt idx="6842">
                  <c:v>40240</c:v>
                </c:pt>
                <c:pt idx="6843">
                  <c:v>40241</c:v>
                </c:pt>
                <c:pt idx="6844">
                  <c:v>40242</c:v>
                </c:pt>
                <c:pt idx="6845">
                  <c:v>40245</c:v>
                </c:pt>
                <c:pt idx="6846">
                  <c:v>40246</c:v>
                </c:pt>
                <c:pt idx="6847">
                  <c:v>40247</c:v>
                </c:pt>
                <c:pt idx="6848">
                  <c:v>40248</c:v>
                </c:pt>
                <c:pt idx="6849">
                  <c:v>40249</c:v>
                </c:pt>
                <c:pt idx="6850">
                  <c:v>40252</c:v>
                </c:pt>
                <c:pt idx="6851">
                  <c:v>40253</c:v>
                </c:pt>
                <c:pt idx="6852">
                  <c:v>40254</c:v>
                </c:pt>
                <c:pt idx="6853">
                  <c:v>40255</c:v>
                </c:pt>
                <c:pt idx="6854">
                  <c:v>40256</c:v>
                </c:pt>
                <c:pt idx="6855">
                  <c:v>40259</c:v>
                </c:pt>
                <c:pt idx="6856">
                  <c:v>40260</c:v>
                </c:pt>
                <c:pt idx="6857">
                  <c:v>40261</c:v>
                </c:pt>
                <c:pt idx="6858">
                  <c:v>40262</c:v>
                </c:pt>
                <c:pt idx="6859">
                  <c:v>40263</c:v>
                </c:pt>
                <c:pt idx="6860">
                  <c:v>40266</c:v>
                </c:pt>
                <c:pt idx="6861">
                  <c:v>40267</c:v>
                </c:pt>
                <c:pt idx="6862">
                  <c:v>40268</c:v>
                </c:pt>
                <c:pt idx="6863">
                  <c:v>40269</c:v>
                </c:pt>
                <c:pt idx="6864">
                  <c:v>40270</c:v>
                </c:pt>
                <c:pt idx="6865">
                  <c:v>40273</c:v>
                </c:pt>
                <c:pt idx="6866">
                  <c:v>40274</c:v>
                </c:pt>
                <c:pt idx="6867">
                  <c:v>40275</c:v>
                </c:pt>
                <c:pt idx="6868">
                  <c:v>40276</c:v>
                </c:pt>
                <c:pt idx="6869">
                  <c:v>40277</c:v>
                </c:pt>
                <c:pt idx="6870">
                  <c:v>40280</c:v>
                </c:pt>
                <c:pt idx="6871">
                  <c:v>40281</c:v>
                </c:pt>
                <c:pt idx="6872">
                  <c:v>40282</c:v>
                </c:pt>
                <c:pt idx="6873">
                  <c:v>40283</c:v>
                </c:pt>
                <c:pt idx="6874">
                  <c:v>40284</c:v>
                </c:pt>
                <c:pt idx="6875">
                  <c:v>40287</c:v>
                </c:pt>
                <c:pt idx="6876">
                  <c:v>40288</c:v>
                </c:pt>
                <c:pt idx="6877">
                  <c:v>40289</c:v>
                </c:pt>
                <c:pt idx="6878">
                  <c:v>40290</c:v>
                </c:pt>
                <c:pt idx="6879">
                  <c:v>40291</c:v>
                </c:pt>
                <c:pt idx="6880">
                  <c:v>40294</c:v>
                </c:pt>
                <c:pt idx="6881">
                  <c:v>40295</c:v>
                </c:pt>
                <c:pt idx="6882">
                  <c:v>40296</c:v>
                </c:pt>
                <c:pt idx="6883">
                  <c:v>40297</c:v>
                </c:pt>
                <c:pt idx="6884">
                  <c:v>40298</c:v>
                </c:pt>
                <c:pt idx="6885">
                  <c:v>40301</c:v>
                </c:pt>
                <c:pt idx="6886">
                  <c:v>40302</c:v>
                </c:pt>
                <c:pt idx="6887">
                  <c:v>40303</c:v>
                </c:pt>
                <c:pt idx="6888">
                  <c:v>40304</c:v>
                </c:pt>
                <c:pt idx="6889">
                  <c:v>40305</c:v>
                </c:pt>
                <c:pt idx="6890">
                  <c:v>40308</c:v>
                </c:pt>
                <c:pt idx="6891">
                  <c:v>40309</c:v>
                </c:pt>
                <c:pt idx="6892">
                  <c:v>40310</c:v>
                </c:pt>
                <c:pt idx="6893">
                  <c:v>40311</c:v>
                </c:pt>
                <c:pt idx="6894">
                  <c:v>40312</c:v>
                </c:pt>
                <c:pt idx="6895">
                  <c:v>40315</c:v>
                </c:pt>
                <c:pt idx="6896">
                  <c:v>40316</c:v>
                </c:pt>
                <c:pt idx="6897">
                  <c:v>40317</c:v>
                </c:pt>
                <c:pt idx="6898">
                  <c:v>40318</c:v>
                </c:pt>
                <c:pt idx="6899">
                  <c:v>40319</c:v>
                </c:pt>
                <c:pt idx="6900">
                  <c:v>40322</c:v>
                </c:pt>
                <c:pt idx="6901">
                  <c:v>40323</c:v>
                </c:pt>
                <c:pt idx="6902">
                  <c:v>40324</c:v>
                </c:pt>
                <c:pt idx="6903">
                  <c:v>40325</c:v>
                </c:pt>
                <c:pt idx="6904">
                  <c:v>40326</c:v>
                </c:pt>
                <c:pt idx="6905">
                  <c:v>40329</c:v>
                </c:pt>
                <c:pt idx="6906">
                  <c:v>40330</c:v>
                </c:pt>
                <c:pt idx="6907">
                  <c:v>40331</c:v>
                </c:pt>
                <c:pt idx="6908">
                  <c:v>40332</c:v>
                </c:pt>
                <c:pt idx="6909">
                  <c:v>40333</c:v>
                </c:pt>
                <c:pt idx="6910">
                  <c:v>40336</c:v>
                </c:pt>
                <c:pt idx="6911">
                  <c:v>40337</c:v>
                </c:pt>
                <c:pt idx="6912">
                  <c:v>40338</c:v>
                </c:pt>
                <c:pt idx="6913">
                  <c:v>40339</c:v>
                </c:pt>
                <c:pt idx="6914">
                  <c:v>40340</c:v>
                </c:pt>
                <c:pt idx="6915">
                  <c:v>40343</c:v>
                </c:pt>
                <c:pt idx="6916">
                  <c:v>40344</c:v>
                </c:pt>
                <c:pt idx="6917">
                  <c:v>40345</c:v>
                </c:pt>
                <c:pt idx="6918">
                  <c:v>40346</c:v>
                </c:pt>
                <c:pt idx="6919">
                  <c:v>40347</c:v>
                </c:pt>
                <c:pt idx="6920">
                  <c:v>40350</c:v>
                </c:pt>
                <c:pt idx="6921">
                  <c:v>40351</c:v>
                </c:pt>
                <c:pt idx="6922">
                  <c:v>40352</c:v>
                </c:pt>
                <c:pt idx="6923">
                  <c:v>40353</c:v>
                </c:pt>
                <c:pt idx="6924">
                  <c:v>40354</c:v>
                </c:pt>
                <c:pt idx="6925">
                  <c:v>40357</c:v>
                </c:pt>
                <c:pt idx="6926">
                  <c:v>40358</c:v>
                </c:pt>
                <c:pt idx="6927">
                  <c:v>40359</c:v>
                </c:pt>
                <c:pt idx="6928">
                  <c:v>40360</c:v>
                </c:pt>
                <c:pt idx="6929">
                  <c:v>40361</c:v>
                </c:pt>
                <c:pt idx="6930">
                  <c:v>40364</c:v>
                </c:pt>
                <c:pt idx="6931">
                  <c:v>40365</c:v>
                </c:pt>
                <c:pt idx="6932">
                  <c:v>40366</c:v>
                </c:pt>
                <c:pt idx="6933">
                  <c:v>40367</c:v>
                </c:pt>
                <c:pt idx="6934">
                  <c:v>40368</c:v>
                </c:pt>
                <c:pt idx="6935">
                  <c:v>40371</c:v>
                </c:pt>
                <c:pt idx="6936">
                  <c:v>40372</c:v>
                </c:pt>
                <c:pt idx="6937">
                  <c:v>40373</c:v>
                </c:pt>
                <c:pt idx="6938">
                  <c:v>40374</c:v>
                </c:pt>
                <c:pt idx="6939">
                  <c:v>40375</c:v>
                </c:pt>
                <c:pt idx="6940">
                  <c:v>40378</c:v>
                </c:pt>
                <c:pt idx="6941">
                  <c:v>40379</c:v>
                </c:pt>
                <c:pt idx="6942">
                  <c:v>40380</c:v>
                </c:pt>
                <c:pt idx="6943">
                  <c:v>40381</c:v>
                </c:pt>
                <c:pt idx="6944">
                  <c:v>40382</c:v>
                </c:pt>
                <c:pt idx="6945">
                  <c:v>40385</c:v>
                </c:pt>
                <c:pt idx="6946">
                  <c:v>40386</c:v>
                </c:pt>
                <c:pt idx="6947">
                  <c:v>40387</c:v>
                </c:pt>
                <c:pt idx="6948">
                  <c:v>40388</c:v>
                </c:pt>
                <c:pt idx="6949">
                  <c:v>40389</c:v>
                </c:pt>
                <c:pt idx="6950">
                  <c:v>40392</c:v>
                </c:pt>
                <c:pt idx="6951">
                  <c:v>40393</c:v>
                </c:pt>
                <c:pt idx="6952">
                  <c:v>40394</c:v>
                </c:pt>
                <c:pt idx="6953">
                  <c:v>40395</c:v>
                </c:pt>
                <c:pt idx="6954">
                  <c:v>40396</c:v>
                </c:pt>
                <c:pt idx="6955">
                  <c:v>40399</c:v>
                </c:pt>
                <c:pt idx="6956">
                  <c:v>40400</c:v>
                </c:pt>
                <c:pt idx="6957">
                  <c:v>40401</c:v>
                </c:pt>
                <c:pt idx="6958">
                  <c:v>40402</c:v>
                </c:pt>
                <c:pt idx="6959">
                  <c:v>40403</c:v>
                </c:pt>
                <c:pt idx="6960">
                  <c:v>40406</c:v>
                </c:pt>
                <c:pt idx="6961">
                  <c:v>40407</c:v>
                </c:pt>
                <c:pt idx="6962">
                  <c:v>40408</c:v>
                </c:pt>
                <c:pt idx="6963">
                  <c:v>40409</c:v>
                </c:pt>
                <c:pt idx="6964">
                  <c:v>40410</c:v>
                </c:pt>
                <c:pt idx="6965">
                  <c:v>40413</c:v>
                </c:pt>
                <c:pt idx="6966">
                  <c:v>40414</c:v>
                </c:pt>
                <c:pt idx="6967">
                  <c:v>40415</c:v>
                </c:pt>
                <c:pt idx="6968">
                  <c:v>40416</c:v>
                </c:pt>
                <c:pt idx="6969">
                  <c:v>40417</c:v>
                </c:pt>
                <c:pt idx="6970">
                  <c:v>40420</c:v>
                </c:pt>
                <c:pt idx="6971">
                  <c:v>40421</c:v>
                </c:pt>
                <c:pt idx="6972">
                  <c:v>40422</c:v>
                </c:pt>
                <c:pt idx="6973">
                  <c:v>40423</c:v>
                </c:pt>
                <c:pt idx="6974">
                  <c:v>40424</c:v>
                </c:pt>
                <c:pt idx="6975">
                  <c:v>40427</c:v>
                </c:pt>
                <c:pt idx="6976">
                  <c:v>40428</c:v>
                </c:pt>
                <c:pt idx="6977">
                  <c:v>40429</c:v>
                </c:pt>
                <c:pt idx="6978">
                  <c:v>40430</c:v>
                </c:pt>
                <c:pt idx="6979">
                  <c:v>40431</c:v>
                </c:pt>
                <c:pt idx="6980">
                  <c:v>40434</c:v>
                </c:pt>
                <c:pt idx="6981">
                  <c:v>40435</c:v>
                </c:pt>
                <c:pt idx="6982">
                  <c:v>40436</c:v>
                </c:pt>
                <c:pt idx="6983">
                  <c:v>40437</c:v>
                </c:pt>
                <c:pt idx="6984">
                  <c:v>40438</c:v>
                </c:pt>
                <c:pt idx="6985">
                  <c:v>40441</c:v>
                </c:pt>
                <c:pt idx="6986">
                  <c:v>40442</c:v>
                </c:pt>
                <c:pt idx="6987">
                  <c:v>40443</c:v>
                </c:pt>
                <c:pt idx="6988">
                  <c:v>40444</c:v>
                </c:pt>
                <c:pt idx="6989">
                  <c:v>40445</c:v>
                </c:pt>
                <c:pt idx="6990">
                  <c:v>40448</c:v>
                </c:pt>
                <c:pt idx="6991">
                  <c:v>40449</c:v>
                </c:pt>
                <c:pt idx="6992">
                  <c:v>40450</c:v>
                </c:pt>
                <c:pt idx="6993">
                  <c:v>40451</c:v>
                </c:pt>
                <c:pt idx="6994">
                  <c:v>40452</c:v>
                </c:pt>
                <c:pt idx="6995">
                  <c:v>40455</c:v>
                </c:pt>
                <c:pt idx="6996">
                  <c:v>40456</c:v>
                </c:pt>
                <c:pt idx="6997">
                  <c:v>40457</c:v>
                </c:pt>
                <c:pt idx="6998">
                  <c:v>40458</c:v>
                </c:pt>
                <c:pt idx="6999">
                  <c:v>40459</c:v>
                </c:pt>
                <c:pt idx="7000">
                  <c:v>40462</c:v>
                </c:pt>
                <c:pt idx="7001">
                  <c:v>40463</c:v>
                </c:pt>
                <c:pt idx="7002">
                  <c:v>40464</c:v>
                </c:pt>
                <c:pt idx="7003">
                  <c:v>40465</c:v>
                </c:pt>
                <c:pt idx="7004">
                  <c:v>40466</c:v>
                </c:pt>
                <c:pt idx="7005">
                  <c:v>40469</c:v>
                </c:pt>
                <c:pt idx="7006">
                  <c:v>40470</c:v>
                </c:pt>
                <c:pt idx="7007">
                  <c:v>40471</c:v>
                </c:pt>
                <c:pt idx="7008">
                  <c:v>40472</c:v>
                </c:pt>
                <c:pt idx="7009">
                  <c:v>40473</c:v>
                </c:pt>
                <c:pt idx="7010">
                  <c:v>40476</c:v>
                </c:pt>
                <c:pt idx="7011">
                  <c:v>40477</c:v>
                </c:pt>
                <c:pt idx="7012">
                  <c:v>40478</c:v>
                </c:pt>
                <c:pt idx="7013">
                  <c:v>40479</c:v>
                </c:pt>
                <c:pt idx="7014">
                  <c:v>40480</c:v>
                </c:pt>
                <c:pt idx="7015">
                  <c:v>40483</c:v>
                </c:pt>
                <c:pt idx="7016">
                  <c:v>40484</c:v>
                </c:pt>
                <c:pt idx="7017">
                  <c:v>40485</c:v>
                </c:pt>
                <c:pt idx="7018">
                  <c:v>40486</c:v>
                </c:pt>
                <c:pt idx="7019">
                  <c:v>40487</c:v>
                </c:pt>
                <c:pt idx="7020">
                  <c:v>40490</c:v>
                </c:pt>
                <c:pt idx="7021">
                  <c:v>40491</c:v>
                </c:pt>
                <c:pt idx="7022">
                  <c:v>40492</c:v>
                </c:pt>
                <c:pt idx="7023">
                  <c:v>40493</c:v>
                </c:pt>
                <c:pt idx="7024">
                  <c:v>40494</c:v>
                </c:pt>
                <c:pt idx="7025">
                  <c:v>40497</c:v>
                </c:pt>
                <c:pt idx="7026">
                  <c:v>40498</c:v>
                </c:pt>
                <c:pt idx="7027">
                  <c:v>40499</c:v>
                </c:pt>
                <c:pt idx="7028">
                  <c:v>40500</c:v>
                </c:pt>
                <c:pt idx="7029">
                  <c:v>40501</c:v>
                </c:pt>
                <c:pt idx="7030">
                  <c:v>40504</c:v>
                </c:pt>
                <c:pt idx="7031">
                  <c:v>40505</c:v>
                </c:pt>
                <c:pt idx="7032">
                  <c:v>40506</c:v>
                </c:pt>
                <c:pt idx="7033">
                  <c:v>40507</c:v>
                </c:pt>
                <c:pt idx="7034">
                  <c:v>40508</c:v>
                </c:pt>
                <c:pt idx="7035">
                  <c:v>40511</c:v>
                </c:pt>
                <c:pt idx="7036">
                  <c:v>40512</c:v>
                </c:pt>
                <c:pt idx="7037">
                  <c:v>40513</c:v>
                </c:pt>
                <c:pt idx="7038">
                  <c:v>40514</c:v>
                </c:pt>
                <c:pt idx="7039">
                  <c:v>40515</c:v>
                </c:pt>
                <c:pt idx="7040">
                  <c:v>40518</c:v>
                </c:pt>
                <c:pt idx="7041">
                  <c:v>40519</c:v>
                </c:pt>
                <c:pt idx="7042">
                  <c:v>40520</c:v>
                </c:pt>
                <c:pt idx="7043">
                  <c:v>40521</c:v>
                </c:pt>
                <c:pt idx="7044">
                  <c:v>40522</c:v>
                </c:pt>
                <c:pt idx="7045">
                  <c:v>40525</c:v>
                </c:pt>
                <c:pt idx="7046">
                  <c:v>40526</c:v>
                </c:pt>
                <c:pt idx="7047">
                  <c:v>40527</c:v>
                </c:pt>
                <c:pt idx="7048">
                  <c:v>40528</c:v>
                </c:pt>
                <c:pt idx="7049">
                  <c:v>40529</c:v>
                </c:pt>
                <c:pt idx="7050">
                  <c:v>40532</c:v>
                </c:pt>
                <c:pt idx="7051">
                  <c:v>40533</c:v>
                </c:pt>
                <c:pt idx="7052">
                  <c:v>40534</c:v>
                </c:pt>
                <c:pt idx="7053">
                  <c:v>40535</c:v>
                </c:pt>
                <c:pt idx="7054">
                  <c:v>40536</c:v>
                </c:pt>
                <c:pt idx="7055">
                  <c:v>40539</c:v>
                </c:pt>
                <c:pt idx="7056">
                  <c:v>40540</c:v>
                </c:pt>
                <c:pt idx="7057">
                  <c:v>40541</c:v>
                </c:pt>
                <c:pt idx="7058">
                  <c:v>40542</c:v>
                </c:pt>
                <c:pt idx="7059">
                  <c:v>40543</c:v>
                </c:pt>
                <c:pt idx="7060">
                  <c:v>40546</c:v>
                </c:pt>
                <c:pt idx="7061">
                  <c:v>40547</c:v>
                </c:pt>
                <c:pt idx="7062">
                  <c:v>40548</c:v>
                </c:pt>
                <c:pt idx="7063">
                  <c:v>40549</c:v>
                </c:pt>
                <c:pt idx="7064">
                  <c:v>40550</c:v>
                </c:pt>
                <c:pt idx="7065">
                  <c:v>40553</c:v>
                </c:pt>
                <c:pt idx="7066">
                  <c:v>40554</c:v>
                </c:pt>
                <c:pt idx="7067">
                  <c:v>40555</c:v>
                </c:pt>
                <c:pt idx="7068">
                  <c:v>40556</c:v>
                </c:pt>
                <c:pt idx="7069">
                  <c:v>40557</c:v>
                </c:pt>
                <c:pt idx="7070">
                  <c:v>40560</c:v>
                </c:pt>
                <c:pt idx="7071">
                  <c:v>40561</c:v>
                </c:pt>
                <c:pt idx="7072">
                  <c:v>40562</c:v>
                </c:pt>
                <c:pt idx="7073">
                  <c:v>40563</c:v>
                </c:pt>
                <c:pt idx="7074">
                  <c:v>40564</c:v>
                </c:pt>
                <c:pt idx="7075">
                  <c:v>40567</c:v>
                </c:pt>
                <c:pt idx="7076">
                  <c:v>40568</c:v>
                </c:pt>
                <c:pt idx="7077">
                  <c:v>40569</c:v>
                </c:pt>
                <c:pt idx="7078">
                  <c:v>40570</c:v>
                </c:pt>
                <c:pt idx="7079">
                  <c:v>40571</c:v>
                </c:pt>
                <c:pt idx="7080">
                  <c:v>40574</c:v>
                </c:pt>
                <c:pt idx="7081">
                  <c:v>40575</c:v>
                </c:pt>
                <c:pt idx="7082">
                  <c:v>40576</c:v>
                </c:pt>
                <c:pt idx="7083">
                  <c:v>40577</c:v>
                </c:pt>
                <c:pt idx="7084">
                  <c:v>40578</c:v>
                </c:pt>
                <c:pt idx="7085">
                  <c:v>40581</c:v>
                </c:pt>
                <c:pt idx="7086">
                  <c:v>40582</c:v>
                </c:pt>
                <c:pt idx="7087">
                  <c:v>40583</c:v>
                </c:pt>
                <c:pt idx="7088">
                  <c:v>40584</c:v>
                </c:pt>
                <c:pt idx="7089">
                  <c:v>40585</c:v>
                </c:pt>
                <c:pt idx="7090">
                  <c:v>40588</c:v>
                </c:pt>
                <c:pt idx="7091">
                  <c:v>40589</c:v>
                </c:pt>
                <c:pt idx="7092">
                  <c:v>40590</c:v>
                </c:pt>
                <c:pt idx="7093">
                  <c:v>40591</c:v>
                </c:pt>
                <c:pt idx="7094">
                  <c:v>40592</c:v>
                </c:pt>
                <c:pt idx="7095">
                  <c:v>40595</c:v>
                </c:pt>
                <c:pt idx="7096">
                  <c:v>40596</c:v>
                </c:pt>
                <c:pt idx="7097">
                  <c:v>40597</c:v>
                </c:pt>
                <c:pt idx="7098">
                  <c:v>40598</c:v>
                </c:pt>
                <c:pt idx="7099">
                  <c:v>40599</c:v>
                </c:pt>
                <c:pt idx="7100">
                  <c:v>40602</c:v>
                </c:pt>
                <c:pt idx="7101">
                  <c:v>40603</c:v>
                </c:pt>
                <c:pt idx="7102">
                  <c:v>40604</c:v>
                </c:pt>
                <c:pt idx="7103">
                  <c:v>40605</c:v>
                </c:pt>
                <c:pt idx="7104">
                  <c:v>40606</c:v>
                </c:pt>
                <c:pt idx="7105">
                  <c:v>40609</c:v>
                </c:pt>
                <c:pt idx="7106">
                  <c:v>40610</c:v>
                </c:pt>
                <c:pt idx="7107">
                  <c:v>40611</c:v>
                </c:pt>
                <c:pt idx="7108">
                  <c:v>40612</c:v>
                </c:pt>
                <c:pt idx="7109">
                  <c:v>40613</c:v>
                </c:pt>
                <c:pt idx="7110">
                  <c:v>40616</c:v>
                </c:pt>
                <c:pt idx="7111">
                  <c:v>40617</c:v>
                </c:pt>
                <c:pt idx="7112">
                  <c:v>40618</c:v>
                </c:pt>
                <c:pt idx="7113">
                  <c:v>40619</c:v>
                </c:pt>
                <c:pt idx="7114">
                  <c:v>40620</c:v>
                </c:pt>
                <c:pt idx="7115">
                  <c:v>40623</c:v>
                </c:pt>
                <c:pt idx="7116">
                  <c:v>40624</c:v>
                </c:pt>
                <c:pt idx="7117">
                  <c:v>40625</c:v>
                </c:pt>
                <c:pt idx="7118">
                  <c:v>40626</c:v>
                </c:pt>
                <c:pt idx="7119">
                  <c:v>40627</c:v>
                </c:pt>
                <c:pt idx="7120">
                  <c:v>40630</c:v>
                </c:pt>
                <c:pt idx="7121">
                  <c:v>40631</c:v>
                </c:pt>
                <c:pt idx="7122">
                  <c:v>40632</c:v>
                </c:pt>
                <c:pt idx="7123">
                  <c:v>40633</c:v>
                </c:pt>
                <c:pt idx="7124">
                  <c:v>40634</c:v>
                </c:pt>
                <c:pt idx="7125">
                  <c:v>40637</c:v>
                </c:pt>
                <c:pt idx="7126">
                  <c:v>40638</c:v>
                </c:pt>
                <c:pt idx="7127">
                  <c:v>40639</c:v>
                </c:pt>
                <c:pt idx="7128">
                  <c:v>40640</c:v>
                </c:pt>
                <c:pt idx="7129">
                  <c:v>40641</c:v>
                </c:pt>
                <c:pt idx="7130">
                  <c:v>40644</c:v>
                </c:pt>
                <c:pt idx="7131">
                  <c:v>40645</c:v>
                </c:pt>
                <c:pt idx="7132">
                  <c:v>40646</c:v>
                </c:pt>
                <c:pt idx="7133">
                  <c:v>40647</c:v>
                </c:pt>
                <c:pt idx="7134">
                  <c:v>40648</c:v>
                </c:pt>
                <c:pt idx="7135">
                  <c:v>40651</c:v>
                </c:pt>
                <c:pt idx="7136">
                  <c:v>40652</c:v>
                </c:pt>
                <c:pt idx="7137">
                  <c:v>40653</c:v>
                </c:pt>
                <c:pt idx="7138">
                  <c:v>40654</c:v>
                </c:pt>
                <c:pt idx="7139">
                  <c:v>40655</c:v>
                </c:pt>
                <c:pt idx="7140">
                  <c:v>40658</c:v>
                </c:pt>
                <c:pt idx="7141">
                  <c:v>40659</c:v>
                </c:pt>
                <c:pt idx="7142">
                  <c:v>40660</c:v>
                </c:pt>
                <c:pt idx="7143">
                  <c:v>40661</c:v>
                </c:pt>
                <c:pt idx="7144">
                  <c:v>40662</c:v>
                </c:pt>
                <c:pt idx="7145">
                  <c:v>40665</c:v>
                </c:pt>
                <c:pt idx="7146">
                  <c:v>40666</c:v>
                </c:pt>
                <c:pt idx="7147">
                  <c:v>40667</c:v>
                </c:pt>
                <c:pt idx="7148">
                  <c:v>40668</c:v>
                </c:pt>
                <c:pt idx="7149">
                  <c:v>40669</c:v>
                </c:pt>
                <c:pt idx="7150">
                  <c:v>40672</c:v>
                </c:pt>
                <c:pt idx="7151">
                  <c:v>40673</c:v>
                </c:pt>
                <c:pt idx="7152">
                  <c:v>40674</c:v>
                </c:pt>
                <c:pt idx="7153">
                  <c:v>40675</c:v>
                </c:pt>
                <c:pt idx="7154">
                  <c:v>40676</c:v>
                </c:pt>
                <c:pt idx="7155">
                  <c:v>40679</c:v>
                </c:pt>
                <c:pt idx="7156">
                  <c:v>40680</c:v>
                </c:pt>
                <c:pt idx="7157">
                  <c:v>40681</c:v>
                </c:pt>
                <c:pt idx="7158">
                  <c:v>40682</c:v>
                </c:pt>
                <c:pt idx="7159">
                  <c:v>40683</c:v>
                </c:pt>
                <c:pt idx="7160">
                  <c:v>40686</c:v>
                </c:pt>
                <c:pt idx="7161">
                  <c:v>40687</c:v>
                </c:pt>
                <c:pt idx="7162">
                  <c:v>40688</c:v>
                </c:pt>
                <c:pt idx="7163">
                  <c:v>40689</c:v>
                </c:pt>
                <c:pt idx="7164">
                  <c:v>40690</c:v>
                </c:pt>
                <c:pt idx="7165">
                  <c:v>40693</c:v>
                </c:pt>
                <c:pt idx="7166">
                  <c:v>40694</c:v>
                </c:pt>
                <c:pt idx="7167">
                  <c:v>40695</c:v>
                </c:pt>
                <c:pt idx="7168">
                  <c:v>40696</c:v>
                </c:pt>
                <c:pt idx="7169">
                  <c:v>40697</c:v>
                </c:pt>
                <c:pt idx="7170">
                  <c:v>40700</c:v>
                </c:pt>
                <c:pt idx="7171">
                  <c:v>40701</c:v>
                </c:pt>
                <c:pt idx="7172">
                  <c:v>40702</c:v>
                </c:pt>
                <c:pt idx="7173">
                  <c:v>40703</c:v>
                </c:pt>
                <c:pt idx="7174">
                  <c:v>40704</c:v>
                </c:pt>
                <c:pt idx="7175">
                  <c:v>40707</c:v>
                </c:pt>
                <c:pt idx="7176">
                  <c:v>40708</c:v>
                </c:pt>
                <c:pt idx="7177">
                  <c:v>40709</c:v>
                </c:pt>
                <c:pt idx="7178">
                  <c:v>40710</c:v>
                </c:pt>
                <c:pt idx="7179">
                  <c:v>40711</c:v>
                </c:pt>
                <c:pt idx="7180">
                  <c:v>40714</c:v>
                </c:pt>
                <c:pt idx="7181">
                  <c:v>40715</c:v>
                </c:pt>
                <c:pt idx="7182">
                  <c:v>40716</c:v>
                </c:pt>
                <c:pt idx="7183">
                  <c:v>40717</c:v>
                </c:pt>
                <c:pt idx="7184">
                  <c:v>40718</c:v>
                </c:pt>
                <c:pt idx="7185">
                  <c:v>40721</c:v>
                </c:pt>
                <c:pt idx="7186">
                  <c:v>40722</c:v>
                </c:pt>
                <c:pt idx="7187">
                  <c:v>40723</c:v>
                </c:pt>
                <c:pt idx="7188">
                  <c:v>40724</c:v>
                </c:pt>
                <c:pt idx="7189">
                  <c:v>40725</c:v>
                </c:pt>
                <c:pt idx="7190">
                  <c:v>40728</c:v>
                </c:pt>
                <c:pt idx="7191">
                  <c:v>40729</c:v>
                </c:pt>
                <c:pt idx="7192">
                  <c:v>40730</c:v>
                </c:pt>
                <c:pt idx="7193">
                  <c:v>40731</c:v>
                </c:pt>
                <c:pt idx="7194">
                  <c:v>40732</c:v>
                </c:pt>
                <c:pt idx="7195">
                  <c:v>40735</c:v>
                </c:pt>
                <c:pt idx="7196">
                  <c:v>40736</c:v>
                </c:pt>
                <c:pt idx="7197">
                  <c:v>40737</c:v>
                </c:pt>
                <c:pt idx="7198">
                  <c:v>40738</c:v>
                </c:pt>
                <c:pt idx="7199">
                  <c:v>40739</c:v>
                </c:pt>
                <c:pt idx="7200">
                  <c:v>40742</c:v>
                </c:pt>
                <c:pt idx="7201">
                  <c:v>40743</c:v>
                </c:pt>
                <c:pt idx="7202">
                  <c:v>40744</c:v>
                </c:pt>
                <c:pt idx="7203">
                  <c:v>40745</c:v>
                </c:pt>
                <c:pt idx="7204">
                  <c:v>40746</c:v>
                </c:pt>
                <c:pt idx="7205">
                  <c:v>40749</c:v>
                </c:pt>
                <c:pt idx="7206">
                  <c:v>40750</c:v>
                </c:pt>
                <c:pt idx="7207">
                  <c:v>40751</c:v>
                </c:pt>
                <c:pt idx="7208">
                  <c:v>40752</c:v>
                </c:pt>
                <c:pt idx="7209">
                  <c:v>40753</c:v>
                </c:pt>
                <c:pt idx="7210">
                  <c:v>40756</c:v>
                </c:pt>
                <c:pt idx="7211">
                  <c:v>40757</c:v>
                </c:pt>
                <c:pt idx="7212">
                  <c:v>40758</c:v>
                </c:pt>
                <c:pt idx="7213">
                  <c:v>40759</c:v>
                </c:pt>
                <c:pt idx="7214">
                  <c:v>40760</c:v>
                </c:pt>
                <c:pt idx="7215">
                  <c:v>40763</c:v>
                </c:pt>
                <c:pt idx="7216">
                  <c:v>40764</c:v>
                </c:pt>
                <c:pt idx="7217">
                  <c:v>40765</c:v>
                </c:pt>
                <c:pt idx="7218">
                  <c:v>40766</c:v>
                </c:pt>
                <c:pt idx="7219">
                  <c:v>40767</c:v>
                </c:pt>
                <c:pt idx="7220">
                  <c:v>40770</c:v>
                </c:pt>
                <c:pt idx="7221">
                  <c:v>40771</c:v>
                </c:pt>
                <c:pt idx="7222">
                  <c:v>40772</c:v>
                </c:pt>
                <c:pt idx="7223">
                  <c:v>40773</c:v>
                </c:pt>
                <c:pt idx="7224">
                  <c:v>40774</c:v>
                </c:pt>
                <c:pt idx="7225">
                  <c:v>40777</c:v>
                </c:pt>
                <c:pt idx="7226">
                  <c:v>40778</c:v>
                </c:pt>
                <c:pt idx="7227">
                  <c:v>40779</c:v>
                </c:pt>
                <c:pt idx="7228">
                  <c:v>40780</c:v>
                </c:pt>
                <c:pt idx="7229">
                  <c:v>40781</c:v>
                </c:pt>
                <c:pt idx="7230">
                  <c:v>40784</c:v>
                </c:pt>
                <c:pt idx="7231">
                  <c:v>40785</c:v>
                </c:pt>
                <c:pt idx="7232">
                  <c:v>40786</c:v>
                </c:pt>
                <c:pt idx="7233">
                  <c:v>40787</c:v>
                </c:pt>
                <c:pt idx="7234">
                  <c:v>40788</c:v>
                </c:pt>
                <c:pt idx="7235">
                  <c:v>40791</c:v>
                </c:pt>
                <c:pt idx="7236">
                  <c:v>40792</c:v>
                </c:pt>
                <c:pt idx="7237">
                  <c:v>40793</c:v>
                </c:pt>
                <c:pt idx="7238">
                  <c:v>40794</c:v>
                </c:pt>
                <c:pt idx="7239">
                  <c:v>40795</c:v>
                </c:pt>
                <c:pt idx="7240">
                  <c:v>40798</c:v>
                </c:pt>
                <c:pt idx="7241">
                  <c:v>40799</c:v>
                </c:pt>
                <c:pt idx="7242">
                  <c:v>40800</c:v>
                </c:pt>
                <c:pt idx="7243">
                  <c:v>40801</c:v>
                </c:pt>
                <c:pt idx="7244">
                  <c:v>40802</c:v>
                </c:pt>
                <c:pt idx="7245">
                  <c:v>40805</c:v>
                </c:pt>
                <c:pt idx="7246">
                  <c:v>40806</c:v>
                </c:pt>
                <c:pt idx="7247">
                  <c:v>40807</c:v>
                </c:pt>
                <c:pt idx="7248">
                  <c:v>40808</c:v>
                </c:pt>
                <c:pt idx="7249">
                  <c:v>40809</c:v>
                </c:pt>
                <c:pt idx="7250">
                  <c:v>40812</c:v>
                </c:pt>
                <c:pt idx="7251">
                  <c:v>40813</c:v>
                </c:pt>
                <c:pt idx="7252">
                  <c:v>40814</c:v>
                </c:pt>
                <c:pt idx="7253">
                  <c:v>40815</c:v>
                </c:pt>
                <c:pt idx="7254">
                  <c:v>40816</c:v>
                </c:pt>
                <c:pt idx="7255">
                  <c:v>40819</c:v>
                </c:pt>
                <c:pt idx="7256">
                  <c:v>40820</c:v>
                </c:pt>
                <c:pt idx="7257">
                  <c:v>40821</c:v>
                </c:pt>
                <c:pt idx="7258">
                  <c:v>40822</c:v>
                </c:pt>
                <c:pt idx="7259">
                  <c:v>40823</c:v>
                </c:pt>
                <c:pt idx="7260">
                  <c:v>40826</c:v>
                </c:pt>
                <c:pt idx="7261">
                  <c:v>40827</c:v>
                </c:pt>
                <c:pt idx="7262">
                  <c:v>40828</c:v>
                </c:pt>
                <c:pt idx="7263">
                  <c:v>40829</c:v>
                </c:pt>
                <c:pt idx="7264">
                  <c:v>40830</c:v>
                </c:pt>
                <c:pt idx="7265">
                  <c:v>40833</c:v>
                </c:pt>
                <c:pt idx="7266">
                  <c:v>40834</c:v>
                </c:pt>
                <c:pt idx="7267">
                  <c:v>40835</c:v>
                </c:pt>
                <c:pt idx="7268">
                  <c:v>40836</c:v>
                </c:pt>
                <c:pt idx="7269">
                  <c:v>40837</c:v>
                </c:pt>
                <c:pt idx="7270">
                  <c:v>40840</c:v>
                </c:pt>
                <c:pt idx="7271">
                  <c:v>40841</c:v>
                </c:pt>
                <c:pt idx="7272">
                  <c:v>40842</c:v>
                </c:pt>
                <c:pt idx="7273">
                  <c:v>40843</c:v>
                </c:pt>
                <c:pt idx="7274">
                  <c:v>40844</c:v>
                </c:pt>
                <c:pt idx="7275">
                  <c:v>40847</c:v>
                </c:pt>
                <c:pt idx="7276">
                  <c:v>40848</c:v>
                </c:pt>
                <c:pt idx="7277">
                  <c:v>40849</c:v>
                </c:pt>
                <c:pt idx="7278">
                  <c:v>40850</c:v>
                </c:pt>
                <c:pt idx="7279">
                  <c:v>40851</c:v>
                </c:pt>
                <c:pt idx="7280">
                  <c:v>40854</c:v>
                </c:pt>
                <c:pt idx="7281">
                  <c:v>40855</c:v>
                </c:pt>
                <c:pt idx="7282">
                  <c:v>40856</c:v>
                </c:pt>
                <c:pt idx="7283">
                  <c:v>40857</c:v>
                </c:pt>
                <c:pt idx="7284">
                  <c:v>40858</c:v>
                </c:pt>
                <c:pt idx="7285">
                  <c:v>40861</c:v>
                </c:pt>
                <c:pt idx="7286">
                  <c:v>40862</c:v>
                </c:pt>
                <c:pt idx="7287">
                  <c:v>40863</c:v>
                </c:pt>
                <c:pt idx="7288">
                  <c:v>40864</c:v>
                </c:pt>
                <c:pt idx="7289">
                  <c:v>40865</c:v>
                </c:pt>
                <c:pt idx="7290">
                  <c:v>40868</c:v>
                </c:pt>
                <c:pt idx="7291">
                  <c:v>40869</c:v>
                </c:pt>
                <c:pt idx="7292">
                  <c:v>40870</c:v>
                </c:pt>
                <c:pt idx="7293">
                  <c:v>40871</c:v>
                </c:pt>
                <c:pt idx="7294">
                  <c:v>40872</c:v>
                </c:pt>
                <c:pt idx="7295">
                  <c:v>40875</c:v>
                </c:pt>
                <c:pt idx="7296">
                  <c:v>40876</c:v>
                </c:pt>
                <c:pt idx="7297">
                  <c:v>40877</c:v>
                </c:pt>
                <c:pt idx="7298">
                  <c:v>40878</c:v>
                </c:pt>
                <c:pt idx="7299">
                  <c:v>40879</c:v>
                </c:pt>
                <c:pt idx="7300">
                  <c:v>40882</c:v>
                </c:pt>
                <c:pt idx="7301">
                  <c:v>40883</c:v>
                </c:pt>
                <c:pt idx="7302">
                  <c:v>40884</c:v>
                </c:pt>
                <c:pt idx="7303">
                  <c:v>40885</c:v>
                </c:pt>
                <c:pt idx="7304">
                  <c:v>40886</c:v>
                </c:pt>
                <c:pt idx="7305">
                  <c:v>40889</c:v>
                </c:pt>
                <c:pt idx="7306">
                  <c:v>40890</c:v>
                </c:pt>
                <c:pt idx="7307">
                  <c:v>40891</c:v>
                </c:pt>
                <c:pt idx="7308">
                  <c:v>40892</c:v>
                </c:pt>
                <c:pt idx="7309">
                  <c:v>40893</c:v>
                </c:pt>
                <c:pt idx="7310">
                  <c:v>40896</c:v>
                </c:pt>
                <c:pt idx="7311">
                  <c:v>40897</c:v>
                </c:pt>
                <c:pt idx="7312">
                  <c:v>40898</c:v>
                </c:pt>
                <c:pt idx="7313">
                  <c:v>40899</c:v>
                </c:pt>
                <c:pt idx="7314">
                  <c:v>40900</c:v>
                </c:pt>
                <c:pt idx="7315">
                  <c:v>40903</c:v>
                </c:pt>
                <c:pt idx="7316">
                  <c:v>40904</c:v>
                </c:pt>
                <c:pt idx="7317">
                  <c:v>40905</c:v>
                </c:pt>
                <c:pt idx="7318">
                  <c:v>40906</c:v>
                </c:pt>
                <c:pt idx="7319">
                  <c:v>40907</c:v>
                </c:pt>
                <c:pt idx="7320">
                  <c:v>40910</c:v>
                </c:pt>
                <c:pt idx="7321">
                  <c:v>40911</c:v>
                </c:pt>
                <c:pt idx="7322">
                  <c:v>40912</c:v>
                </c:pt>
                <c:pt idx="7323">
                  <c:v>40913</c:v>
                </c:pt>
                <c:pt idx="7324">
                  <c:v>40914</c:v>
                </c:pt>
                <c:pt idx="7325">
                  <c:v>40917</c:v>
                </c:pt>
                <c:pt idx="7326">
                  <c:v>40918</c:v>
                </c:pt>
                <c:pt idx="7327">
                  <c:v>40919</c:v>
                </c:pt>
                <c:pt idx="7328">
                  <c:v>40920</c:v>
                </c:pt>
                <c:pt idx="7329">
                  <c:v>40921</c:v>
                </c:pt>
                <c:pt idx="7330">
                  <c:v>40924</c:v>
                </c:pt>
                <c:pt idx="7331">
                  <c:v>40925</c:v>
                </c:pt>
                <c:pt idx="7332">
                  <c:v>40926</c:v>
                </c:pt>
                <c:pt idx="7333">
                  <c:v>40927</c:v>
                </c:pt>
                <c:pt idx="7334">
                  <c:v>40928</c:v>
                </c:pt>
                <c:pt idx="7335">
                  <c:v>40931</c:v>
                </c:pt>
                <c:pt idx="7336">
                  <c:v>40932</c:v>
                </c:pt>
                <c:pt idx="7337">
                  <c:v>40933</c:v>
                </c:pt>
                <c:pt idx="7338">
                  <c:v>40934</c:v>
                </c:pt>
                <c:pt idx="7339">
                  <c:v>40935</c:v>
                </c:pt>
                <c:pt idx="7340">
                  <c:v>40938</c:v>
                </c:pt>
                <c:pt idx="7341">
                  <c:v>40939</c:v>
                </c:pt>
                <c:pt idx="7342">
                  <c:v>40940</c:v>
                </c:pt>
                <c:pt idx="7343">
                  <c:v>40941</c:v>
                </c:pt>
                <c:pt idx="7344">
                  <c:v>40942</c:v>
                </c:pt>
                <c:pt idx="7345">
                  <c:v>40945</c:v>
                </c:pt>
                <c:pt idx="7346">
                  <c:v>40946</c:v>
                </c:pt>
                <c:pt idx="7347">
                  <c:v>40947</c:v>
                </c:pt>
                <c:pt idx="7348">
                  <c:v>40948</c:v>
                </c:pt>
                <c:pt idx="7349">
                  <c:v>40949</c:v>
                </c:pt>
                <c:pt idx="7350">
                  <c:v>40952</c:v>
                </c:pt>
                <c:pt idx="7351">
                  <c:v>40953</c:v>
                </c:pt>
                <c:pt idx="7352">
                  <c:v>40954</c:v>
                </c:pt>
                <c:pt idx="7353">
                  <c:v>40955</c:v>
                </c:pt>
                <c:pt idx="7354">
                  <c:v>40956</c:v>
                </c:pt>
                <c:pt idx="7355">
                  <c:v>40959</c:v>
                </c:pt>
                <c:pt idx="7356">
                  <c:v>40960</c:v>
                </c:pt>
                <c:pt idx="7357">
                  <c:v>40961</c:v>
                </c:pt>
                <c:pt idx="7358">
                  <c:v>40962</c:v>
                </c:pt>
                <c:pt idx="7359">
                  <c:v>40963</c:v>
                </c:pt>
                <c:pt idx="7360">
                  <c:v>40966</c:v>
                </c:pt>
                <c:pt idx="7361">
                  <c:v>40967</c:v>
                </c:pt>
                <c:pt idx="7362">
                  <c:v>40968</c:v>
                </c:pt>
                <c:pt idx="7363">
                  <c:v>40969</c:v>
                </c:pt>
                <c:pt idx="7364">
                  <c:v>40970</c:v>
                </c:pt>
                <c:pt idx="7365">
                  <c:v>40973</c:v>
                </c:pt>
                <c:pt idx="7366">
                  <c:v>40974</c:v>
                </c:pt>
                <c:pt idx="7367">
                  <c:v>40975</c:v>
                </c:pt>
                <c:pt idx="7368">
                  <c:v>40976</c:v>
                </c:pt>
                <c:pt idx="7369">
                  <c:v>40977</c:v>
                </c:pt>
                <c:pt idx="7370">
                  <c:v>40980</c:v>
                </c:pt>
                <c:pt idx="7371">
                  <c:v>40981</c:v>
                </c:pt>
                <c:pt idx="7372">
                  <c:v>40982</c:v>
                </c:pt>
                <c:pt idx="7373">
                  <c:v>40983</c:v>
                </c:pt>
                <c:pt idx="7374">
                  <c:v>40984</c:v>
                </c:pt>
                <c:pt idx="7375">
                  <c:v>40987</c:v>
                </c:pt>
                <c:pt idx="7376">
                  <c:v>40988</c:v>
                </c:pt>
                <c:pt idx="7377">
                  <c:v>40989</c:v>
                </c:pt>
                <c:pt idx="7378">
                  <c:v>40990</c:v>
                </c:pt>
                <c:pt idx="7379">
                  <c:v>40991</c:v>
                </c:pt>
                <c:pt idx="7380">
                  <c:v>40994</c:v>
                </c:pt>
                <c:pt idx="7381">
                  <c:v>40995</c:v>
                </c:pt>
                <c:pt idx="7382">
                  <c:v>40996</c:v>
                </c:pt>
                <c:pt idx="7383">
                  <c:v>40997</c:v>
                </c:pt>
                <c:pt idx="7384">
                  <c:v>40998</c:v>
                </c:pt>
                <c:pt idx="7385">
                  <c:v>41001</c:v>
                </c:pt>
                <c:pt idx="7386">
                  <c:v>41002</c:v>
                </c:pt>
                <c:pt idx="7387">
                  <c:v>41003</c:v>
                </c:pt>
                <c:pt idx="7388">
                  <c:v>41004</c:v>
                </c:pt>
                <c:pt idx="7389">
                  <c:v>41005</c:v>
                </c:pt>
                <c:pt idx="7390">
                  <c:v>41008</c:v>
                </c:pt>
                <c:pt idx="7391">
                  <c:v>41009</c:v>
                </c:pt>
                <c:pt idx="7392">
                  <c:v>41010</c:v>
                </c:pt>
                <c:pt idx="7393">
                  <c:v>41011</c:v>
                </c:pt>
                <c:pt idx="7394">
                  <c:v>41012</c:v>
                </c:pt>
                <c:pt idx="7395">
                  <c:v>41015</c:v>
                </c:pt>
                <c:pt idx="7396">
                  <c:v>41016</c:v>
                </c:pt>
                <c:pt idx="7397">
                  <c:v>41017</c:v>
                </c:pt>
                <c:pt idx="7398">
                  <c:v>41018</c:v>
                </c:pt>
                <c:pt idx="7399">
                  <c:v>41019</c:v>
                </c:pt>
                <c:pt idx="7400">
                  <c:v>41022</c:v>
                </c:pt>
                <c:pt idx="7401">
                  <c:v>41023</c:v>
                </c:pt>
                <c:pt idx="7402">
                  <c:v>41024</c:v>
                </c:pt>
                <c:pt idx="7403">
                  <c:v>41025</c:v>
                </c:pt>
                <c:pt idx="7404">
                  <c:v>41026</c:v>
                </c:pt>
                <c:pt idx="7405">
                  <c:v>41029</c:v>
                </c:pt>
                <c:pt idx="7406">
                  <c:v>41030</c:v>
                </c:pt>
                <c:pt idx="7407">
                  <c:v>41031</c:v>
                </c:pt>
                <c:pt idx="7408">
                  <c:v>41032</c:v>
                </c:pt>
                <c:pt idx="7409">
                  <c:v>41033</c:v>
                </c:pt>
                <c:pt idx="7410">
                  <c:v>41036</c:v>
                </c:pt>
                <c:pt idx="7411">
                  <c:v>41037</c:v>
                </c:pt>
                <c:pt idx="7412">
                  <c:v>41038</c:v>
                </c:pt>
                <c:pt idx="7413">
                  <c:v>41039</c:v>
                </c:pt>
                <c:pt idx="7414">
                  <c:v>41040</c:v>
                </c:pt>
                <c:pt idx="7415">
                  <c:v>41043</c:v>
                </c:pt>
                <c:pt idx="7416">
                  <c:v>41044</c:v>
                </c:pt>
                <c:pt idx="7417">
                  <c:v>41045</c:v>
                </c:pt>
                <c:pt idx="7418">
                  <c:v>41046</c:v>
                </c:pt>
                <c:pt idx="7419">
                  <c:v>41047</c:v>
                </c:pt>
                <c:pt idx="7420">
                  <c:v>41050</c:v>
                </c:pt>
                <c:pt idx="7421">
                  <c:v>41051</c:v>
                </c:pt>
                <c:pt idx="7422">
                  <c:v>41052</c:v>
                </c:pt>
                <c:pt idx="7423">
                  <c:v>41053</c:v>
                </c:pt>
                <c:pt idx="7424">
                  <c:v>41054</c:v>
                </c:pt>
                <c:pt idx="7425">
                  <c:v>41057</c:v>
                </c:pt>
                <c:pt idx="7426">
                  <c:v>41058</c:v>
                </c:pt>
                <c:pt idx="7427">
                  <c:v>41059</c:v>
                </c:pt>
                <c:pt idx="7428">
                  <c:v>41060</c:v>
                </c:pt>
                <c:pt idx="7429">
                  <c:v>41061</c:v>
                </c:pt>
                <c:pt idx="7430">
                  <c:v>41064</c:v>
                </c:pt>
                <c:pt idx="7431">
                  <c:v>41065</c:v>
                </c:pt>
                <c:pt idx="7432">
                  <c:v>41066</c:v>
                </c:pt>
                <c:pt idx="7433">
                  <c:v>41067</c:v>
                </c:pt>
                <c:pt idx="7434">
                  <c:v>41068</c:v>
                </c:pt>
                <c:pt idx="7435">
                  <c:v>41071</c:v>
                </c:pt>
                <c:pt idx="7436">
                  <c:v>41072</c:v>
                </c:pt>
                <c:pt idx="7437">
                  <c:v>41073</c:v>
                </c:pt>
                <c:pt idx="7438">
                  <c:v>41074</c:v>
                </c:pt>
                <c:pt idx="7439">
                  <c:v>41075</c:v>
                </c:pt>
                <c:pt idx="7440">
                  <c:v>41078</c:v>
                </c:pt>
                <c:pt idx="7441">
                  <c:v>41079</c:v>
                </c:pt>
                <c:pt idx="7442">
                  <c:v>41080</c:v>
                </c:pt>
                <c:pt idx="7443">
                  <c:v>41081</c:v>
                </c:pt>
                <c:pt idx="7444">
                  <c:v>41082</c:v>
                </c:pt>
                <c:pt idx="7445">
                  <c:v>41085</c:v>
                </c:pt>
                <c:pt idx="7446">
                  <c:v>41086</c:v>
                </c:pt>
                <c:pt idx="7447">
                  <c:v>41087</c:v>
                </c:pt>
                <c:pt idx="7448">
                  <c:v>41088</c:v>
                </c:pt>
                <c:pt idx="7449">
                  <c:v>41089</c:v>
                </c:pt>
                <c:pt idx="7450">
                  <c:v>41092</c:v>
                </c:pt>
                <c:pt idx="7451">
                  <c:v>41093</c:v>
                </c:pt>
                <c:pt idx="7452">
                  <c:v>41094</c:v>
                </c:pt>
                <c:pt idx="7453">
                  <c:v>41095</c:v>
                </c:pt>
                <c:pt idx="7454">
                  <c:v>41096</c:v>
                </c:pt>
                <c:pt idx="7455">
                  <c:v>41099</c:v>
                </c:pt>
                <c:pt idx="7456">
                  <c:v>41100</c:v>
                </c:pt>
                <c:pt idx="7457">
                  <c:v>41101</c:v>
                </c:pt>
                <c:pt idx="7458">
                  <c:v>41102</c:v>
                </c:pt>
                <c:pt idx="7459">
                  <c:v>41103</c:v>
                </c:pt>
                <c:pt idx="7460">
                  <c:v>41106</c:v>
                </c:pt>
                <c:pt idx="7461">
                  <c:v>41107</c:v>
                </c:pt>
                <c:pt idx="7462">
                  <c:v>41108</c:v>
                </c:pt>
                <c:pt idx="7463">
                  <c:v>41109</c:v>
                </c:pt>
                <c:pt idx="7464">
                  <c:v>41110</c:v>
                </c:pt>
                <c:pt idx="7465">
                  <c:v>41113</c:v>
                </c:pt>
                <c:pt idx="7466">
                  <c:v>41114</c:v>
                </c:pt>
                <c:pt idx="7467">
                  <c:v>41115</c:v>
                </c:pt>
                <c:pt idx="7468">
                  <c:v>41116</c:v>
                </c:pt>
                <c:pt idx="7469">
                  <c:v>41117</c:v>
                </c:pt>
                <c:pt idx="7470">
                  <c:v>41120</c:v>
                </c:pt>
                <c:pt idx="7471">
                  <c:v>41121</c:v>
                </c:pt>
                <c:pt idx="7472">
                  <c:v>41122</c:v>
                </c:pt>
                <c:pt idx="7473">
                  <c:v>41123</c:v>
                </c:pt>
                <c:pt idx="7474">
                  <c:v>41124</c:v>
                </c:pt>
                <c:pt idx="7475">
                  <c:v>41127</c:v>
                </c:pt>
                <c:pt idx="7476">
                  <c:v>41128</c:v>
                </c:pt>
                <c:pt idx="7477">
                  <c:v>41129</c:v>
                </c:pt>
                <c:pt idx="7478">
                  <c:v>41130</c:v>
                </c:pt>
                <c:pt idx="7479">
                  <c:v>41131</c:v>
                </c:pt>
                <c:pt idx="7480">
                  <c:v>41134</c:v>
                </c:pt>
                <c:pt idx="7481">
                  <c:v>41135</c:v>
                </c:pt>
                <c:pt idx="7482">
                  <c:v>41136</c:v>
                </c:pt>
                <c:pt idx="7483">
                  <c:v>41137</c:v>
                </c:pt>
                <c:pt idx="7484">
                  <c:v>41138</c:v>
                </c:pt>
                <c:pt idx="7485">
                  <c:v>41141</c:v>
                </c:pt>
                <c:pt idx="7486">
                  <c:v>41142</c:v>
                </c:pt>
                <c:pt idx="7487">
                  <c:v>41143</c:v>
                </c:pt>
                <c:pt idx="7488">
                  <c:v>41144</c:v>
                </c:pt>
                <c:pt idx="7489">
                  <c:v>41145</c:v>
                </c:pt>
                <c:pt idx="7490">
                  <c:v>41148</c:v>
                </c:pt>
                <c:pt idx="7491">
                  <c:v>41149</c:v>
                </c:pt>
                <c:pt idx="7492">
                  <c:v>41150</c:v>
                </c:pt>
                <c:pt idx="7493">
                  <c:v>41151</c:v>
                </c:pt>
                <c:pt idx="7494">
                  <c:v>41152</c:v>
                </c:pt>
                <c:pt idx="7495">
                  <c:v>41155</c:v>
                </c:pt>
                <c:pt idx="7496">
                  <c:v>41156</c:v>
                </c:pt>
                <c:pt idx="7497">
                  <c:v>41157</c:v>
                </c:pt>
                <c:pt idx="7498">
                  <c:v>41158</c:v>
                </c:pt>
                <c:pt idx="7499">
                  <c:v>41159</c:v>
                </c:pt>
                <c:pt idx="7500">
                  <c:v>41162</c:v>
                </c:pt>
                <c:pt idx="7501">
                  <c:v>41163</c:v>
                </c:pt>
                <c:pt idx="7502">
                  <c:v>41164</c:v>
                </c:pt>
                <c:pt idx="7503">
                  <c:v>41165</c:v>
                </c:pt>
                <c:pt idx="7504">
                  <c:v>41166</c:v>
                </c:pt>
                <c:pt idx="7505">
                  <c:v>41169</c:v>
                </c:pt>
                <c:pt idx="7506">
                  <c:v>41170</c:v>
                </c:pt>
                <c:pt idx="7507">
                  <c:v>41171</c:v>
                </c:pt>
                <c:pt idx="7508">
                  <c:v>41172</c:v>
                </c:pt>
                <c:pt idx="7509">
                  <c:v>41173</c:v>
                </c:pt>
                <c:pt idx="7510">
                  <c:v>41176</c:v>
                </c:pt>
                <c:pt idx="7511">
                  <c:v>41177</c:v>
                </c:pt>
                <c:pt idx="7512">
                  <c:v>41178</c:v>
                </c:pt>
                <c:pt idx="7513">
                  <c:v>41179</c:v>
                </c:pt>
                <c:pt idx="7514">
                  <c:v>41180</c:v>
                </c:pt>
                <c:pt idx="7515">
                  <c:v>41183</c:v>
                </c:pt>
                <c:pt idx="7516">
                  <c:v>41184</c:v>
                </c:pt>
                <c:pt idx="7517">
                  <c:v>41185</c:v>
                </c:pt>
                <c:pt idx="7518">
                  <c:v>41186</c:v>
                </c:pt>
                <c:pt idx="7519">
                  <c:v>41187</c:v>
                </c:pt>
                <c:pt idx="7520">
                  <c:v>41190</c:v>
                </c:pt>
                <c:pt idx="7521">
                  <c:v>41191</c:v>
                </c:pt>
                <c:pt idx="7522">
                  <c:v>41192</c:v>
                </c:pt>
                <c:pt idx="7523">
                  <c:v>41193</c:v>
                </c:pt>
                <c:pt idx="7524">
                  <c:v>41194</c:v>
                </c:pt>
                <c:pt idx="7525">
                  <c:v>41197</c:v>
                </c:pt>
                <c:pt idx="7526">
                  <c:v>41198</c:v>
                </c:pt>
                <c:pt idx="7527">
                  <c:v>41199</c:v>
                </c:pt>
                <c:pt idx="7528">
                  <c:v>41200</c:v>
                </c:pt>
                <c:pt idx="7529">
                  <c:v>41201</c:v>
                </c:pt>
                <c:pt idx="7530">
                  <c:v>41204</c:v>
                </c:pt>
                <c:pt idx="7531">
                  <c:v>41205</c:v>
                </c:pt>
                <c:pt idx="7532">
                  <c:v>41206</c:v>
                </c:pt>
                <c:pt idx="7533">
                  <c:v>41207</c:v>
                </c:pt>
                <c:pt idx="7534">
                  <c:v>41208</c:v>
                </c:pt>
                <c:pt idx="7535">
                  <c:v>41211</c:v>
                </c:pt>
                <c:pt idx="7536">
                  <c:v>41212</c:v>
                </c:pt>
                <c:pt idx="7537">
                  <c:v>41213</c:v>
                </c:pt>
                <c:pt idx="7538">
                  <c:v>41214</c:v>
                </c:pt>
                <c:pt idx="7539">
                  <c:v>41215</c:v>
                </c:pt>
                <c:pt idx="7540">
                  <c:v>41218</c:v>
                </c:pt>
                <c:pt idx="7541">
                  <c:v>41219</c:v>
                </c:pt>
                <c:pt idx="7542">
                  <c:v>41220</c:v>
                </c:pt>
                <c:pt idx="7543">
                  <c:v>41221</c:v>
                </c:pt>
                <c:pt idx="7544">
                  <c:v>41222</c:v>
                </c:pt>
                <c:pt idx="7545">
                  <c:v>41225</c:v>
                </c:pt>
                <c:pt idx="7546">
                  <c:v>41226</c:v>
                </c:pt>
                <c:pt idx="7547">
                  <c:v>41227</c:v>
                </c:pt>
                <c:pt idx="7548">
                  <c:v>41228</c:v>
                </c:pt>
                <c:pt idx="7549">
                  <c:v>41229</c:v>
                </c:pt>
                <c:pt idx="7550">
                  <c:v>41232</c:v>
                </c:pt>
                <c:pt idx="7551">
                  <c:v>41233</c:v>
                </c:pt>
                <c:pt idx="7552">
                  <c:v>41234</c:v>
                </c:pt>
                <c:pt idx="7553">
                  <c:v>41235</c:v>
                </c:pt>
                <c:pt idx="7554">
                  <c:v>41236</c:v>
                </c:pt>
                <c:pt idx="7555">
                  <c:v>41239</c:v>
                </c:pt>
                <c:pt idx="7556">
                  <c:v>41240</c:v>
                </c:pt>
                <c:pt idx="7557">
                  <c:v>41241</c:v>
                </c:pt>
                <c:pt idx="7558">
                  <c:v>41242</c:v>
                </c:pt>
                <c:pt idx="7559">
                  <c:v>41243</c:v>
                </c:pt>
                <c:pt idx="7560">
                  <c:v>41246</c:v>
                </c:pt>
                <c:pt idx="7561">
                  <c:v>41247</c:v>
                </c:pt>
                <c:pt idx="7562">
                  <c:v>41248</c:v>
                </c:pt>
                <c:pt idx="7563">
                  <c:v>41249</c:v>
                </c:pt>
                <c:pt idx="7564">
                  <c:v>41250</c:v>
                </c:pt>
                <c:pt idx="7565">
                  <c:v>41253</c:v>
                </c:pt>
                <c:pt idx="7566">
                  <c:v>41254</c:v>
                </c:pt>
                <c:pt idx="7567">
                  <c:v>41255</c:v>
                </c:pt>
                <c:pt idx="7568">
                  <c:v>41256</c:v>
                </c:pt>
                <c:pt idx="7569">
                  <c:v>41257</c:v>
                </c:pt>
                <c:pt idx="7570">
                  <c:v>41260</c:v>
                </c:pt>
                <c:pt idx="7571">
                  <c:v>41261</c:v>
                </c:pt>
                <c:pt idx="7572">
                  <c:v>41262</c:v>
                </c:pt>
                <c:pt idx="7573">
                  <c:v>41263</c:v>
                </c:pt>
                <c:pt idx="7574">
                  <c:v>41264</c:v>
                </c:pt>
                <c:pt idx="7575">
                  <c:v>41267</c:v>
                </c:pt>
                <c:pt idx="7576">
                  <c:v>41268</c:v>
                </c:pt>
                <c:pt idx="7577">
                  <c:v>41269</c:v>
                </c:pt>
                <c:pt idx="7578">
                  <c:v>41270</c:v>
                </c:pt>
                <c:pt idx="7579">
                  <c:v>41271</c:v>
                </c:pt>
                <c:pt idx="7580">
                  <c:v>41274</c:v>
                </c:pt>
                <c:pt idx="7581">
                  <c:v>41275</c:v>
                </c:pt>
                <c:pt idx="7582">
                  <c:v>41276</c:v>
                </c:pt>
                <c:pt idx="7583">
                  <c:v>41277</c:v>
                </c:pt>
                <c:pt idx="7584">
                  <c:v>41278</c:v>
                </c:pt>
                <c:pt idx="7585">
                  <c:v>41281</c:v>
                </c:pt>
                <c:pt idx="7586">
                  <c:v>41282</c:v>
                </c:pt>
                <c:pt idx="7587">
                  <c:v>41283</c:v>
                </c:pt>
                <c:pt idx="7588">
                  <c:v>41284</c:v>
                </c:pt>
                <c:pt idx="7589">
                  <c:v>41285</c:v>
                </c:pt>
                <c:pt idx="7590">
                  <c:v>41288</c:v>
                </c:pt>
                <c:pt idx="7591">
                  <c:v>41289</c:v>
                </c:pt>
                <c:pt idx="7592">
                  <c:v>41290</c:v>
                </c:pt>
                <c:pt idx="7593">
                  <c:v>41291</c:v>
                </c:pt>
                <c:pt idx="7594">
                  <c:v>41292</c:v>
                </c:pt>
                <c:pt idx="7595">
                  <c:v>41295</c:v>
                </c:pt>
                <c:pt idx="7596">
                  <c:v>41296</c:v>
                </c:pt>
                <c:pt idx="7597">
                  <c:v>41297</c:v>
                </c:pt>
                <c:pt idx="7598">
                  <c:v>41298</c:v>
                </c:pt>
                <c:pt idx="7599">
                  <c:v>41299</c:v>
                </c:pt>
                <c:pt idx="7600">
                  <c:v>41302</c:v>
                </c:pt>
                <c:pt idx="7601">
                  <c:v>41303</c:v>
                </c:pt>
                <c:pt idx="7602">
                  <c:v>41304</c:v>
                </c:pt>
                <c:pt idx="7603">
                  <c:v>41305</c:v>
                </c:pt>
                <c:pt idx="7604">
                  <c:v>41306</c:v>
                </c:pt>
                <c:pt idx="7605">
                  <c:v>41309</c:v>
                </c:pt>
                <c:pt idx="7606">
                  <c:v>41310</c:v>
                </c:pt>
                <c:pt idx="7607">
                  <c:v>41311</c:v>
                </c:pt>
                <c:pt idx="7608">
                  <c:v>41312</c:v>
                </c:pt>
                <c:pt idx="7609">
                  <c:v>41313</c:v>
                </c:pt>
                <c:pt idx="7610">
                  <c:v>41316</c:v>
                </c:pt>
                <c:pt idx="7611">
                  <c:v>41317</c:v>
                </c:pt>
                <c:pt idx="7612">
                  <c:v>41318</c:v>
                </c:pt>
                <c:pt idx="7613">
                  <c:v>41319</c:v>
                </c:pt>
                <c:pt idx="7614">
                  <c:v>41320</c:v>
                </c:pt>
                <c:pt idx="7615">
                  <c:v>41323</c:v>
                </c:pt>
                <c:pt idx="7616">
                  <c:v>41324</c:v>
                </c:pt>
                <c:pt idx="7617">
                  <c:v>41325</c:v>
                </c:pt>
                <c:pt idx="7618">
                  <c:v>41326</c:v>
                </c:pt>
                <c:pt idx="7619">
                  <c:v>41327</c:v>
                </c:pt>
                <c:pt idx="7620">
                  <c:v>41330</c:v>
                </c:pt>
                <c:pt idx="7621">
                  <c:v>41331</c:v>
                </c:pt>
                <c:pt idx="7622">
                  <c:v>41332</c:v>
                </c:pt>
                <c:pt idx="7623">
                  <c:v>41333</c:v>
                </c:pt>
                <c:pt idx="7624">
                  <c:v>41334</c:v>
                </c:pt>
                <c:pt idx="7625">
                  <c:v>41337</c:v>
                </c:pt>
                <c:pt idx="7626">
                  <c:v>41338</c:v>
                </c:pt>
                <c:pt idx="7627">
                  <c:v>41339</c:v>
                </c:pt>
                <c:pt idx="7628">
                  <c:v>41340</c:v>
                </c:pt>
                <c:pt idx="7629">
                  <c:v>41341</c:v>
                </c:pt>
                <c:pt idx="7630">
                  <c:v>41344</c:v>
                </c:pt>
                <c:pt idx="7631">
                  <c:v>41345</c:v>
                </c:pt>
                <c:pt idx="7632">
                  <c:v>41346</c:v>
                </c:pt>
                <c:pt idx="7633">
                  <c:v>41347</c:v>
                </c:pt>
                <c:pt idx="7634">
                  <c:v>41348</c:v>
                </c:pt>
                <c:pt idx="7635">
                  <c:v>41351</c:v>
                </c:pt>
                <c:pt idx="7636">
                  <c:v>41352</c:v>
                </c:pt>
                <c:pt idx="7637">
                  <c:v>41353</c:v>
                </c:pt>
                <c:pt idx="7638">
                  <c:v>41354</c:v>
                </c:pt>
                <c:pt idx="7639">
                  <c:v>41355</c:v>
                </c:pt>
                <c:pt idx="7640">
                  <c:v>41358</c:v>
                </c:pt>
                <c:pt idx="7641">
                  <c:v>41359</c:v>
                </c:pt>
                <c:pt idx="7642">
                  <c:v>41360</c:v>
                </c:pt>
                <c:pt idx="7643">
                  <c:v>41361</c:v>
                </c:pt>
                <c:pt idx="7644">
                  <c:v>41362</c:v>
                </c:pt>
                <c:pt idx="7645">
                  <c:v>41365</c:v>
                </c:pt>
                <c:pt idx="7646">
                  <c:v>41366</c:v>
                </c:pt>
                <c:pt idx="7647">
                  <c:v>41367</c:v>
                </c:pt>
                <c:pt idx="7648">
                  <c:v>41368</c:v>
                </c:pt>
                <c:pt idx="7649">
                  <c:v>41369</c:v>
                </c:pt>
                <c:pt idx="7650">
                  <c:v>41372</c:v>
                </c:pt>
                <c:pt idx="7651">
                  <c:v>41373</c:v>
                </c:pt>
                <c:pt idx="7652">
                  <c:v>41374</c:v>
                </c:pt>
                <c:pt idx="7653">
                  <c:v>41375</c:v>
                </c:pt>
                <c:pt idx="7654">
                  <c:v>41376</c:v>
                </c:pt>
                <c:pt idx="7655">
                  <c:v>41379</c:v>
                </c:pt>
                <c:pt idx="7656">
                  <c:v>41380</c:v>
                </c:pt>
                <c:pt idx="7657">
                  <c:v>41381</c:v>
                </c:pt>
                <c:pt idx="7658">
                  <c:v>41382</c:v>
                </c:pt>
                <c:pt idx="7659">
                  <c:v>41383</c:v>
                </c:pt>
                <c:pt idx="7660">
                  <c:v>41386</c:v>
                </c:pt>
                <c:pt idx="7661">
                  <c:v>41387</c:v>
                </c:pt>
                <c:pt idx="7662">
                  <c:v>41388</c:v>
                </c:pt>
                <c:pt idx="7663">
                  <c:v>41389</c:v>
                </c:pt>
                <c:pt idx="7664">
                  <c:v>41390</c:v>
                </c:pt>
                <c:pt idx="7665">
                  <c:v>41393</c:v>
                </c:pt>
                <c:pt idx="7666">
                  <c:v>41394</c:v>
                </c:pt>
                <c:pt idx="7667">
                  <c:v>41395</c:v>
                </c:pt>
                <c:pt idx="7668">
                  <c:v>41396</c:v>
                </c:pt>
                <c:pt idx="7669">
                  <c:v>41397</c:v>
                </c:pt>
                <c:pt idx="7670">
                  <c:v>41400</c:v>
                </c:pt>
                <c:pt idx="7671">
                  <c:v>41401</c:v>
                </c:pt>
                <c:pt idx="7672">
                  <c:v>41402</c:v>
                </c:pt>
                <c:pt idx="7673">
                  <c:v>41403</c:v>
                </c:pt>
                <c:pt idx="7674">
                  <c:v>41404</c:v>
                </c:pt>
                <c:pt idx="7675">
                  <c:v>41407</c:v>
                </c:pt>
                <c:pt idx="7676">
                  <c:v>41408</c:v>
                </c:pt>
                <c:pt idx="7677">
                  <c:v>41409</c:v>
                </c:pt>
                <c:pt idx="7678">
                  <c:v>41410</c:v>
                </c:pt>
                <c:pt idx="7679">
                  <c:v>41411</c:v>
                </c:pt>
                <c:pt idx="7680">
                  <c:v>41414</c:v>
                </c:pt>
                <c:pt idx="7681">
                  <c:v>41415</c:v>
                </c:pt>
                <c:pt idx="7682">
                  <c:v>41416</c:v>
                </c:pt>
                <c:pt idx="7683">
                  <c:v>41417</c:v>
                </c:pt>
                <c:pt idx="7684">
                  <c:v>41418</c:v>
                </c:pt>
                <c:pt idx="7685">
                  <c:v>41421</c:v>
                </c:pt>
                <c:pt idx="7686">
                  <c:v>41422</c:v>
                </c:pt>
                <c:pt idx="7687">
                  <c:v>41423</c:v>
                </c:pt>
                <c:pt idx="7688">
                  <c:v>41424</c:v>
                </c:pt>
                <c:pt idx="7689">
                  <c:v>41425</c:v>
                </c:pt>
                <c:pt idx="7690">
                  <c:v>41428</c:v>
                </c:pt>
                <c:pt idx="7691">
                  <c:v>41429</c:v>
                </c:pt>
                <c:pt idx="7692">
                  <c:v>41430</c:v>
                </c:pt>
                <c:pt idx="7693">
                  <c:v>41431</c:v>
                </c:pt>
                <c:pt idx="7694">
                  <c:v>41432</c:v>
                </c:pt>
                <c:pt idx="7695">
                  <c:v>41435</c:v>
                </c:pt>
                <c:pt idx="7696">
                  <c:v>41436</c:v>
                </c:pt>
                <c:pt idx="7697">
                  <c:v>41437</c:v>
                </c:pt>
                <c:pt idx="7698">
                  <c:v>41438</c:v>
                </c:pt>
                <c:pt idx="7699">
                  <c:v>41439</c:v>
                </c:pt>
                <c:pt idx="7700">
                  <c:v>41442</c:v>
                </c:pt>
                <c:pt idx="7701">
                  <c:v>41443</c:v>
                </c:pt>
                <c:pt idx="7702">
                  <c:v>41444</c:v>
                </c:pt>
                <c:pt idx="7703">
                  <c:v>41445</c:v>
                </c:pt>
                <c:pt idx="7704">
                  <c:v>41446</c:v>
                </c:pt>
                <c:pt idx="7705">
                  <c:v>41449</c:v>
                </c:pt>
                <c:pt idx="7706">
                  <c:v>41450</c:v>
                </c:pt>
                <c:pt idx="7707">
                  <c:v>41451</c:v>
                </c:pt>
                <c:pt idx="7708">
                  <c:v>41452</c:v>
                </c:pt>
                <c:pt idx="7709">
                  <c:v>41453</c:v>
                </c:pt>
                <c:pt idx="7710">
                  <c:v>41456</c:v>
                </c:pt>
                <c:pt idx="7711">
                  <c:v>41457</c:v>
                </c:pt>
                <c:pt idx="7712">
                  <c:v>41458</c:v>
                </c:pt>
                <c:pt idx="7713">
                  <c:v>41459</c:v>
                </c:pt>
                <c:pt idx="7714">
                  <c:v>41460</c:v>
                </c:pt>
                <c:pt idx="7715">
                  <c:v>41463</c:v>
                </c:pt>
                <c:pt idx="7716">
                  <c:v>41464</c:v>
                </c:pt>
                <c:pt idx="7717">
                  <c:v>41465</c:v>
                </c:pt>
                <c:pt idx="7718">
                  <c:v>41466</c:v>
                </c:pt>
                <c:pt idx="7719">
                  <c:v>41467</c:v>
                </c:pt>
                <c:pt idx="7720">
                  <c:v>41470</c:v>
                </c:pt>
                <c:pt idx="7721">
                  <c:v>41471</c:v>
                </c:pt>
                <c:pt idx="7722">
                  <c:v>41472</c:v>
                </c:pt>
                <c:pt idx="7723">
                  <c:v>41473</c:v>
                </c:pt>
                <c:pt idx="7724">
                  <c:v>41474</c:v>
                </c:pt>
                <c:pt idx="7725">
                  <c:v>41477</c:v>
                </c:pt>
                <c:pt idx="7726">
                  <c:v>41478</c:v>
                </c:pt>
                <c:pt idx="7727">
                  <c:v>41479</c:v>
                </c:pt>
                <c:pt idx="7728">
                  <c:v>41480</c:v>
                </c:pt>
                <c:pt idx="7729">
                  <c:v>41481</c:v>
                </c:pt>
                <c:pt idx="7730">
                  <c:v>41484</c:v>
                </c:pt>
                <c:pt idx="7731">
                  <c:v>41485</c:v>
                </c:pt>
                <c:pt idx="7732">
                  <c:v>41486</c:v>
                </c:pt>
                <c:pt idx="7733">
                  <c:v>41487</c:v>
                </c:pt>
                <c:pt idx="7734">
                  <c:v>41488</c:v>
                </c:pt>
                <c:pt idx="7735">
                  <c:v>41491</c:v>
                </c:pt>
                <c:pt idx="7736">
                  <c:v>41492</c:v>
                </c:pt>
                <c:pt idx="7737">
                  <c:v>41493</c:v>
                </c:pt>
                <c:pt idx="7738">
                  <c:v>41494</c:v>
                </c:pt>
                <c:pt idx="7739">
                  <c:v>41495</c:v>
                </c:pt>
                <c:pt idx="7740">
                  <c:v>41498</c:v>
                </c:pt>
                <c:pt idx="7741">
                  <c:v>41499</c:v>
                </c:pt>
                <c:pt idx="7742">
                  <c:v>41500</c:v>
                </c:pt>
                <c:pt idx="7743">
                  <c:v>41501</c:v>
                </c:pt>
                <c:pt idx="7744">
                  <c:v>41502</c:v>
                </c:pt>
                <c:pt idx="7745">
                  <c:v>41505</c:v>
                </c:pt>
                <c:pt idx="7746">
                  <c:v>41506</c:v>
                </c:pt>
                <c:pt idx="7747">
                  <c:v>41507</c:v>
                </c:pt>
                <c:pt idx="7748">
                  <c:v>41508</c:v>
                </c:pt>
                <c:pt idx="7749">
                  <c:v>41509</c:v>
                </c:pt>
                <c:pt idx="7750">
                  <c:v>41512</c:v>
                </c:pt>
                <c:pt idx="7751">
                  <c:v>41513</c:v>
                </c:pt>
                <c:pt idx="7752">
                  <c:v>41514</c:v>
                </c:pt>
                <c:pt idx="7753">
                  <c:v>41515</c:v>
                </c:pt>
                <c:pt idx="7754">
                  <c:v>41516</c:v>
                </c:pt>
                <c:pt idx="7755">
                  <c:v>41519</c:v>
                </c:pt>
                <c:pt idx="7756">
                  <c:v>41520</c:v>
                </c:pt>
                <c:pt idx="7757">
                  <c:v>41521</c:v>
                </c:pt>
                <c:pt idx="7758">
                  <c:v>41522</c:v>
                </c:pt>
                <c:pt idx="7759">
                  <c:v>41523</c:v>
                </c:pt>
                <c:pt idx="7760">
                  <c:v>41526</c:v>
                </c:pt>
                <c:pt idx="7761">
                  <c:v>41527</c:v>
                </c:pt>
                <c:pt idx="7762">
                  <c:v>41528</c:v>
                </c:pt>
                <c:pt idx="7763">
                  <c:v>41529</c:v>
                </c:pt>
                <c:pt idx="7764">
                  <c:v>41530</c:v>
                </c:pt>
                <c:pt idx="7765">
                  <c:v>41533</c:v>
                </c:pt>
                <c:pt idx="7766">
                  <c:v>41534</c:v>
                </c:pt>
                <c:pt idx="7767">
                  <c:v>41535</c:v>
                </c:pt>
                <c:pt idx="7768">
                  <c:v>41536</c:v>
                </c:pt>
                <c:pt idx="7769">
                  <c:v>41537</c:v>
                </c:pt>
                <c:pt idx="7770">
                  <c:v>41540</c:v>
                </c:pt>
                <c:pt idx="7771">
                  <c:v>41541</c:v>
                </c:pt>
                <c:pt idx="7772">
                  <c:v>41542</c:v>
                </c:pt>
                <c:pt idx="7773">
                  <c:v>41543</c:v>
                </c:pt>
                <c:pt idx="7774">
                  <c:v>41544</c:v>
                </c:pt>
                <c:pt idx="7775">
                  <c:v>41547</c:v>
                </c:pt>
                <c:pt idx="7776">
                  <c:v>41548</c:v>
                </c:pt>
                <c:pt idx="7777">
                  <c:v>41549</c:v>
                </c:pt>
                <c:pt idx="7778">
                  <c:v>41550</c:v>
                </c:pt>
                <c:pt idx="7779">
                  <c:v>41551</c:v>
                </c:pt>
                <c:pt idx="7780">
                  <c:v>41554</c:v>
                </c:pt>
                <c:pt idx="7781">
                  <c:v>41555</c:v>
                </c:pt>
                <c:pt idx="7782">
                  <c:v>41556</c:v>
                </c:pt>
                <c:pt idx="7783">
                  <c:v>41557</c:v>
                </c:pt>
                <c:pt idx="7784">
                  <c:v>41558</c:v>
                </c:pt>
                <c:pt idx="7785">
                  <c:v>41561</c:v>
                </c:pt>
                <c:pt idx="7786">
                  <c:v>41562</c:v>
                </c:pt>
                <c:pt idx="7787">
                  <c:v>41563</c:v>
                </c:pt>
                <c:pt idx="7788">
                  <c:v>41564</c:v>
                </c:pt>
                <c:pt idx="7789">
                  <c:v>41565</c:v>
                </c:pt>
                <c:pt idx="7790">
                  <c:v>41568</c:v>
                </c:pt>
                <c:pt idx="7791">
                  <c:v>41569</c:v>
                </c:pt>
                <c:pt idx="7792">
                  <c:v>41570</c:v>
                </c:pt>
                <c:pt idx="7793">
                  <c:v>41571</c:v>
                </c:pt>
                <c:pt idx="7794">
                  <c:v>41572</c:v>
                </c:pt>
                <c:pt idx="7795">
                  <c:v>41575</c:v>
                </c:pt>
                <c:pt idx="7796">
                  <c:v>41576</c:v>
                </c:pt>
                <c:pt idx="7797">
                  <c:v>41577</c:v>
                </c:pt>
                <c:pt idx="7798">
                  <c:v>41578</c:v>
                </c:pt>
                <c:pt idx="7799">
                  <c:v>41579</c:v>
                </c:pt>
                <c:pt idx="7800">
                  <c:v>41582</c:v>
                </c:pt>
                <c:pt idx="7801">
                  <c:v>41583</c:v>
                </c:pt>
                <c:pt idx="7802">
                  <c:v>41584</c:v>
                </c:pt>
                <c:pt idx="7803">
                  <c:v>41585</c:v>
                </c:pt>
                <c:pt idx="7804">
                  <c:v>41586</c:v>
                </c:pt>
                <c:pt idx="7805">
                  <c:v>41589</c:v>
                </c:pt>
                <c:pt idx="7806">
                  <c:v>41590</c:v>
                </c:pt>
                <c:pt idx="7807">
                  <c:v>41591</c:v>
                </c:pt>
                <c:pt idx="7808">
                  <c:v>41592</c:v>
                </c:pt>
                <c:pt idx="7809">
                  <c:v>41593</c:v>
                </c:pt>
                <c:pt idx="7810">
                  <c:v>41596</c:v>
                </c:pt>
                <c:pt idx="7811">
                  <c:v>41597</c:v>
                </c:pt>
                <c:pt idx="7812">
                  <c:v>41598</c:v>
                </c:pt>
                <c:pt idx="7813">
                  <c:v>41599</c:v>
                </c:pt>
                <c:pt idx="7814">
                  <c:v>41600</c:v>
                </c:pt>
                <c:pt idx="7815">
                  <c:v>41603</c:v>
                </c:pt>
                <c:pt idx="7816">
                  <c:v>41604</c:v>
                </c:pt>
                <c:pt idx="7817">
                  <c:v>41605</c:v>
                </c:pt>
                <c:pt idx="7818">
                  <c:v>41606</c:v>
                </c:pt>
                <c:pt idx="7819">
                  <c:v>41607</c:v>
                </c:pt>
                <c:pt idx="7820">
                  <c:v>41610</c:v>
                </c:pt>
                <c:pt idx="7821">
                  <c:v>41611</c:v>
                </c:pt>
                <c:pt idx="7822">
                  <c:v>41612</c:v>
                </c:pt>
                <c:pt idx="7823">
                  <c:v>41613</c:v>
                </c:pt>
                <c:pt idx="7824">
                  <c:v>41614</c:v>
                </c:pt>
                <c:pt idx="7825">
                  <c:v>41617</c:v>
                </c:pt>
                <c:pt idx="7826">
                  <c:v>41618</c:v>
                </c:pt>
                <c:pt idx="7827">
                  <c:v>41619</c:v>
                </c:pt>
                <c:pt idx="7828">
                  <c:v>41620</c:v>
                </c:pt>
                <c:pt idx="7829">
                  <c:v>41621</c:v>
                </c:pt>
                <c:pt idx="7830">
                  <c:v>41624</c:v>
                </c:pt>
                <c:pt idx="7831">
                  <c:v>41625</c:v>
                </c:pt>
                <c:pt idx="7832">
                  <c:v>41626</c:v>
                </c:pt>
                <c:pt idx="7833">
                  <c:v>41627</c:v>
                </c:pt>
                <c:pt idx="7834">
                  <c:v>41628</c:v>
                </c:pt>
                <c:pt idx="7835">
                  <c:v>41631</c:v>
                </c:pt>
                <c:pt idx="7836">
                  <c:v>41632</c:v>
                </c:pt>
                <c:pt idx="7837">
                  <c:v>41633</c:v>
                </c:pt>
                <c:pt idx="7838">
                  <c:v>41634</c:v>
                </c:pt>
                <c:pt idx="7839">
                  <c:v>41635</c:v>
                </c:pt>
                <c:pt idx="7840">
                  <c:v>41638</c:v>
                </c:pt>
                <c:pt idx="7841">
                  <c:v>41639</c:v>
                </c:pt>
                <c:pt idx="7842">
                  <c:v>41640</c:v>
                </c:pt>
                <c:pt idx="7843">
                  <c:v>41641</c:v>
                </c:pt>
                <c:pt idx="7844">
                  <c:v>41642</c:v>
                </c:pt>
                <c:pt idx="7845">
                  <c:v>41645</c:v>
                </c:pt>
                <c:pt idx="7846">
                  <c:v>41646</c:v>
                </c:pt>
                <c:pt idx="7847">
                  <c:v>41647</c:v>
                </c:pt>
                <c:pt idx="7848">
                  <c:v>41648</c:v>
                </c:pt>
                <c:pt idx="7849">
                  <c:v>41649</c:v>
                </c:pt>
                <c:pt idx="7850">
                  <c:v>41652</c:v>
                </c:pt>
                <c:pt idx="7851">
                  <c:v>41653</c:v>
                </c:pt>
                <c:pt idx="7852">
                  <c:v>41654</c:v>
                </c:pt>
                <c:pt idx="7853">
                  <c:v>41655</c:v>
                </c:pt>
                <c:pt idx="7854">
                  <c:v>41656</c:v>
                </c:pt>
                <c:pt idx="7855">
                  <c:v>41659</c:v>
                </c:pt>
                <c:pt idx="7856">
                  <c:v>41660</c:v>
                </c:pt>
                <c:pt idx="7857">
                  <c:v>41661</c:v>
                </c:pt>
                <c:pt idx="7858">
                  <c:v>41662</c:v>
                </c:pt>
                <c:pt idx="7859">
                  <c:v>41663</c:v>
                </c:pt>
                <c:pt idx="7860">
                  <c:v>41666</c:v>
                </c:pt>
                <c:pt idx="7861">
                  <c:v>41667</c:v>
                </c:pt>
                <c:pt idx="7862">
                  <c:v>41668</c:v>
                </c:pt>
                <c:pt idx="7863">
                  <c:v>41669</c:v>
                </c:pt>
                <c:pt idx="7864">
                  <c:v>41670</c:v>
                </c:pt>
                <c:pt idx="7865">
                  <c:v>41673</c:v>
                </c:pt>
                <c:pt idx="7866">
                  <c:v>41674</c:v>
                </c:pt>
                <c:pt idx="7867">
                  <c:v>41675</c:v>
                </c:pt>
                <c:pt idx="7868">
                  <c:v>41676</c:v>
                </c:pt>
                <c:pt idx="7869">
                  <c:v>41677</c:v>
                </c:pt>
                <c:pt idx="7870">
                  <c:v>41680</c:v>
                </c:pt>
                <c:pt idx="7871">
                  <c:v>41681</c:v>
                </c:pt>
                <c:pt idx="7872">
                  <c:v>41682</c:v>
                </c:pt>
                <c:pt idx="7873">
                  <c:v>41683</c:v>
                </c:pt>
                <c:pt idx="7874">
                  <c:v>41684</c:v>
                </c:pt>
                <c:pt idx="7875">
                  <c:v>41687</c:v>
                </c:pt>
                <c:pt idx="7876">
                  <c:v>41688</c:v>
                </c:pt>
                <c:pt idx="7877">
                  <c:v>41689</c:v>
                </c:pt>
                <c:pt idx="7878">
                  <c:v>41690</c:v>
                </c:pt>
                <c:pt idx="7879">
                  <c:v>41691</c:v>
                </c:pt>
                <c:pt idx="7880">
                  <c:v>41694</c:v>
                </c:pt>
                <c:pt idx="7881">
                  <c:v>41695</c:v>
                </c:pt>
                <c:pt idx="7882">
                  <c:v>41696</c:v>
                </c:pt>
                <c:pt idx="7883">
                  <c:v>41697</c:v>
                </c:pt>
                <c:pt idx="7884">
                  <c:v>41698</c:v>
                </c:pt>
                <c:pt idx="7885">
                  <c:v>41701</c:v>
                </c:pt>
                <c:pt idx="7886">
                  <c:v>41702</c:v>
                </c:pt>
                <c:pt idx="7887">
                  <c:v>41703</c:v>
                </c:pt>
                <c:pt idx="7888">
                  <c:v>41704</c:v>
                </c:pt>
                <c:pt idx="7889">
                  <c:v>41705</c:v>
                </c:pt>
                <c:pt idx="7890">
                  <c:v>41708</c:v>
                </c:pt>
                <c:pt idx="7891">
                  <c:v>41709</c:v>
                </c:pt>
                <c:pt idx="7892">
                  <c:v>41710</c:v>
                </c:pt>
                <c:pt idx="7893">
                  <c:v>41711</c:v>
                </c:pt>
                <c:pt idx="7894">
                  <c:v>41712</c:v>
                </c:pt>
                <c:pt idx="7895">
                  <c:v>41715</c:v>
                </c:pt>
                <c:pt idx="7896">
                  <c:v>41716</c:v>
                </c:pt>
                <c:pt idx="7897">
                  <c:v>41717</c:v>
                </c:pt>
                <c:pt idx="7898">
                  <c:v>41718</c:v>
                </c:pt>
                <c:pt idx="7899">
                  <c:v>41719</c:v>
                </c:pt>
                <c:pt idx="7900">
                  <c:v>41722</c:v>
                </c:pt>
                <c:pt idx="7901">
                  <c:v>41723</c:v>
                </c:pt>
                <c:pt idx="7902">
                  <c:v>41724</c:v>
                </c:pt>
                <c:pt idx="7903">
                  <c:v>41725</c:v>
                </c:pt>
              </c:numCache>
            </c:numRef>
          </c:cat>
          <c:val>
            <c:numRef>
              <c:f>Sheet1!$C$5:$C$8200</c:f>
              <c:numCache>
                <c:formatCode>General</c:formatCode>
                <c:ptCount val="8196"/>
                <c:pt idx="0">
                  <c:v>0.91749999999999998</c:v>
                </c:pt>
                <c:pt idx="1">
                  <c:v>0.90100000000000002</c:v>
                </c:pt>
                <c:pt idx="2">
                  <c:v>0.9</c:v>
                </c:pt>
                <c:pt idx="3">
                  <c:v>0.89780000000000004</c:v>
                </c:pt>
                <c:pt idx="4">
                  <c:v>0.89280000000000004</c:v>
                </c:pt>
                <c:pt idx="5">
                  <c:v>0.877</c:v>
                </c:pt>
                <c:pt idx="6">
                  <c:v>0.87949999999999995</c:v>
                </c:pt>
                <c:pt idx="7">
                  <c:v>0.89049999999999996</c:v>
                </c:pt>
                <c:pt idx="8">
                  <c:v>0.90049999999999997</c:v>
                </c:pt>
                <c:pt idx="9">
                  <c:v>0.90049999999999997</c:v>
                </c:pt>
                <c:pt idx="10">
                  <c:v>0.90049999999999997</c:v>
                </c:pt>
                <c:pt idx="11">
                  <c:v>0.90049999999999997</c:v>
                </c:pt>
                <c:pt idx="12">
                  <c:v>0.89849999999999997</c:v>
                </c:pt>
                <c:pt idx="13">
                  <c:v>0.89249999999999996</c:v>
                </c:pt>
                <c:pt idx="14">
                  <c:v>0.90200000000000002</c:v>
                </c:pt>
                <c:pt idx="15">
                  <c:v>0.90200000000000002</c:v>
                </c:pt>
                <c:pt idx="16">
                  <c:v>0.90249999999999997</c:v>
                </c:pt>
                <c:pt idx="17">
                  <c:v>0.89980000000000004</c:v>
                </c:pt>
                <c:pt idx="18">
                  <c:v>0.89880000000000004</c:v>
                </c:pt>
                <c:pt idx="19">
                  <c:v>0.90229999999999999</c:v>
                </c:pt>
                <c:pt idx="20">
                  <c:v>0.9083</c:v>
                </c:pt>
                <c:pt idx="21">
                  <c:v>0.90600000000000003</c:v>
                </c:pt>
                <c:pt idx="22">
                  <c:v>0.90800000000000003</c:v>
                </c:pt>
                <c:pt idx="23">
                  <c:v>0.9052</c:v>
                </c:pt>
                <c:pt idx="24">
                  <c:v>0.90500000000000003</c:v>
                </c:pt>
                <c:pt idx="25">
                  <c:v>0.90380000000000005</c:v>
                </c:pt>
                <c:pt idx="26">
                  <c:v>0.90300000000000002</c:v>
                </c:pt>
                <c:pt idx="27">
                  <c:v>0.90200000000000002</c:v>
                </c:pt>
                <c:pt idx="28">
                  <c:v>0.89849999999999997</c:v>
                </c:pt>
                <c:pt idx="29">
                  <c:v>0.90149999999999997</c:v>
                </c:pt>
                <c:pt idx="30">
                  <c:v>0.90239999999999998</c:v>
                </c:pt>
                <c:pt idx="31">
                  <c:v>0.90669999999999995</c:v>
                </c:pt>
                <c:pt idx="32">
                  <c:v>0.90820000000000001</c:v>
                </c:pt>
                <c:pt idx="33">
                  <c:v>0.90869999999999995</c:v>
                </c:pt>
                <c:pt idx="34">
                  <c:v>0.91310000000000002</c:v>
                </c:pt>
                <c:pt idx="35">
                  <c:v>0.91310000000000002</c:v>
                </c:pt>
                <c:pt idx="36">
                  <c:v>0.91779999999999995</c:v>
                </c:pt>
                <c:pt idx="37">
                  <c:v>0.92030000000000001</c:v>
                </c:pt>
                <c:pt idx="38">
                  <c:v>0.92190000000000005</c:v>
                </c:pt>
                <c:pt idx="39">
                  <c:v>0.92400000000000004</c:v>
                </c:pt>
                <c:pt idx="40">
                  <c:v>0.92259999999999998</c:v>
                </c:pt>
                <c:pt idx="41">
                  <c:v>0.9214</c:v>
                </c:pt>
                <c:pt idx="42">
                  <c:v>0.92469999999999997</c:v>
                </c:pt>
                <c:pt idx="43">
                  <c:v>0.92959999999999998</c:v>
                </c:pt>
                <c:pt idx="44">
                  <c:v>0.93069999999999997</c:v>
                </c:pt>
                <c:pt idx="45">
                  <c:v>0.93159999999999998</c:v>
                </c:pt>
                <c:pt idx="46">
                  <c:v>0.93259999999999998</c:v>
                </c:pt>
                <c:pt idx="47">
                  <c:v>0.93810000000000004</c:v>
                </c:pt>
                <c:pt idx="48">
                  <c:v>0.94640000000000002</c:v>
                </c:pt>
                <c:pt idx="49">
                  <c:v>0.94530000000000003</c:v>
                </c:pt>
                <c:pt idx="50">
                  <c:v>0.94640000000000002</c:v>
                </c:pt>
                <c:pt idx="51">
                  <c:v>0.93500000000000005</c:v>
                </c:pt>
                <c:pt idx="52">
                  <c:v>0.93820000000000003</c:v>
                </c:pt>
                <c:pt idx="53">
                  <c:v>0.94499999999999995</c:v>
                </c:pt>
                <c:pt idx="54">
                  <c:v>0.94399999999999995</c:v>
                </c:pt>
                <c:pt idx="55">
                  <c:v>0.94259999999999999</c:v>
                </c:pt>
                <c:pt idx="56">
                  <c:v>0.94399999999999995</c:v>
                </c:pt>
                <c:pt idx="57">
                  <c:v>0.94289999999999996</c:v>
                </c:pt>
                <c:pt idx="58">
                  <c:v>0.94350000000000001</c:v>
                </c:pt>
                <c:pt idx="59">
                  <c:v>0.94320000000000004</c:v>
                </c:pt>
                <c:pt idx="60">
                  <c:v>0.95079999999999998</c:v>
                </c:pt>
                <c:pt idx="61">
                  <c:v>0.95499999999999996</c:v>
                </c:pt>
                <c:pt idx="62">
                  <c:v>0.95740000000000003</c:v>
                </c:pt>
                <c:pt idx="63">
                  <c:v>0.95330000000000004</c:v>
                </c:pt>
                <c:pt idx="64">
                  <c:v>0.95269999999999999</c:v>
                </c:pt>
                <c:pt idx="65">
                  <c:v>0.9546</c:v>
                </c:pt>
                <c:pt idx="66">
                  <c:v>0.96140000000000003</c:v>
                </c:pt>
                <c:pt idx="67">
                  <c:v>0.96479999999999999</c:v>
                </c:pt>
                <c:pt idx="68">
                  <c:v>0.96530000000000005</c:v>
                </c:pt>
                <c:pt idx="69">
                  <c:v>0.96530000000000005</c:v>
                </c:pt>
                <c:pt idx="70">
                  <c:v>0.95350000000000001</c:v>
                </c:pt>
                <c:pt idx="71">
                  <c:v>0.95730000000000004</c:v>
                </c:pt>
                <c:pt idx="72">
                  <c:v>0.95530000000000004</c:v>
                </c:pt>
                <c:pt idx="73">
                  <c:v>0.94179999999999997</c:v>
                </c:pt>
                <c:pt idx="74">
                  <c:v>0.9395</c:v>
                </c:pt>
                <c:pt idx="75">
                  <c:v>0.94869999999999999</c:v>
                </c:pt>
                <c:pt idx="76">
                  <c:v>0.94750000000000001</c:v>
                </c:pt>
                <c:pt idx="77">
                  <c:v>0.93840000000000001</c:v>
                </c:pt>
                <c:pt idx="78">
                  <c:v>0.9365</c:v>
                </c:pt>
                <c:pt idx="79">
                  <c:v>0.93500000000000005</c:v>
                </c:pt>
                <c:pt idx="80">
                  <c:v>0.93889999999999996</c:v>
                </c:pt>
                <c:pt idx="81">
                  <c:v>0.93889999999999996</c:v>
                </c:pt>
                <c:pt idx="82">
                  <c:v>0.93930000000000002</c:v>
                </c:pt>
                <c:pt idx="83">
                  <c:v>0.93330000000000002</c:v>
                </c:pt>
                <c:pt idx="84">
                  <c:v>0.91849999999999998</c:v>
                </c:pt>
                <c:pt idx="85">
                  <c:v>0.91149999999999998</c:v>
                </c:pt>
                <c:pt idx="86">
                  <c:v>0.9153</c:v>
                </c:pt>
                <c:pt idx="87">
                  <c:v>0.92020000000000002</c:v>
                </c:pt>
                <c:pt idx="88">
                  <c:v>0.9224</c:v>
                </c:pt>
                <c:pt idx="89">
                  <c:v>0.91749999999999998</c:v>
                </c:pt>
                <c:pt idx="90">
                  <c:v>0.91839999999999999</c:v>
                </c:pt>
                <c:pt idx="91">
                  <c:v>0.92120000000000002</c:v>
                </c:pt>
                <c:pt idx="92">
                  <c:v>0.92310000000000003</c:v>
                </c:pt>
                <c:pt idx="93">
                  <c:v>0.92300000000000004</c:v>
                </c:pt>
                <c:pt idx="94">
                  <c:v>0.92300000000000004</c:v>
                </c:pt>
                <c:pt idx="95">
                  <c:v>0.92300000000000004</c:v>
                </c:pt>
                <c:pt idx="96">
                  <c:v>0.92079999999999995</c:v>
                </c:pt>
                <c:pt idx="97">
                  <c:v>0.92079999999999995</c:v>
                </c:pt>
                <c:pt idx="98">
                  <c:v>0.92069999999999996</c:v>
                </c:pt>
                <c:pt idx="99">
                  <c:v>0.92130000000000001</c:v>
                </c:pt>
                <c:pt idx="100">
                  <c:v>0.92010000000000003</c:v>
                </c:pt>
                <c:pt idx="101">
                  <c:v>0.92279999999999995</c:v>
                </c:pt>
                <c:pt idx="102">
                  <c:v>0.92530000000000001</c:v>
                </c:pt>
                <c:pt idx="103">
                  <c:v>0.93089999999999995</c:v>
                </c:pt>
                <c:pt idx="104">
                  <c:v>0.92700000000000005</c:v>
                </c:pt>
                <c:pt idx="105">
                  <c:v>0.91979999999999995</c:v>
                </c:pt>
                <c:pt idx="106">
                  <c:v>0.91439999999999999</c:v>
                </c:pt>
                <c:pt idx="107">
                  <c:v>0.90820000000000001</c:v>
                </c:pt>
                <c:pt idx="108">
                  <c:v>0.90439999999999998</c:v>
                </c:pt>
                <c:pt idx="109">
                  <c:v>0.90400000000000003</c:v>
                </c:pt>
                <c:pt idx="110">
                  <c:v>0.89829999999999999</c:v>
                </c:pt>
                <c:pt idx="111">
                  <c:v>0.89910000000000001</c:v>
                </c:pt>
                <c:pt idx="112">
                  <c:v>0.90200000000000002</c:v>
                </c:pt>
                <c:pt idx="113">
                  <c:v>0.90010000000000001</c:v>
                </c:pt>
                <c:pt idx="114">
                  <c:v>0.89290000000000003</c:v>
                </c:pt>
                <c:pt idx="115">
                  <c:v>0.89139999999999997</c:v>
                </c:pt>
                <c:pt idx="116">
                  <c:v>0.89880000000000004</c:v>
                </c:pt>
                <c:pt idx="117">
                  <c:v>0.9032</c:v>
                </c:pt>
                <c:pt idx="118">
                  <c:v>0.90090000000000003</c:v>
                </c:pt>
                <c:pt idx="119">
                  <c:v>0.90190000000000003</c:v>
                </c:pt>
                <c:pt idx="120">
                  <c:v>0.89890000000000003</c:v>
                </c:pt>
                <c:pt idx="121">
                  <c:v>0.8972</c:v>
                </c:pt>
                <c:pt idx="122">
                  <c:v>0.89700000000000002</c:v>
                </c:pt>
                <c:pt idx="123">
                  <c:v>0.8992</c:v>
                </c:pt>
                <c:pt idx="124">
                  <c:v>0.89959999999999996</c:v>
                </c:pt>
                <c:pt idx="125">
                  <c:v>0.90439999999999998</c:v>
                </c:pt>
                <c:pt idx="126">
                  <c:v>0.90039999999999998</c:v>
                </c:pt>
                <c:pt idx="127">
                  <c:v>0.89410000000000001</c:v>
                </c:pt>
                <c:pt idx="128">
                  <c:v>0.8972</c:v>
                </c:pt>
                <c:pt idx="129">
                  <c:v>0.89839999999999998</c:v>
                </c:pt>
                <c:pt idx="130">
                  <c:v>0.89839999999999998</c:v>
                </c:pt>
                <c:pt idx="131">
                  <c:v>0.89639999999999997</c:v>
                </c:pt>
                <c:pt idx="132">
                  <c:v>0.89539999999999997</c:v>
                </c:pt>
                <c:pt idx="133">
                  <c:v>0.89359999999999995</c:v>
                </c:pt>
                <c:pt idx="134">
                  <c:v>0.88790000000000002</c:v>
                </c:pt>
                <c:pt idx="135">
                  <c:v>0.88280000000000003</c:v>
                </c:pt>
                <c:pt idx="136">
                  <c:v>0.88349999999999995</c:v>
                </c:pt>
                <c:pt idx="137">
                  <c:v>0.88429999999999997</c:v>
                </c:pt>
                <c:pt idx="138">
                  <c:v>0.87280000000000002</c:v>
                </c:pt>
                <c:pt idx="139">
                  <c:v>0.86680000000000001</c:v>
                </c:pt>
                <c:pt idx="140">
                  <c:v>0.85570000000000002</c:v>
                </c:pt>
                <c:pt idx="141">
                  <c:v>0.85680000000000001</c:v>
                </c:pt>
                <c:pt idx="142">
                  <c:v>0.86429999999999996</c:v>
                </c:pt>
                <c:pt idx="143">
                  <c:v>0.86140000000000005</c:v>
                </c:pt>
                <c:pt idx="144">
                  <c:v>0.86129999999999995</c:v>
                </c:pt>
                <c:pt idx="145">
                  <c:v>0.85670000000000002</c:v>
                </c:pt>
                <c:pt idx="146">
                  <c:v>0.85729999999999995</c:v>
                </c:pt>
                <c:pt idx="147">
                  <c:v>0.85619999999999996</c:v>
                </c:pt>
                <c:pt idx="148">
                  <c:v>0.8518</c:v>
                </c:pt>
                <c:pt idx="149">
                  <c:v>0.84019999999999995</c:v>
                </c:pt>
                <c:pt idx="150">
                  <c:v>0.83460000000000001</c:v>
                </c:pt>
                <c:pt idx="151">
                  <c:v>0.83089999999999997</c:v>
                </c:pt>
                <c:pt idx="152">
                  <c:v>0.82240000000000002</c:v>
                </c:pt>
                <c:pt idx="153">
                  <c:v>0.82579999999999998</c:v>
                </c:pt>
                <c:pt idx="154">
                  <c:v>0.84</c:v>
                </c:pt>
                <c:pt idx="155">
                  <c:v>0.83960000000000001</c:v>
                </c:pt>
                <c:pt idx="156">
                  <c:v>0.83389999999999997</c:v>
                </c:pt>
                <c:pt idx="157">
                  <c:v>0.82730000000000004</c:v>
                </c:pt>
                <c:pt idx="158">
                  <c:v>0.82889999999999997</c:v>
                </c:pt>
                <c:pt idx="159">
                  <c:v>0.83069999999999999</c:v>
                </c:pt>
                <c:pt idx="160">
                  <c:v>0.82320000000000004</c:v>
                </c:pt>
                <c:pt idx="161">
                  <c:v>0.82310000000000005</c:v>
                </c:pt>
                <c:pt idx="162">
                  <c:v>0.82899999999999996</c:v>
                </c:pt>
                <c:pt idx="163">
                  <c:v>0.84019999999999995</c:v>
                </c:pt>
                <c:pt idx="164">
                  <c:v>0.83879999999999999</c:v>
                </c:pt>
                <c:pt idx="165">
                  <c:v>0.82779999999999998</c:v>
                </c:pt>
                <c:pt idx="166">
                  <c:v>0.83</c:v>
                </c:pt>
                <c:pt idx="167">
                  <c:v>0.83050000000000002</c:v>
                </c:pt>
                <c:pt idx="168">
                  <c:v>0.8347</c:v>
                </c:pt>
                <c:pt idx="169">
                  <c:v>0.83809999999999996</c:v>
                </c:pt>
                <c:pt idx="170">
                  <c:v>0.8468</c:v>
                </c:pt>
                <c:pt idx="171">
                  <c:v>0.83819999999999995</c:v>
                </c:pt>
                <c:pt idx="172">
                  <c:v>0.8427</c:v>
                </c:pt>
                <c:pt idx="173">
                  <c:v>0.84340000000000004</c:v>
                </c:pt>
                <c:pt idx="174">
                  <c:v>0.84370000000000001</c:v>
                </c:pt>
                <c:pt idx="175">
                  <c:v>0.8407</c:v>
                </c:pt>
                <c:pt idx="176">
                  <c:v>0.84099999999999997</c:v>
                </c:pt>
                <c:pt idx="177">
                  <c:v>0.84319999999999995</c:v>
                </c:pt>
                <c:pt idx="178">
                  <c:v>0.84450000000000003</c:v>
                </c:pt>
                <c:pt idx="179">
                  <c:v>0.84740000000000004</c:v>
                </c:pt>
                <c:pt idx="180">
                  <c:v>0.85489999999999999</c:v>
                </c:pt>
                <c:pt idx="181">
                  <c:v>0.85350000000000004</c:v>
                </c:pt>
                <c:pt idx="182">
                  <c:v>0.85419999999999996</c:v>
                </c:pt>
                <c:pt idx="183">
                  <c:v>0.85460000000000003</c:v>
                </c:pt>
                <c:pt idx="184">
                  <c:v>0.85629999999999995</c:v>
                </c:pt>
                <c:pt idx="185">
                  <c:v>0.85229999999999995</c:v>
                </c:pt>
                <c:pt idx="186">
                  <c:v>0.84970000000000001</c:v>
                </c:pt>
                <c:pt idx="187">
                  <c:v>0.85289999999999999</c:v>
                </c:pt>
                <c:pt idx="188">
                  <c:v>0.85189999999999999</c:v>
                </c:pt>
                <c:pt idx="189">
                  <c:v>0.8488</c:v>
                </c:pt>
                <c:pt idx="190">
                  <c:v>0.84550000000000003</c:v>
                </c:pt>
                <c:pt idx="191">
                  <c:v>0.8417</c:v>
                </c:pt>
                <c:pt idx="192">
                  <c:v>0.83179999999999998</c:v>
                </c:pt>
                <c:pt idx="193">
                  <c:v>0.83309999999999995</c:v>
                </c:pt>
                <c:pt idx="194">
                  <c:v>0.83009999999999995</c:v>
                </c:pt>
                <c:pt idx="195">
                  <c:v>0.8276</c:v>
                </c:pt>
                <c:pt idx="196">
                  <c:v>0.83430000000000004</c:v>
                </c:pt>
                <c:pt idx="197">
                  <c:v>0.83630000000000004</c:v>
                </c:pt>
                <c:pt idx="198">
                  <c:v>0.83250000000000002</c:v>
                </c:pt>
                <c:pt idx="199">
                  <c:v>0.83250000000000002</c:v>
                </c:pt>
                <c:pt idx="200">
                  <c:v>0.82830000000000004</c:v>
                </c:pt>
                <c:pt idx="201">
                  <c:v>0.82909999999999995</c:v>
                </c:pt>
                <c:pt idx="202">
                  <c:v>0.83209999999999995</c:v>
                </c:pt>
                <c:pt idx="203">
                  <c:v>0.83109999999999995</c:v>
                </c:pt>
                <c:pt idx="204">
                  <c:v>0.82830000000000004</c:v>
                </c:pt>
                <c:pt idx="205">
                  <c:v>0.83160000000000001</c:v>
                </c:pt>
                <c:pt idx="206">
                  <c:v>0.83150000000000002</c:v>
                </c:pt>
                <c:pt idx="207">
                  <c:v>0.82879999999999998</c:v>
                </c:pt>
                <c:pt idx="208">
                  <c:v>0.83279999999999998</c:v>
                </c:pt>
                <c:pt idx="209">
                  <c:v>0.83299999999999996</c:v>
                </c:pt>
                <c:pt idx="210">
                  <c:v>0.83040000000000003</c:v>
                </c:pt>
                <c:pt idx="211">
                  <c:v>0.83120000000000005</c:v>
                </c:pt>
                <c:pt idx="212">
                  <c:v>0.83320000000000005</c:v>
                </c:pt>
                <c:pt idx="213">
                  <c:v>0.83279999999999998</c:v>
                </c:pt>
                <c:pt idx="214">
                  <c:v>0.8337</c:v>
                </c:pt>
                <c:pt idx="215">
                  <c:v>0.8337</c:v>
                </c:pt>
                <c:pt idx="216">
                  <c:v>0.8337</c:v>
                </c:pt>
                <c:pt idx="217">
                  <c:v>0.83150000000000002</c:v>
                </c:pt>
                <c:pt idx="218">
                  <c:v>0.83099999999999996</c:v>
                </c:pt>
                <c:pt idx="219">
                  <c:v>0.83099999999999996</c:v>
                </c:pt>
                <c:pt idx="220">
                  <c:v>0.83020000000000005</c:v>
                </c:pt>
                <c:pt idx="221">
                  <c:v>0.82989999999999997</c:v>
                </c:pt>
                <c:pt idx="222">
                  <c:v>0.82969999999999999</c:v>
                </c:pt>
                <c:pt idx="223">
                  <c:v>0.83150000000000002</c:v>
                </c:pt>
                <c:pt idx="224">
                  <c:v>0.83330000000000004</c:v>
                </c:pt>
                <c:pt idx="225">
                  <c:v>0.83520000000000005</c:v>
                </c:pt>
                <c:pt idx="226">
                  <c:v>0.83540000000000003</c:v>
                </c:pt>
                <c:pt idx="227">
                  <c:v>0.84360000000000002</c:v>
                </c:pt>
                <c:pt idx="228">
                  <c:v>0.84830000000000005</c:v>
                </c:pt>
                <c:pt idx="229">
                  <c:v>0.8488</c:v>
                </c:pt>
                <c:pt idx="230">
                  <c:v>0.84219999999999995</c:v>
                </c:pt>
                <c:pt idx="231">
                  <c:v>0.84219999999999995</c:v>
                </c:pt>
                <c:pt idx="232">
                  <c:v>0.84870000000000001</c:v>
                </c:pt>
                <c:pt idx="233">
                  <c:v>0.85160000000000002</c:v>
                </c:pt>
                <c:pt idx="234">
                  <c:v>0.85809999999999997</c:v>
                </c:pt>
                <c:pt idx="235">
                  <c:v>0.86140000000000005</c:v>
                </c:pt>
                <c:pt idx="236">
                  <c:v>0.86209999999999998</c:v>
                </c:pt>
                <c:pt idx="237">
                  <c:v>0.86380000000000001</c:v>
                </c:pt>
                <c:pt idx="238">
                  <c:v>0.86460000000000004</c:v>
                </c:pt>
                <c:pt idx="239">
                  <c:v>0.86250000000000004</c:v>
                </c:pt>
                <c:pt idx="240">
                  <c:v>0.86160000000000003</c:v>
                </c:pt>
                <c:pt idx="241">
                  <c:v>0.86319999999999997</c:v>
                </c:pt>
                <c:pt idx="242">
                  <c:v>0.86060000000000003</c:v>
                </c:pt>
                <c:pt idx="243">
                  <c:v>0.85929999999999995</c:v>
                </c:pt>
                <c:pt idx="244">
                  <c:v>0.85829999999999995</c:v>
                </c:pt>
                <c:pt idx="245">
                  <c:v>0.86029999999999995</c:v>
                </c:pt>
                <c:pt idx="246">
                  <c:v>0.85929999999999995</c:v>
                </c:pt>
                <c:pt idx="247">
                  <c:v>0.85650000000000004</c:v>
                </c:pt>
                <c:pt idx="248">
                  <c:v>0.85950000000000004</c:v>
                </c:pt>
                <c:pt idx="249">
                  <c:v>0.85780000000000001</c:v>
                </c:pt>
                <c:pt idx="250">
                  <c:v>0.85419999999999996</c:v>
                </c:pt>
                <c:pt idx="251">
                  <c:v>0.85509999999999997</c:v>
                </c:pt>
                <c:pt idx="252">
                  <c:v>0.85770000000000002</c:v>
                </c:pt>
                <c:pt idx="253">
                  <c:v>0.86019999999999996</c:v>
                </c:pt>
                <c:pt idx="254">
                  <c:v>0.85960000000000003</c:v>
                </c:pt>
                <c:pt idx="255">
                  <c:v>0.85580000000000001</c:v>
                </c:pt>
                <c:pt idx="256">
                  <c:v>0.85409999999999997</c:v>
                </c:pt>
                <c:pt idx="257">
                  <c:v>0.85450000000000004</c:v>
                </c:pt>
                <c:pt idx="258">
                  <c:v>0.85119999999999996</c:v>
                </c:pt>
                <c:pt idx="259">
                  <c:v>0.85060000000000002</c:v>
                </c:pt>
                <c:pt idx="260">
                  <c:v>0.84340000000000004</c:v>
                </c:pt>
                <c:pt idx="261">
                  <c:v>0.84419999999999995</c:v>
                </c:pt>
                <c:pt idx="262">
                  <c:v>0.8478</c:v>
                </c:pt>
                <c:pt idx="263">
                  <c:v>0.84560000000000002</c:v>
                </c:pt>
                <c:pt idx="264">
                  <c:v>0.84040000000000004</c:v>
                </c:pt>
                <c:pt idx="265">
                  <c:v>0.83819999999999995</c:v>
                </c:pt>
                <c:pt idx="266">
                  <c:v>0.83530000000000004</c:v>
                </c:pt>
                <c:pt idx="267">
                  <c:v>0.83550000000000002</c:v>
                </c:pt>
                <c:pt idx="268">
                  <c:v>0.83120000000000005</c:v>
                </c:pt>
                <c:pt idx="269">
                  <c:v>0.83279999999999998</c:v>
                </c:pt>
                <c:pt idx="270">
                  <c:v>0.83499999999999996</c:v>
                </c:pt>
                <c:pt idx="271">
                  <c:v>0.83499999999999996</c:v>
                </c:pt>
                <c:pt idx="272">
                  <c:v>0.83499999999999996</c:v>
                </c:pt>
                <c:pt idx="273">
                  <c:v>0.83030000000000004</c:v>
                </c:pt>
                <c:pt idx="274">
                  <c:v>0.82779999999999998</c:v>
                </c:pt>
                <c:pt idx="275">
                  <c:v>0.82779999999999998</c:v>
                </c:pt>
                <c:pt idx="276">
                  <c:v>0.82779999999999998</c:v>
                </c:pt>
                <c:pt idx="277">
                  <c:v>0.81930000000000003</c:v>
                </c:pt>
                <c:pt idx="278">
                  <c:v>0.80830000000000002</c:v>
                </c:pt>
                <c:pt idx="279">
                  <c:v>0.81869999999999998</c:v>
                </c:pt>
                <c:pt idx="280">
                  <c:v>0.81030000000000002</c:v>
                </c:pt>
                <c:pt idx="281">
                  <c:v>0.81559999999999999</c:v>
                </c:pt>
                <c:pt idx="282">
                  <c:v>0.80989999999999995</c:v>
                </c:pt>
                <c:pt idx="283">
                  <c:v>0.81759999999999999</c:v>
                </c:pt>
                <c:pt idx="284">
                  <c:v>0.82220000000000004</c:v>
                </c:pt>
                <c:pt idx="285">
                  <c:v>0.82169999999999999</c:v>
                </c:pt>
                <c:pt idx="286">
                  <c:v>0.81730000000000003</c:v>
                </c:pt>
                <c:pt idx="287">
                  <c:v>0.81869999999999998</c:v>
                </c:pt>
                <c:pt idx="288">
                  <c:v>0.81950000000000001</c:v>
                </c:pt>
                <c:pt idx="289">
                  <c:v>0.81759999999999999</c:v>
                </c:pt>
                <c:pt idx="290">
                  <c:v>0.81689999999999996</c:v>
                </c:pt>
                <c:pt idx="291">
                  <c:v>0.81230000000000002</c:v>
                </c:pt>
                <c:pt idx="292">
                  <c:v>0.81210000000000004</c:v>
                </c:pt>
                <c:pt idx="293">
                  <c:v>0.81369999999999998</c:v>
                </c:pt>
                <c:pt idx="294">
                  <c:v>0.81369999999999998</c:v>
                </c:pt>
                <c:pt idx="295">
                  <c:v>0.81369999999999998</c:v>
                </c:pt>
                <c:pt idx="296">
                  <c:v>0.81679999999999997</c:v>
                </c:pt>
                <c:pt idx="297">
                  <c:v>0.81510000000000005</c:v>
                </c:pt>
                <c:pt idx="298">
                  <c:v>0.81499999999999995</c:v>
                </c:pt>
                <c:pt idx="299">
                  <c:v>0.81299999999999994</c:v>
                </c:pt>
                <c:pt idx="300">
                  <c:v>0.79369999999999996</c:v>
                </c:pt>
                <c:pt idx="301">
                  <c:v>0.78490000000000004</c:v>
                </c:pt>
                <c:pt idx="302">
                  <c:v>0.78129999999999999</c:v>
                </c:pt>
                <c:pt idx="303">
                  <c:v>0.76770000000000005</c:v>
                </c:pt>
                <c:pt idx="304">
                  <c:v>0.77529999999999999</c:v>
                </c:pt>
                <c:pt idx="305">
                  <c:v>0.76529999999999998</c:v>
                </c:pt>
                <c:pt idx="306">
                  <c:v>0.75090000000000001</c:v>
                </c:pt>
                <c:pt idx="307">
                  <c:v>0.74150000000000005</c:v>
                </c:pt>
                <c:pt idx="308">
                  <c:v>0.74109999999999998</c:v>
                </c:pt>
                <c:pt idx="309">
                  <c:v>0.74050000000000005</c:v>
                </c:pt>
                <c:pt idx="310">
                  <c:v>0.74470000000000003</c:v>
                </c:pt>
                <c:pt idx="311">
                  <c:v>0.71150000000000002</c:v>
                </c:pt>
                <c:pt idx="312">
                  <c:v>0.6885</c:v>
                </c:pt>
                <c:pt idx="313">
                  <c:v>0.70550000000000002</c:v>
                </c:pt>
                <c:pt idx="314">
                  <c:v>0.71150000000000002</c:v>
                </c:pt>
                <c:pt idx="315">
                  <c:v>0.70350000000000001</c:v>
                </c:pt>
                <c:pt idx="316">
                  <c:v>0.7</c:v>
                </c:pt>
                <c:pt idx="317">
                  <c:v>0.69750000000000001</c:v>
                </c:pt>
                <c:pt idx="318">
                  <c:v>0.71379999999999999</c:v>
                </c:pt>
                <c:pt idx="319">
                  <c:v>0.70630000000000004</c:v>
                </c:pt>
                <c:pt idx="320">
                  <c:v>0.70899999999999996</c:v>
                </c:pt>
                <c:pt idx="321">
                  <c:v>0.69630000000000003</c:v>
                </c:pt>
                <c:pt idx="322">
                  <c:v>0.68359999999999999</c:v>
                </c:pt>
                <c:pt idx="323">
                  <c:v>0.68859999999999999</c:v>
                </c:pt>
                <c:pt idx="324">
                  <c:v>0.68989999999999996</c:v>
                </c:pt>
                <c:pt idx="325">
                  <c:v>0.69520000000000004</c:v>
                </c:pt>
                <c:pt idx="326">
                  <c:v>0.7026</c:v>
                </c:pt>
                <c:pt idx="327">
                  <c:v>0.69640000000000002</c:v>
                </c:pt>
                <c:pt idx="328">
                  <c:v>0.68920000000000003</c:v>
                </c:pt>
                <c:pt idx="329">
                  <c:v>0.68489999999999995</c:v>
                </c:pt>
                <c:pt idx="330">
                  <c:v>0.68820000000000003</c:v>
                </c:pt>
                <c:pt idx="331">
                  <c:v>0.69259999999999999</c:v>
                </c:pt>
                <c:pt idx="332">
                  <c:v>0.70369999999999999</c:v>
                </c:pt>
                <c:pt idx="333">
                  <c:v>0.69289999999999996</c:v>
                </c:pt>
                <c:pt idx="334">
                  <c:v>0.69979999999999998</c:v>
                </c:pt>
                <c:pt idx="335">
                  <c:v>0.69540000000000002</c:v>
                </c:pt>
                <c:pt idx="336">
                  <c:v>0.69579999999999997</c:v>
                </c:pt>
                <c:pt idx="337">
                  <c:v>0.70289999999999997</c:v>
                </c:pt>
                <c:pt idx="338">
                  <c:v>0.70650000000000002</c:v>
                </c:pt>
                <c:pt idx="339">
                  <c:v>0.70509999999999995</c:v>
                </c:pt>
                <c:pt idx="340">
                  <c:v>0.70040000000000002</c:v>
                </c:pt>
                <c:pt idx="341">
                  <c:v>0.67079999999999995</c:v>
                </c:pt>
                <c:pt idx="342">
                  <c:v>0.66649999999999998</c:v>
                </c:pt>
                <c:pt idx="343">
                  <c:v>0.65500000000000003</c:v>
                </c:pt>
                <c:pt idx="344">
                  <c:v>0.65500000000000003</c:v>
                </c:pt>
                <c:pt idx="345">
                  <c:v>0.65500000000000003</c:v>
                </c:pt>
                <c:pt idx="346">
                  <c:v>0.66649999999999998</c:v>
                </c:pt>
                <c:pt idx="347">
                  <c:v>0.66379999999999995</c:v>
                </c:pt>
                <c:pt idx="348">
                  <c:v>0.66869999999999996</c:v>
                </c:pt>
                <c:pt idx="349">
                  <c:v>0.67020000000000002</c:v>
                </c:pt>
                <c:pt idx="350">
                  <c:v>0.6633</c:v>
                </c:pt>
                <c:pt idx="351">
                  <c:v>0.66949999999999998</c:v>
                </c:pt>
                <c:pt idx="352">
                  <c:v>0.66490000000000005</c:v>
                </c:pt>
                <c:pt idx="353">
                  <c:v>0.63849999999999996</c:v>
                </c:pt>
                <c:pt idx="354">
                  <c:v>0.63949999999999996</c:v>
                </c:pt>
                <c:pt idx="355">
                  <c:v>0.63080000000000003</c:v>
                </c:pt>
                <c:pt idx="356">
                  <c:v>0.63649999999999995</c:v>
                </c:pt>
                <c:pt idx="357">
                  <c:v>0.65649999999999997</c:v>
                </c:pt>
                <c:pt idx="358">
                  <c:v>0.65649999999999997</c:v>
                </c:pt>
                <c:pt idx="359">
                  <c:v>0.65449999999999997</c:v>
                </c:pt>
                <c:pt idx="360">
                  <c:v>0.65800000000000003</c:v>
                </c:pt>
                <c:pt idx="361">
                  <c:v>0.65229999999999999</c:v>
                </c:pt>
                <c:pt idx="362">
                  <c:v>0.65029999999999999</c:v>
                </c:pt>
                <c:pt idx="363">
                  <c:v>0.65</c:v>
                </c:pt>
                <c:pt idx="364">
                  <c:v>0.66149999999999998</c:v>
                </c:pt>
                <c:pt idx="365">
                  <c:v>0.66549999999999998</c:v>
                </c:pt>
                <c:pt idx="366">
                  <c:v>0.66320000000000001</c:v>
                </c:pt>
                <c:pt idx="367">
                  <c:v>0.68330000000000002</c:v>
                </c:pt>
                <c:pt idx="368">
                  <c:v>0.69299999999999995</c:v>
                </c:pt>
                <c:pt idx="369">
                  <c:v>0.68869999999999998</c:v>
                </c:pt>
                <c:pt idx="370">
                  <c:v>0.69569999999999999</c:v>
                </c:pt>
                <c:pt idx="371">
                  <c:v>0.70299999999999996</c:v>
                </c:pt>
                <c:pt idx="372">
                  <c:v>0.69350000000000001</c:v>
                </c:pt>
                <c:pt idx="373">
                  <c:v>0.68149999999999999</c:v>
                </c:pt>
                <c:pt idx="374">
                  <c:v>0.68100000000000005</c:v>
                </c:pt>
                <c:pt idx="375">
                  <c:v>0.69350000000000001</c:v>
                </c:pt>
                <c:pt idx="376">
                  <c:v>0.69230000000000003</c:v>
                </c:pt>
                <c:pt idx="377">
                  <c:v>0.69279999999999997</c:v>
                </c:pt>
                <c:pt idx="378">
                  <c:v>0.68179999999999996</c:v>
                </c:pt>
                <c:pt idx="379">
                  <c:v>0.68069999999999997</c:v>
                </c:pt>
                <c:pt idx="380">
                  <c:v>0.66569999999999996</c:v>
                </c:pt>
                <c:pt idx="381">
                  <c:v>0.65549999999999997</c:v>
                </c:pt>
                <c:pt idx="382">
                  <c:v>0.6593</c:v>
                </c:pt>
                <c:pt idx="383">
                  <c:v>0.66500000000000004</c:v>
                </c:pt>
                <c:pt idx="384">
                  <c:v>0.65800000000000003</c:v>
                </c:pt>
                <c:pt idx="385">
                  <c:v>0.66180000000000005</c:v>
                </c:pt>
                <c:pt idx="386">
                  <c:v>0.66249999999999998</c:v>
                </c:pt>
                <c:pt idx="387">
                  <c:v>0.65749999999999997</c:v>
                </c:pt>
                <c:pt idx="388">
                  <c:v>0.66149999999999998</c:v>
                </c:pt>
                <c:pt idx="389">
                  <c:v>0.6633</c:v>
                </c:pt>
                <c:pt idx="390">
                  <c:v>0.6633</c:v>
                </c:pt>
                <c:pt idx="391">
                  <c:v>0.66249999999999998</c:v>
                </c:pt>
                <c:pt idx="392">
                  <c:v>0.67</c:v>
                </c:pt>
                <c:pt idx="393">
                  <c:v>0.66400000000000003</c:v>
                </c:pt>
                <c:pt idx="394">
                  <c:v>0.6643</c:v>
                </c:pt>
                <c:pt idx="395">
                  <c:v>0.66149999999999998</c:v>
                </c:pt>
                <c:pt idx="396">
                  <c:v>0.66080000000000005</c:v>
                </c:pt>
                <c:pt idx="397">
                  <c:v>0.67049999999999998</c:v>
                </c:pt>
                <c:pt idx="398">
                  <c:v>0.66569999999999996</c:v>
                </c:pt>
                <c:pt idx="399">
                  <c:v>0.66649999999999998</c:v>
                </c:pt>
                <c:pt idx="400">
                  <c:v>0.6633</c:v>
                </c:pt>
                <c:pt idx="401">
                  <c:v>0.66500000000000004</c:v>
                </c:pt>
                <c:pt idx="402">
                  <c:v>0.66839999999999999</c:v>
                </c:pt>
                <c:pt idx="403">
                  <c:v>0.66869999999999996</c:v>
                </c:pt>
                <c:pt idx="404">
                  <c:v>0.66549999999999998</c:v>
                </c:pt>
                <c:pt idx="405">
                  <c:v>0.66810000000000003</c:v>
                </c:pt>
                <c:pt idx="406">
                  <c:v>0.66679999999999995</c:v>
                </c:pt>
                <c:pt idx="407">
                  <c:v>0.66690000000000005</c:v>
                </c:pt>
                <c:pt idx="408">
                  <c:v>0.66869999999999996</c:v>
                </c:pt>
                <c:pt idx="409">
                  <c:v>0.67220000000000002</c:v>
                </c:pt>
                <c:pt idx="410">
                  <c:v>0.67700000000000005</c:v>
                </c:pt>
                <c:pt idx="411">
                  <c:v>0.68120000000000003</c:v>
                </c:pt>
                <c:pt idx="412">
                  <c:v>0.68300000000000005</c:v>
                </c:pt>
                <c:pt idx="413">
                  <c:v>0.69499999999999995</c:v>
                </c:pt>
                <c:pt idx="414">
                  <c:v>0.69750000000000001</c:v>
                </c:pt>
                <c:pt idx="415">
                  <c:v>0.70569999999999999</c:v>
                </c:pt>
                <c:pt idx="416">
                  <c:v>0.70720000000000005</c:v>
                </c:pt>
                <c:pt idx="417">
                  <c:v>0.70509999999999995</c:v>
                </c:pt>
                <c:pt idx="418">
                  <c:v>0.7157</c:v>
                </c:pt>
                <c:pt idx="419">
                  <c:v>0.71260000000000001</c:v>
                </c:pt>
                <c:pt idx="420">
                  <c:v>0.70940000000000003</c:v>
                </c:pt>
                <c:pt idx="421">
                  <c:v>0.71440000000000003</c:v>
                </c:pt>
                <c:pt idx="422">
                  <c:v>0.71299999999999997</c:v>
                </c:pt>
                <c:pt idx="423">
                  <c:v>0.70469999999999999</c:v>
                </c:pt>
                <c:pt idx="424">
                  <c:v>0.70589999999999997</c:v>
                </c:pt>
                <c:pt idx="425">
                  <c:v>0.71560000000000001</c:v>
                </c:pt>
                <c:pt idx="426">
                  <c:v>0.7177</c:v>
                </c:pt>
                <c:pt idx="427">
                  <c:v>0.72709999999999997</c:v>
                </c:pt>
                <c:pt idx="428">
                  <c:v>0.72440000000000004</c:v>
                </c:pt>
                <c:pt idx="429">
                  <c:v>0.71340000000000003</c:v>
                </c:pt>
                <c:pt idx="430">
                  <c:v>0.71699999999999997</c:v>
                </c:pt>
                <c:pt idx="431">
                  <c:v>0.71360000000000001</c:v>
                </c:pt>
                <c:pt idx="432">
                  <c:v>0.70089999999999997</c:v>
                </c:pt>
                <c:pt idx="433">
                  <c:v>0.70350000000000001</c:v>
                </c:pt>
                <c:pt idx="434">
                  <c:v>0.7056</c:v>
                </c:pt>
                <c:pt idx="435">
                  <c:v>0.71540000000000004</c:v>
                </c:pt>
                <c:pt idx="436">
                  <c:v>0.71240000000000003</c:v>
                </c:pt>
                <c:pt idx="437">
                  <c:v>0.70740000000000003</c:v>
                </c:pt>
                <c:pt idx="438">
                  <c:v>0.70520000000000005</c:v>
                </c:pt>
                <c:pt idx="439">
                  <c:v>0.70040000000000002</c:v>
                </c:pt>
                <c:pt idx="440">
                  <c:v>0.70469999999999999</c:v>
                </c:pt>
                <c:pt idx="441">
                  <c:v>0.70469999999999999</c:v>
                </c:pt>
                <c:pt idx="442">
                  <c:v>0.70520000000000005</c:v>
                </c:pt>
                <c:pt idx="443">
                  <c:v>0.70569999999999999</c:v>
                </c:pt>
                <c:pt idx="444">
                  <c:v>0.70469999999999999</c:v>
                </c:pt>
                <c:pt idx="445">
                  <c:v>0.70420000000000005</c:v>
                </c:pt>
                <c:pt idx="446">
                  <c:v>0.70269999999999999</c:v>
                </c:pt>
                <c:pt idx="447">
                  <c:v>0.7016</c:v>
                </c:pt>
                <c:pt idx="448">
                  <c:v>0.70320000000000005</c:v>
                </c:pt>
                <c:pt idx="449">
                  <c:v>0.70340000000000003</c:v>
                </c:pt>
                <c:pt idx="450">
                  <c:v>0.69840000000000002</c:v>
                </c:pt>
                <c:pt idx="451">
                  <c:v>0.68840000000000001</c:v>
                </c:pt>
                <c:pt idx="452">
                  <c:v>0.68469999999999998</c:v>
                </c:pt>
                <c:pt idx="453">
                  <c:v>0.69040000000000001</c:v>
                </c:pt>
                <c:pt idx="454">
                  <c:v>0.68820000000000003</c:v>
                </c:pt>
                <c:pt idx="455">
                  <c:v>0.67649999999999999</c:v>
                </c:pt>
                <c:pt idx="456">
                  <c:v>0.67120000000000002</c:v>
                </c:pt>
                <c:pt idx="457">
                  <c:v>0.6734</c:v>
                </c:pt>
                <c:pt idx="458">
                  <c:v>0.67249999999999999</c:v>
                </c:pt>
                <c:pt idx="459">
                  <c:v>0.6734</c:v>
                </c:pt>
                <c:pt idx="460">
                  <c:v>0.68010000000000004</c:v>
                </c:pt>
                <c:pt idx="461">
                  <c:v>0.68340000000000001</c:v>
                </c:pt>
                <c:pt idx="462">
                  <c:v>0.68159999999999998</c:v>
                </c:pt>
                <c:pt idx="463">
                  <c:v>0.67910000000000004</c:v>
                </c:pt>
                <c:pt idx="464">
                  <c:v>0.68069999999999997</c:v>
                </c:pt>
                <c:pt idx="465">
                  <c:v>0.70199999999999996</c:v>
                </c:pt>
                <c:pt idx="466">
                  <c:v>0.71199999999999997</c:v>
                </c:pt>
                <c:pt idx="467">
                  <c:v>0.70860000000000001</c:v>
                </c:pt>
                <c:pt idx="468">
                  <c:v>0.71640000000000004</c:v>
                </c:pt>
                <c:pt idx="469">
                  <c:v>0.71240000000000003</c:v>
                </c:pt>
                <c:pt idx="470">
                  <c:v>0.7077</c:v>
                </c:pt>
                <c:pt idx="471">
                  <c:v>0.70389999999999997</c:v>
                </c:pt>
                <c:pt idx="472">
                  <c:v>0.71240000000000003</c:v>
                </c:pt>
                <c:pt idx="473">
                  <c:v>0.70820000000000005</c:v>
                </c:pt>
                <c:pt idx="474">
                  <c:v>0.71740000000000004</c:v>
                </c:pt>
                <c:pt idx="475">
                  <c:v>0.70399999999999996</c:v>
                </c:pt>
                <c:pt idx="476">
                  <c:v>0.70509999999999995</c:v>
                </c:pt>
                <c:pt idx="477">
                  <c:v>0.70040000000000002</c:v>
                </c:pt>
                <c:pt idx="478">
                  <c:v>0.6996</c:v>
                </c:pt>
                <c:pt idx="479">
                  <c:v>0.70320000000000005</c:v>
                </c:pt>
                <c:pt idx="480">
                  <c:v>0.70299999999999996</c:v>
                </c:pt>
                <c:pt idx="481">
                  <c:v>0.70169999999999999</c:v>
                </c:pt>
                <c:pt idx="482">
                  <c:v>0.69889999999999997</c:v>
                </c:pt>
                <c:pt idx="483">
                  <c:v>0.70009999999999994</c:v>
                </c:pt>
                <c:pt idx="484">
                  <c:v>0.70250000000000001</c:v>
                </c:pt>
                <c:pt idx="485">
                  <c:v>0.70450000000000002</c:v>
                </c:pt>
                <c:pt idx="486">
                  <c:v>0.70199999999999996</c:v>
                </c:pt>
                <c:pt idx="487">
                  <c:v>0.70169999999999999</c:v>
                </c:pt>
                <c:pt idx="488">
                  <c:v>0.69969999999999999</c:v>
                </c:pt>
                <c:pt idx="489">
                  <c:v>0.6996</c:v>
                </c:pt>
                <c:pt idx="490">
                  <c:v>0.7006</c:v>
                </c:pt>
                <c:pt idx="491">
                  <c:v>0.70020000000000004</c:v>
                </c:pt>
                <c:pt idx="492">
                  <c:v>0.70179999999999998</c:v>
                </c:pt>
                <c:pt idx="493">
                  <c:v>0.70020000000000004</c:v>
                </c:pt>
                <c:pt idx="494">
                  <c:v>0.69940000000000002</c:v>
                </c:pt>
                <c:pt idx="495">
                  <c:v>0.68969999999999998</c:v>
                </c:pt>
                <c:pt idx="496">
                  <c:v>0.67</c:v>
                </c:pt>
                <c:pt idx="497">
                  <c:v>0.66049999999999998</c:v>
                </c:pt>
                <c:pt idx="498">
                  <c:v>0.67049999999999998</c:v>
                </c:pt>
                <c:pt idx="499">
                  <c:v>0.67400000000000004</c:v>
                </c:pt>
                <c:pt idx="500">
                  <c:v>0.67030000000000001</c:v>
                </c:pt>
                <c:pt idx="501">
                  <c:v>0.65749999999999997</c:v>
                </c:pt>
                <c:pt idx="502">
                  <c:v>0.66149999999999998</c:v>
                </c:pt>
                <c:pt idx="503">
                  <c:v>0.67330000000000001</c:v>
                </c:pt>
                <c:pt idx="504">
                  <c:v>0.67130000000000001</c:v>
                </c:pt>
                <c:pt idx="505">
                  <c:v>0.67179999999999995</c:v>
                </c:pt>
                <c:pt idx="506">
                  <c:v>0.67400000000000004</c:v>
                </c:pt>
                <c:pt idx="507">
                  <c:v>0.6804</c:v>
                </c:pt>
                <c:pt idx="508">
                  <c:v>0.68049999999999999</c:v>
                </c:pt>
                <c:pt idx="509">
                  <c:v>0.6835</c:v>
                </c:pt>
                <c:pt idx="510">
                  <c:v>0.69550000000000001</c:v>
                </c:pt>
                <c:pt idx="511">
                  <c:v>0.69030000000000002</c:v>
                </c:pt>
                <c:pt idx="512">
                  <c:v>0.6905</c:v>
                </c:pt>
                <c:pt idx="513">
                  <c:v>0.6855</c:v>
                </c:pt>
                <c:pt idx="514">
                  <c:v>0.68500000000000005</c:v>
                </c:pt>
                <c:pt idx="515">
                  <c:v>0.68359999999999999</c:v>
                </c:pt>
                <c:pt idx="516">
                  <c:v>0.67779999999999996</c:v>
                </c:pt>
                <c:pt idx="517">
                  <c:v>0.67930000000000001</c:v>
                </c:pt>
                <c:pt idx="518">
                  <c:v>0.68340000000000001</c:v>
                </c:pt>
                <c:pt idx="519">
                  <c:v>0.67949999999999999</c:v>
                </c:pt>
                <c:pt idx="520">
                  <c:v>0.67859999999999998</c:v>
                </c:pt>
                <c:pt idx="521">
                  <c:v>0.67949999999999999</c:v>
                </c:pt>
                <c:pt idx="522">
                  <c:v>0.6835</c:v>
                </c:pt>
                <c:pt idx="523">
                  <c:v>0.68400000000000005</c:v>
                </c:pt>
                <c:pt idx="524">
                  <c:v>0.68389999999999995</c:v>
                </c:pt>
                <c:pt idx="525">
                  <c:v>0.68189999999999995</c:v>
                </c:pt>
                <c:pt idx="526">
                  <c:v>0.67989999999999995</c:v>
                </c:pt>
                <c:pt idx="527">
                  <c:v>0.67969999999999997</c:v>
                </c:pt>
                <c:pt idx="528">
                  <c:v>0.68110000000000004</c:v>
                </c:pt>
                <c:pt idx="529">
                  <c:v>0.68230000000000002</c:v>
                </c:pt>
                <c:pt idx="530">
                  <c:v>0.68059999999999998</c:v>
                </c:pt>
                <c:pt idx="531">
                  <c:v>0.68059999999999998</c:v>
                </c:pt>
                <c:pt idx="532">
                  <c:v>0.68059999999999998</c:v>
                </c:pt>
                <c:pt idx="533">
                  <c:v>0.68059999999999998</c:v>
                </c:pt>
                <c:pt idx="534">
                  <c:v>0.68</c:v>
                </c:pt>
                <c:pt idx="535">
                  <c:v>0.68220000000000003</c:v>
                </c:pt>
                <c:pt idx="536">
                  <c:v>0.68089999999999995</c:v>
                </c:pt>
                <c:pt idx="537">
                  <c:v>0.68089999999999995</c:v>
                </c:pt>
                <c:pt idx="538">
                  <c:v>0.68310000000000004</c:v>
                </c:pt>
                <c:pt idx="539">
                  <c:v>0.68359999999999999</c:v>
                </c:pt>
                <c:pt idx="540">
                  <c:v>0.68089999999999995</c:v>
                </c:pt>
                <c:pt idx="541">
                  <c:v>0.68200000000000005</c:v>
                </c:pt>
                <c:pt idx="542">
                  <c:v>0.68789999999999996</c:v>
                </c:pt>
                <c:pt idx="543">
                  <c:v>0.69099999999999995</c:v>
                </c:pt>
                <c:pt idx="544">
                  <c:v>0.69140000000000001</c:v>
                </c:pt>
                <c:pt idx="545">
                  <c:v>0.69320000000000004</c:v>
                </c:pt>
                <c:pt idx="546">
                  <c:v>0.68910000000000005</c:v>
                </c:pt>
                <c:pt idx="547">
                  <c:v>0.69179999999999997</c:v>
                </c:pt>
                <c:pt idx="548">
                  <c:v>0.69740000000000002</c:v>
                </c:pt>
                <c:pt idx="549">
                  <c:v>0.69769999999999999</c:v>
                </c:pt>
                <c:pt idx="550">
                  <c:v>0.69589999999999996</c:v>
                </c:pt>
                <c:pt idx="551">
                  <c:v>0.69940000000000002</c:v>
                </c:pt>
                <c:pt idx="552">
                  <c:v>0.70640000000000003</c:v>
                </c:pt>
                <c:pt idx="553">
                  <c:v>0.71040000000000003</c:v>
                </c:pt>
                <c:pt idx="554">
                  <c:v>0.70879999999999999</c:v>
                </c:pt>
                <c:pt idx="555">
                  <c:v>0.70879999999999999</c:v>
                </c:pt>
                <c:pt idx="556">
                  <c:v>0.71319999999999995</c:v>
                </c:pt>
                <c:pt idx="557">
                  <c:v>0.71360000000000001</c:v>
                </c:pt>
                <c:pt idx="558">
                  <c:v>0.71319999999999995</c:v>
                </c:pt>
                <c:pt idx="559">
                  <c:v>0.71550000000000002</c:v>
                </c:pt>
                <c:pt idx="560">
                  <c:v>0.70740000000000003</c:v>
                </c:pt>
                <c:pt idx="561">
                  <c:v>0.69640000000000002</c:v>
                </c:pt>
                <c:pt idx="562">
                  <c:v>0.69299999999999995</c:v>
                </c:pt>
                <c:pt idx="563">
                  <c:v>0.69720000000000004</c:v>
                </c:pt>
                <c:pt idx="564">
                  <c:v>0.69269999999999998</c:v>
                </c:pt>
                <c:pt idx="565">
                  <c:v>0.69289999999999996</c:v>
                </c:pt>
                <c:pt idx="566">
                  <c:v>0.69069999999999998</c:v>
                </c:pt>
                <c:pt idx="567">
                  <c:v>0.69689999999999996</c:v>
                </c:pt>
                <c:pt idx="568">
                  <c:v>0.68789999999999996</c:v>
                </c:pt>
                <c:pt idx="569">
                  <c:v>0.70120000000000005</c:v>
                </c:pt>
                <c:pt idx="570">
                  <c:v>0.69969999999999999</c:v>
                </c:pt>
                <c:pt idx="571">
                  <c:v>0.69720000000000004</c:v>
                </c:pt>
                <c:pt idx="572">
                  <c:v>0.70640000000000003</c:v>
                </c:pt>
                <c:pt idx="573">
                  <c:v>0.7077</c:v>
                </c:pt>
                <c:pt idx="574">
                  <c:v>0.70099999999999996</c:v>
                </c:pt>
                <c:pt idx="575">
                  <c:v>0.70179999999999998</c:v>
                </c:pt>
                <c:pt idx="576">
                  <c:v>0.7077</c:v>
                </c:pt>
                <c:pt idx="577">
                  <c:v>0.70930000000000004</c:v>
                </c:pt>
                <c:pt idx="578">
                  <c:v>0.70840000000000003</c:v>
                </c:pt>
                <c:pt idx="579">
                  <c:v>0.70120000000000005</c:v>
                </c:pt>
                <c:pt idx="580">
                  <c:v>0.69620000000000004</c:v>
                </c:pt>
                <c:pt idx="581">
                  <c:v>0.69969999999999999</c:v>
                </c:pt>
                <c:pt idx="582">
                  <c:v>0.70299999999999996</c:v>
                </c:pt>
                <c:pt idx="583">
                  <c:v>0.70040000000000002</c:v>
                </c:pt>
                <c:pt idx="584">
                  <c:v>0.70089999999999997</c:v>
                </c:pt>
                <c:pt idx="585">
                  <c:v>0.70250000000000001</c:v>
                </c:pt>
                <c:pt idx="586">
                  <c:v>0.7036</c:v>
                </c:pt>
                <c:pt idx="587">
                  <c:v>0.70520000000000005</c:v>
                </c:pt>
                <c:pt idx="588">
                  <c:v>0.70430000000000004</c:v>
                </c:pt>
                <c:pt idx="589">
                  <c:v>0.70340000000000003</c:v>
                </c:pt>
                <c:pt idx="590">
                  <c:v>0.70430000000000004</c:v>
                </c:pt>
                <c:pt idx="591">
                  <c:v>0.71240000000000003</c:v>
                </c:pt>
                <c:pt idx="592">
                  <c:v>0.7107</c:v>
                </c:pt>
                <c:pt idx="593">
                  <c:v>0.71140000000000003</c:v>
                </c:pt>
                <c:pt idx="594">
                  <c:v>0.71309999999999996</c:v>
                </c:pt>
                <c:pt idx="595">
                  <c:v>0.71750000000000003</c:v>
                </c:pt>
                <c:pt idx="596">
                  <c:v>0.72219999999999995</c:v>
                </c:pt>
                <c:pt idx="597">
                  <c:v>0.71730000000000005</c:v>
                </c:pt>
                <c:pt idx="598">
                  <c:v>0.71189999999999998</c:v>
                </c:pt>
                <c:pt idx="599">
                  <c:v>0.71189999999999998</c:v>
                </c:pt>
                <c:pt idx="600">
                  <c:v>0.71189999999999998</c:v>
                </c:pt>
                <c:pt idx="601">
                  <c:v>0.71519999999999995</c:v>
                </c:pt>
                <c:pt idx="602">
                  <c:v>0.72099999999999997</c:v>
                </c:pt>
                <c:pt idx="603">
                  <c:v>0.71750000000000003</c:v>
                </c:pt>
                <c:pt idx="604">
                  <c:v>0.71870000000000001</c:v>
                </c:pt>
                <c:pt idx="605">
                  <c:v>0.71840000000000004</c:v>
                </c:pt>
                <c:pt idx="606">
                  <c:v>0.71940000000000004</c:v>
                </c:pt>
                <c:pt idx="607">
                  <c:v>0.71840000000000004</c:v>
                </c:pt>
                <c:pt idx="608">
                  <c:v>0.71519999999999995</c:v>
                </c:pt>
                <c:pt idx="609">
                  <c:v>0.71479999999999999</c:v>
                </c:pt>
                <c:pt idx="610">
                  <c:v>0.71599999999999997</c:v>
                </c:pt>
                <c:pt idx="611">
                  <c:v>0.71289999999999998</c:v>
                </c:pt>
                <c:pt idx="612">
                  <c:v>0.71589999999999998</c:v>
                </c:pt>
                <c:pt idx="613">
                  <c:v>0.71709999999999996</c:v>
                </c:pt>
                <c:pt idx="614">
                  <c:v>0.71489999999999998</c:v>
                </c:pt>
                <c:pt idx="615">
                  <c:v>0.72209999999999996</c:v>
                </c:pt>
                <c:pt idx="616">
                  <c:v>0.72640000000000005</c:v>
                </c:pt>
                <c:pt idx="617">
                  <c:v>0.73089999999999999</c:v>
                </c:pt>
                <c:pt idx="618">
                  <c:v>0.72840000000000005</c:v>
                </c:pt>
                <c:pt idx="619">
                  <c:v>0.72840000000000005</c:v>
                </c:pt>
                <c:pt idx="620">
                  <c:v>0.73880000000000001</c:v>
                </c:pt>
                <c:pt idx="621">
                  <c:v>0.73819999999999997</c:v>
                </c:pt>
                <c:pt idx="622">
                  <c:v>0.73909999999999998</c:v>
                </c:pt>
                <c:pt idx="623">
                  <c:v>0.7349</c:v>
                </c:pt>
                <c:pt idx="624">
                  <c:v>0.73250000000000004</c:v>
                </c:pt>
                <c:pt idx="625">
                  <c:v>0.73819999999999997</c:v>
                </c:pt>
                <c:pt idx="626">
                  <c:v>0.74019999999999997</c:v>
                </c:pt>
                <c:pt idx="627">
                  <c:v>0.73670000000000002</c:v>
                </c:pt>
                <c:pt idx="628">
                  <c:v>0.74039999999999995</c:v>
                </c:pt>
                <c:pt idx="629">
                  <c:v>0.74239999999999995</c:v>
                </c:pt>
                <c:pt idx="630">
                  <c:v>0.74550000000000005</c:v>
                </c:pt>
                <c:pt idx="631">
                  <c:v>0.74070000000000003</c:v>
                </c:pt>
                <c:pt idx="632">
                  <c:v>0.71240000000000003</c:v>
                </c:pt>
                <c:pt idx="633">
                  <c:v>0.71599999999999997</c:v>
                </c:pt>
                <c:pt idx="634">
                  <c:v>0.71719999999999995</c:v>
                </c:pt>
                <c:pt idx="635">
                  <c:v>0.72170000000000001</c:v>
                </c:pt>
                <c:pt idx="636">
                  <c:v>0.72689999999999999</c:v>
                </c:pt>
                <c:pt idx="637">
                  <c:v>0.72499999999999998</c:v>
                </c:pt>
                <c:pt idx="638">
                  <c:v>0.7127</c:v>
                </c:pt>
                <c:pt idx="639">
                  <c:v>0.7167</c:v>
                </c:pt>
                <c:pt idx="640">
                  <c:v>0.71830000000000005</c:v>
                </c:pt>
                <c:pt idx="641">
                  <c:v>0.72170000000000001</c:v>
                </c:pt>
                <c:pt idx="642">
                  <c:v>0.72240000000000004</c:v>
                </c:pt>
                <c:pt idx="643">
                  <c:v>0.72040000000000004</c:v>
                </c:pt>
                <c:pt idx="644">
                  <c:v>0.71660000000000001</c:v>
                </c:pt>
                <c:pt idx="645">
                  <c:v>0.70840000000000003</c:v>
                </c:pt>
                <c:pt idx="646">
                  <c:v>0.70830000000000004</c:v>
                </c:pt>
                <c:pt idx="647">
                  <c:v>0.7</c:v>
                </c:pt>
                <c:pt idx="648">
                  <c:v>0.70120000000000005</c:v>
                </c:pt>
                <c:pt idx="649">
                  <c:v>0.68979999999999997</c:v>
                </c:pt>
                <c:pt idx="650">
                  <c:v>0.68979999999999997</c:v>
                </c:pt>
                <c:pt idx="651">
                  <c:v>0.69099999999999995</c:v>
                </c:pt>
                <c:pt idx="652">
                  <c:v>0.69640000000000002</c:v>
                </c:pt>
                <c:pt idx="653">
                  <c:v>0.68789999999999996</c:v>
                </c:pt>
                <c:pt idx="654">
                  <c:v>0.69159999999999999</c:v>
                </c:pt>
                <c:pt idx="655">
                  <c:v>0.69410000000000005</c:v>
                </c:pt>
                <c:pt idx="656">
                  <c:v>0.69620000000000004</c:v>
                </c:pt>
                <c:pt idx="657">
                  <c:v>0.69359999999999999</c:v>
                </c:pt>
                <c:pt idx="658">
                  <c:v>0.69389999999999996</c:v>
                </c:pt>
                <c:pt idx="659">
                  <c:v>0.69340000000000002</c:v>
                </c:pt>
                <c:pt idx="660">
                  <c:v>0.68310000000000004</c:v>
                </c:pt>
                <c:pt idx="661">
                  <c:v>0.68110000000000004</c:v>
                </c:pt>
                <c:pt idx="662">
                  <c:v>0.66549999999999998</c:v>
                </c:pt>
                <c:pt idx="663">
                  <c:v>0.6714</c:v>
                </c:pt>
                <c:pt idx="664">
                  <c:v>0.67120000000000002</c:v>
                </c:pt>
                <c:pt idx="665">
                  <c:v>0.67720000000000002</c:v>
                </c:pt>
                <c:pt idx="666">
                  <c:v>0.66459999999999997</c:v>
                </c:pt>
                <c:pt idx="667">
                  <c:v>0.66039999999999999</c:v>
                </c:pt>
                <c:pt idx="668">
                  <c:v>0.63449999999999995</c:v>
                </c:pt>
                <c:pt idx="669">
                  <c:v>0.64500000000000002</c:v>
                </c:pt>
                <c:pt idx="670">
                  <c:v>0.64449999999999996</c:v>
                </c:pt>
                <c:pt idx="671">
                  <c:v>0.62890000000000001</c:v>
                </c:pt>
                <c:pt idx="672">
                  <c:v>0.63019999999999998</c:v>
                </c:pt>
                <c:pt idx="673">
                  <c:v>0.63870000000000005</c:v>
                </c:pt>
                <c:pt idx="674">
                  <c:v>0.63700000000000001</c:v>
                </c:pt>
                <c:pt idx="675">
                  <c:v>0.64259999999999995</c:v>
                </c:pt>
                <c:pt idx="676">
                  <c:v>0.64400000000000002</c:v>
                </c:pt>
                <c:pt idx="677">
                  <c:v>0.63919999999999999</c:v>
                </c:pt>
                <c:pt idx="678">
                  <c:v>0.63590000000000002</c:v>
                </c:pt>
                <c:pt idx="679">
                  <c:v>0.63890000000000002</c:v>
                </c:pt>
                <c:pt idx="680">
                  <c:v>0.64100000000000001</c:v>
                </c:pt>
                <c:pt idx="681">
                  <c:v>0.63780000000000003</c:v>
                </c:pt>
                <c:pt idx="682">
                  <c:v>0.62770000000000004</c:v>
                </c:pt>
                <c:pt idx="683">
                  <c:v>0.61319999999999997</c:v>
                </c:pt>
                <c:pt idx="684">
                  <c:v>0.61009999999999998</c:v>
                </c:pt>
                <c:pt idx="685">
                  <c:v>0.60299999999999998</c:v>
                </c:pt>
                <c:pt idx="686">
                  <c:v>0.60950000000000004</c:v>
                </c:pt>
                <c:pt idx="687">
                  <c:v>0.60840000000000005</c:v>
                </c:pt>
                <c:pt idx="688">
                  <c:v>0.59799999999999998</c:v>
                </c:pt>
                <c:pt idx="689">
                  <c:v>0.60199999999999998</c:v>
                </c:pt>
                <c:pt idx="690">
                  <c:v>0.60470000000000002</c:v>
                </c:pt>
                <c:pt idx="691">
                  <c:v>0.61240000000000006</c:v>
                </c:pt>
                <c:pt idx="692">
                  <c:v>0.61699999999999999</c:v>
                </c:pt>
                <c:pt idx="693">
                  <c:v>0.61370000000000002</c:v>
                </c:pt>
                <c:pt idx="694">
                  <c:v>0.60909999999999997</c:v>
                </c:pt>
                <c:pt idx="695">
                  <c:v>0.60570000000000002</c:v>
                </c:pt>
                <c:pt idx="696">
                  <c:v>0.60680000000000001</c:v>
                </c:pt>
                <c:pt idx="697">
                  <c:v>0.61399999999999999</c:v>
                </c:pt>
                <c:pt idx="698">
                  <c:v>0.61299999999999999</c:v>
                </c:pt>
                <c:pt idx="699">
                  <c:v>0.62690000000000001</c:v>
                </c:pt>
                <c:pt idx="700">
                  <c:v>0.62639999999999996</c:v>
                </c:pt>
                <c:pt idx="701">
                  <c:v>0.62860000000000005</c:v>
                </c:pt>
                <c:pt idx="702">
                  <c:v>0.61550000000000005</c:v>
                </c:pt>
                <c:pt idx="703">
                  <c:v>0.61199999999999999</c:v>
                </c:pt>
                <c:pt idx="704">
                  <c:v>0.6089</c:v>
                </c:pt>
                <c:pt idx="705">
                  <c:v>0.60519999999999996</c:v>
                </c:pt>
                <c:pt idx="706">
                  <c:v>0.60760000000000003</c:v>
                </c:pt>
                <c:pt idx="707">
                  <c:v>0.60850000000000004</c:v>
                </c:pt>
                <c:pt idx="708">
                  <c:v>0.6089</c:v>
                </c:pt>
                <c:pt idx="709">
                  <c:v>0.60850000000000004</c:v>
                </c:pt>
                <c:pt idx="710">
                  <c:v>0.60970000000000002</c:v>
                </c:pt>
                <c:pt idx="711">
                  <c:v>0.60919999999999996</c:v>
                </c:pt>
                <c:pt idx="712">
                  <c:v>0.60940000000000005</c:v>
                </c:pt>
                <c:pt idx="713">
                  <c:v>0.61439999999999995</c:v>
                </c:pt>
                <c:pt idx="714">
                  <c:v>0.61439999999999995</c:v>
                </c:pt>
                <c:pt idx="715">
                  <c:v>0.61539999999999995</c:v>
                </c:pt>
                <c:pt idx="716">
                  <c:v>0.61250000000000004</c:v>
                </c:pt>
                <c:pt idx="717">
                  <c:v>0.61199999999999999</c:v>
                </c:pt>
                <c:pt idx="718">
                  <c:v>0.61670000000000003</c:v>
                </c:pt>
                <c:pt idx="719">
                  <c:v>0.61829999999999996</c:v>
                </c:pt>
                <c:pt idx="720">
                  <c:v>0.62549999999999994</c:v>
                </c:pt>
                <c:pt idx="721">
                  <c:v>0.625</c:v>
                </c:pt>
                <c:pt idx="722">
                  <c:v>0.62170000000000003</c:v>
                </c:pt>
                <c:pt idx="723">
                  <c:v>0.62429999999999997</c:v>
                </c:pt>
                <c:pt idx="724">
                  <c:v>0.626</c:v>
                </c:pt>
                <c:pt idx="725">
                  <c:v>0.62639999999999996</c:v>
                </c:pt>
                <c:pt idx="726">
                  <c:v>0.63160000000000005</c:v>
                </c:pt>
                <c:pt idx="727">
                  <c:v>0.63170000000000004</c:v>
                </c:pt>
                <c:pt idx="728">
                  <c:v>0.63170000000000004</c:v>
                </c:pt>
                <c:pt idx="729">
                  <c:v>0.62919999999999998</c:v>
                </c:pt>
                <c:pt idx="730">
                  <c:v>0.62880000000000003</c:v>
                </c:pt>
                <c:pt idx="731">
                  <c:v>0.62739999999999996</c:v>
                </c:pt>
                <c:pt idx="732">
                  <c:v>0.62990000000000002</c:v>
                </c:pt>
                <c:pt idx="733">
                  <c:v>0.62960000000000005</c:v>
                </c:pt>
                <c:pt idx="734">
                  <c:v>0.63300000000000001</c:v>
                </c:pt>
                <c:pt idx="735">
                  <c:v>0.6351</c:v>
                </c:pt>
                <c:pt idx="736">
                  <c:v>0.6361</c:v>
                </c:pt>
                <c:pt idx="737">
                  <c:v>0.63570000000000004</c:v>
                </c:pt>
                <c:pt idx="738">
                  <c:v>0.63739999999999997</c:v>
                </c:pt>
                <c:pt idx="739">
                  <c:v>0.63780000000000003</c:v>
                </c:pt>
                <c:pt idx="740">
                  <c:v>0.63680000000000003</c:v>
                </c:pt>
                <c:pt idx="741">
                  <c:v>0.63970000000000005</c:v>
                </c:pt>
                <c:pt idx="742">
                  <c:v>0.64390000000000003</c:v>
                </c:pt>
                <c:pt idx="743">
                  <c:v>0.6411</c:v>
                </c:pt>
                <c:pt idx="744">
                  <c:v>0.6371</c:v>
                </c:pt>
                <c:pt idx="745">
                  <c:v>0.63619999999999999</c:v>
                </c:pt>
                <c:pt idx="746">
                  <c:v>0.63719999999999999</c:v>
                </c:pt>
                <c:pt idx="747">
                  <c:v>0.6381</c:v>
                </c:pt>
                <c:pt idx="748">
                  <c:v>0.64300000000000002</c:v>
                </c:pt>
                <c:pt idx="749">
                  <c:v>0.64429999999999998</c:v>
                </c:pt>
                <c:pt idx="750">
                  <c:v>0.63949999999999996</c:v>
                </c:pt>
                <c:pt idx="751">
                  <c:v>0.64149999999999996</c:v>
                </c:pt>
                <c:pt idx="752">
                  <c:v>0.64319999999999999</c:v>
                </c:pt>
                <c:pt idx="753">
                  <c:v>0.64019999999999999</c:v>
                </c:pt>
                <c:pt idx="754">
                  <c:v>0.64200000000000002</c:v>
                </c:pt>
                <c:pt idx="755">
                  <c:v>0.63980000000000004</c:v>
                </c:pt>
                <c:pt idx="756">
                  <c:v>0.64129999999999998</c:v>
                </c:pt>
                <c:pt idx="757">
                  <c:v>0.6421</c:v>
                </c:pt>
                <c:pt idx="758">
                  <c:v>0.64190000000000003</c:v>
                </c:pt>
                <c:pt idx="759">
                  <c:v>0.64300000000000002</c:v>
                </c:pt>
                <c:pt idx="760">
                  <c:v>0.64600000000000002</c:v>
                </c:pt>
                <c:pt idx="761">
                  <c:v>0.64410000000000001</c:v>
                </c:pt>
                <c:pt idx="762">
                  <c:v>0.64419999999999999</c:v>
                </c:pt>
                <c:pt idx="763">
                  <c:v>0.64529999999999998</c:v>
                </c:pt>
                <c:pt idx="764">
                  <c:v>0.64549999999999996</c:v>
                </c:pt>
                <c:pt idx="765">
                  <c:v>0.64290000000000003</c:v>
                </c:pt>
                <c:pt idx="766">
                  <c:v>0.64190000000000003</c:v>
                </c:pt>
                <c:pt idx="767">
                  <c:v>0.64419999999999999</c:v>
                </c:pt>
                <c:pt idx="768">
                  <c:v>0.64449999999999996</c:v>
                </c:pt>
                <c:pt idx="769">
                  <c:v>0.64529999999999998</c:v>
                </c:pt>
                <c:pt idx="770">
                  <c:v>0.64549999999999996</c:v>
                </c:pt>
                <c:pt idx="771">
                  <c:v>0.64670000000000005</c:v>
                </c:pt>
                <c:pt idx="772">
                  <c:v>0.65059999999999996</c:v>
                </c:pt>
                <c:pt idx="773">
                  <c:v>0.64929999999999999</c:v>
                </c:pt>
                <c:pt idx="774">
                  <c:v>0.64880000000000004</c:v>
                </c:pt>
                <c:pt idx="775">
                  <c:v>0.65210000000000001</c:v>
                </c:pt>
                <c:pt idx="776">
                  <c:v>0.65069999999999995</c:v>
                </c:pt>
                <c:pt idx="777">
                  <c:v>0.6522</c:v>
                </c:pt>
                <c:pt idx="778">
                  <c:v>0.65359999999999996</c:v>
                </c:pt>
                <c:pt idx="779">
                  <c:v>0.65329999999999999</c:v>
                </c:pt>
                <c:pt idx="780">
                  <c:v>0.6532</c:v>
                </c:pt>
                <c:pt idx="781">
                  <c:v>0.65290000000000004</c:v>
                </c:pt>
                <c:pt idx="782">
                  <c:v>0.65239999999999998</c:v>
                </c:pt>
                <c:pt idx="783">
                  <c:v>0.6583</c:v>
                </c:pt>
                <c:pt idx="784">
                  <c:v>0.65890000000000004</c:v>
                </c:pt>
                <c:pt idx="785">
                  <c:v>0.66149999999999998</c:v>
                </c:pt>
                <c:pt idx="786">
                  <c:v>0.66410000000000002</c:v>
                </c:pt>
                <c:pt idx="787">
                  <c:v>0.66349999999999998</c:v>
                </c:pt>
                <c:pt idx="788">
                  <c:v>0.66479999999999995</c:v>
                </c:pt>
                <c:pt idx="789">
                  <c:v>0.66600000000000004</c:v>
                </c:pt>
                <c:pt idx="790">
                  <c:v>0.67479999999999996</c:v>
                </c:pt>
                <c:pt idx="791">
                  <c:v>0.66930000000000001</c:v>
                </c:pt>
                <c:pt idx="792">
                  <c:v>0.65980000000000005</c:v>
                </c:pt>
                <c:pt idx="793">
                  <c:v>0.65980000000000005</c:v>
                </c:pt>
                <c:pt idx="794">
                  <c:v>0.65980000000000005</c:v>
                </c:pt>
                <c:pt idx="795">
                  <c:v>0.66210000000000002</c:v>
                </c:pt>
                <c:pt idx="796">
                  <c:v>0.66420000000000001</c:v>
                </c:pt>
                <c:pt idx="797">
                  <c:v>0.66479999999999995</c:v>
                </c:pt>
                <c:pt idx="798">
                  <c:v>0.66479999999999995</c:v>
                </c:pt>
                <c:pt idx="799">
                  <c:v>0.66739999999999999</c:v>
                </c:pt>
                <c:pt idx="800">
                  <c:v>0.66869999999999996</c:v>
                </c:pt>
                <c:pt idx="801">
                  <c:v>0.6653</c:v>
                </c:pt>
                <c:pt idx="802">
                  <c:v>0.66479999999999995</c:v>
                </c:pt>
                <c:pt idx="803">
                  <c:v>0.66479999999999995</c:v>
                </c:pt>
                <c:pt idx="804">
                  <c:v>0.66669999999999996</c:v>
                </c:pt>
                <c:pt idx="805">
                  <c:v>0.66649999999999998</c:v>
                </c:pt>
                <c:pt idx="806">
                  <c:v>0.66020000000000001</c:v>
                </c:pt>
                <c:pt idx="807">
                  <c:v>0.64249999999999996</c:v>
                </c:pt>
                <c:pt idx="808">
                  <c:v>0.64829999999999999</c:v>
                </c:pt>
                <c:pt idx="809">
                  <c:v>0.6502</c:v>
                </c:pt>
                <c:pt idx="810">
                  <c:v>0.64680000000000004</c:v>
                </c:pt>
                <c:pt idx="811">
                  <c:v>0.66369999999999996</c:v>
                </c:pt>
                <c:pt idx="812">
                  <c:v>0.66080000000000005</c:v>
                </c:pt>
                <c:pt idx="813">
                  <c:v>0.65980000000000005</c:v>
                </c:pt>
                <c:pt idx="814">
                  <c:v>0.66180000000000005</c:v>
                </c:pt>
                <c:pt idx="815">
                  <c:v>0.66180000000000005</c:v>
                </c:pt>
                <c:pt idx="816">
                  <c:v>0.66220000000000001</c:v>
                </c:pt>
                <c:pt idx="817">
                  <c:v>0.66100000000000003</c:v>
                </c:pt>
                <c:pt idx="818">
                  <c:v>0.6613</c:v>
                </c:pt>
                <c:pt idx="819">
                  <c:v>0.66080000000000005</c:v>
                </c:pt>
                <c:pt idx="820">
                  <c:v>0.66059999999999997</c:v>
                </c:pt>
                <c:pt idx="821">
                  <c:v>0.66310000000000002</c:v>
                </c:pt>
                <c:pt idx="822">
                  <c:v>0.66859999999999997</c:v>
                </c:pt>
                <c:pt idx="823">
                  <c:v>0.6694</c:v>
                </c:pt>
                <c:pt idx="824">
                  <c:v>0.66879999999999995</c:v>
                </c:pt>
                <c:pt idx="825">
                  <c:v>0.66839999999999999</c:v>
                </c:pt>
                <c:pt idx="826">
                  <c:v>0.66420000000000001</c:v>
                </c:pt>
                <c:pt idx="827">
                  <c:v>0.66600000000000004</c:v>
                </c:pt>
                <c:pt idx="828">
                  <c:v>0.66600000000000004</c:v>
                </c:pt>
                <c:pt idx="829">
                  <c:v>0.66369999999999996</c:v>
                </c:pt>
                <c:pt idx="830">
                  <c:v>0.65769999999999995</c:v>
                </c:pt>
                <c:pt idx="831">
                  <c:v>0.66190000000000004</c:v>
                </c:pt>
                <c:pt idx="832">
                  <c:v>0.66469999999999996</c:v>
                </c:pt>
                <c:pt idx="833">
                  <c:v>0.66549999999999998</c:v>
                </c:pt>
                <c:pt idx="834">
                  <c:v>0.66349999999999998</c:v>
                </c:pt>
                <c:pt idx="835">
                  <c:v>0.66449999999999998</c:v>
                </c:pt>
                <c:pt idx="836">
                  <c:v>0.66830000000000001</c:v>
                </c:pt>
                <c:pt idx="837">
                  <c:v>0.67320000000000002</c:v>
                </c:pt>
                <c:pt idx="838">
                  <c:v>0.67330000000000001</c:v>
                </c:pt>
                <c:pt idx="839">
                  <c:v>0.67479999999999996</c:v>
                </c:pt>
                <c:pt idx="840">
                  <c:v>0.68030000000000002</c:v>
                </c:pt>
                <c:pt idx="841">
                  <c:v>0.67679999999999996</c:v>
                </c:pt>
                <c:pt idx="842">
                  <c:v>0.67930000000000001</c:v>
                </c:pt>
                <c:pt idx="843">
                  <c:v>0.67849999999999999</c:v>
                </c:pt>
                <c:pt idx="844">
                  <c:v>0.67810000000000004</c:v>
                </c:pt>
                <c:pt idx="845">
                  <c:v>0.67859999999999998</c:v>
                </c:pt>
                <c:pt idx="846">
                  <c:v>0.68430000000000002</c:v>
                </c:pt>
                <c:pt idx="847">
                  <c:v>0.68389999999999995</c:v>
                </c:pt>
                <c:pt idx="848">
                  <c:v>0.68820000000000003</c:v>
                </c:pt>
                <c:pt idx="849">
                  <c:v>0.68620000000000003</c:v>
                </c:pt>
                <c:pt idx="850">
                  <c:v>0.68140000000000001</c:v>
                </c:pt>
                <c:pt idx="851">
                  <c:v>0.68740000000000001</c:v>
                </c:pt>
                <c:pt idx="852">
                  <c:v>0.68879999999999997</c:v>
                </c:pt>
                <c:pt idx="853">
                  <c:v>0.68240000000000001</c:v>
                </c:pt>
                <c:pt idx="854">
                  <c:v>0.68459999999999999</c:v>
                </c:pt>
                <c:pt idx="855">
                  <c:v>0.68710000000000004</c:v>
                </c:pt>
                <c:pt idx="856">
                  <c:v>0.69420000000000004</c:v>
                </c:pt>
                <c:pt idx="857">
                  <c:v>0.69579999999999997</c:v>
                </c:pt>
                <c:pt idx="858">
                  <c:v>0.69310000000000005</c:v>
                </c:pt>
                <c:pt idx="859">
                  <c:v>0.69630000000000003</c:v>
                </c:pt>
                <c:pt idx="860">
                  <c:v>0.7036</c:v>
                </c:pt>
                <c:pt idx="861">
                  <c:v>0.70530000000000004</c:v>
                </c:pt>
                <c:pt idx="862">
                  <c:v>0.70489999999999997</c:v>
                </c:pt>
                <c:pt idx="863">
                  <c:v>0.70320000000000005</c:v>
                </c:pt>
                <c:pt idx="864">
                  <c:v>0.70950000000000002</c:v>
                </c:pt>
                <c:pt idx="865">
                  <c:v>0.71130000000000004</c:v>
                </c:pt>
                <c:pt idx="866">
                  <c:v>0.70830000000000004</c:v>
                </c:pt>
                <c:pt idx="867">
                  <c:v>0.71030000000000004</c:v>
                </c:pt>
                <c:pt idx="868">
                  <c:v>0.71289999999999998</c:v>
                </c:pt>
                <c:pt idx="869">
                  <c:v>0.71499999999999997</c:v>
                </c:pt>
                <c:pt idx="870">
                  <c:v>0.72040000000000004</c:v>
                </c:pt>
                <c:pt idx="871">
                  <c:v>0.72050000000000003</c:v>
                </c:pt>
                <c:pt idx="872">
                  <c:v>0.7258</c:v>
                </c:pt>
                <c:pt idx="873">
                  <c:v>0.71489999999999998</c:v>
                </c:pt>
                <c:pt idx="874">
                  <c:v>0.71489999999999998</c:v>
                </c:pt>
                <c:pt idx="875">
                  <c:v>0.71489999999999998</c:v>
                </c:pt>
                <c:pt idx="876">
                  <c:v>0.70679999999999998</c:v>
                </c:pt>
                <c:pt idx="877">
                  <c:v>0.70579999999999998</c:v>
                </c:pt>
                <c:pt idx="878">
                  <c:v>0.71130000000000004</c:v>
                </c:pt>
                <c:pt idx="879">
                  <c:v>0.70840000000000003</c:v>
                </c:pt>
                <c:pt idx="880">
                  <c:v>0.71299999999999997</c:v>
                </c:pt>
                <c:pt idx="881">
                  <c:v>0.70640000000000003</c:v>
                </c:pt>
                <c:pt idx="882">
                  <c:v>0.70709999999999995</c:v>
                </c:pt>
                <c:pt idx="883">
                  <c:v>0.70479999999999998</c:v>
                </c:pt>
                <c:pt idx="884">
                  <c:v>0.70369999999999999</c:v>
                </c:pt>
                <c:pt idx="885">
                  <c:v>0.70379999999999998</c:v>
                </c:pt>
                <c:pt idx="886">
                  <c:v>0.70730000000000004</c:v>
                </c:pt>
                <c:pt idx="887">
                  <c:v>0.71089999999999998</c:v>
                </c:pt>
                <c:pt idx="888">
                  <c:v>0.71009999999999995</c:v>
                </c:pt>
                <c:pt idx="889">
                  <c:v>0.71299999999999997</c:v>
                </c:pt>
                <c:pt idx="890">
                  <c:v>0.71199999999999997</c:v>
                </c:pt>
                <c:pt idx="891">
                  <c:v>0.71630000000000005</c:v>
                </c:pt>
                <c:pt idx="892">
                  <c:v>0.71350000000000002</c:v>
                </c:pt>
                <c:pt idx="893">
                  <c:v>0.7127</c:v>
                </c:pt>
                <c:pt idx="894">
                  <c:v>0.71419999999999995</c:v>
                </c:pt>
                <c:pt idx="895">
                  <c:v>0.71930000000000005</c:v>
                </c:pt>
                <c:pt idx="896">
                  <c:v>0.71830000000000005</c:v>
                </c:pt>
                <c:pt idx="897">
                  <c:v>0.71989999999999998</c:v>
                </c:pt>
                <c:pt idx="898">
                  <c:v>0.72299999999999998</c:v>
                </c:pt>
                <c:pt idx="899">
                  <c:v>0.7208</c:v>
                </c:pt>
                <c:pt idx="900">
                  <c:v>0.71809999999999996</c:v>
                </c:pt>
                <c:pt idx="901">
                  <c:v>0.71879999999999999</c:v>
                </c:pt>
                <c:pt idx="902">
                  <c:v>0.71319999999999995</c:v>
                </c:pt>
                <c:pt idx="903">
                  <c:v>0.71350000000000002</c:v>
                </c:pt>
                <c:pt idx="904">
                  <c:v>0.7137</c:v>
                </c:pt>
                <c:pt idx="905">
                  <c:v>0.71419999999999995</c:v>
                </c:pt>
                <c:pt idx="906">
                  <c:v>0.71399999999999997</c:v>
                </c:pt>
                <c:pt idx="907">
                  <c:v>0.71679999999999999</c:v>
                </c:pt>
                <c:pt idx="908">
                  <c:v>0.71579999999999999</c:v>
                </c:pt>
                <c:pt idx="909">
                  <c:v>0.71389999999999998</c:v>
                </c:pt>
                <c:pt idx="910">
                  <c:v>0.71389999999999998</c:v>
                </c:pt>
                <c:pt idx="911">
                  <c:v>0.71509999999999996</c:v>
                </c:pt>
                <c:pt idx="912">
                  <c:v>0.71609999999999996</c:v>
                </c:pt>
                <c:pt idx="913">
                  <c:v>0.71599999999999997</c:v>
                </c:pt>
                <c:pt idx="914">
                  <c:v>0.7167</c:v>
                </c:pt>
                <c:pt idx="915">
                  <c:v>0.71619999999999995</c:v>
                </c:pt>
                <c:pt idx="916">
                  <c:v>0.71779999999999999</c:v>
                </c:pt>
                <c:pt idx="917">
                  <c:v>0.72040000000000004</c:v>
                </c:pt>
                <c:pt idx="918">
                  <c:v>0.7218</c:v>
                </c:pt>
                <c:pt idx="919">
                  <c:v>0.72189999999999999</c:v>
                </c:pt>
                <c:pt idx="920">
                  <c:v>0.72009999999999996</c:v>
                </c:pt>
                <c:pt idx="921">
                  <c:v>0.71679999999999999</c:v>
                </c:pt>
                <c:pt idx="922">
                  <c:v>0.71689999999999998</c:v>
                </c:pt>
                <c:pt idx="923">
                  <c:v>0.71879999999999999</c:v>
                </c:pt>
                <c:pt idx="924">
                  <c:v>0.71940000000000004</c:v>
                </c:pt>
                <c:pt idx="925">
                  <c:v>0.7198</c:v>
                </c:pt>
                <c:pt idx="926">
                  <c:v>0.72030000000000005</c:v>
                </c:pt>
                <c:pt idx="927">
                  <c:v>0.72119999999999995</c:v>
                </c:pt>
                <c:pt idx="928">
                  <c:v>0.72019999999999995</c:v>
                </c:pt>
                <c:pt idx="929">
                  <c:v>0.71850000000000003</c:v>
                </c:pt>
                <c:pt idx="930">
                  <c:v>0.7147</c:v>
                </c:pt>
                <c:pt idx="931">
                  <c:v>0.70979999999999999</c:v>
                </c:pt>
                <c:pt idx="932">
                  <c:v>0.70640000000000003</c:v>
                </c:pt>
                <c:pt idx="933">
                  <c:v>0.70899999999999996</c:v>
                </c:pt>
                <c:pt idx="934">
                  <c:v>0.70809999999999995</c:v>
                </c:pt>
                <c:pt idx="935">
                  <c:v>0.71199999999999997</c:v>
                </c:pt>
                <c:pt idx="936">
                  <c:v>0.70440000000000003</c:v>
                </c:pt>
                <c:pt idx="937">
                  <c:v>0.7046</c:v>
                </c:pt>
                <c:pt idx="938">
                  <c:v>0.71099999999999997</c:v>
                </c:pt>
                <c:pt idx="939">
                  <c:v>0.71099999999999997</c:v>
                </c:pt>
                <c:pt idx="940">
                  <c:v>0.70669999999999999</c:v>
                </c:pt>
                <c:pt idx="941">
                  <c:v>0.70709999999999995</c:v>
                </c:pt>
                <c:pt idx="942">
                  <c:v>0.70930000000000004</c:v>
                </c:pt>
                <c:pt idx="943">
                  <c:v>0.70789999999999997</c:v>
                </c:pt>
                <c:pt idx="944">
                  <c:v>0.70699999999999996</c:v>
                </c:pt>
                <c:pt idx="945">
                  <c:v>0.70740000000000003</c:v>
                </c:pt>
                <c:pt idx="946">
                  <c:v>0.70279999999999998</c:v>
                </c:pt>
                <c:pt idx="947">
                  <c:v>0.70099999999999996</c:v>
                </c:pt>
                <c:pt idx="948">
                  <c:v>0.69769999999999999</c:v>
                </c:pt>
                <c:pt idx="949">
                  <c:v>0.69779999999999998</c:v>
                </c:pt>
                <c:pt idx="950">
                  <c:v>0.69979999999999998</c:v>
                </c:pt>
                <c:pt idx="951">
                  <c:v>0.69930000000000003</c:v>
                </c:pt>
                <c:pt idx="952">
                  <c:v>0.70079999999999998</c:v>
                </c:pt>
                <c:pt idx="953">
                  <c:v>0.70099999999999996</c:v>
                </c:pt>
                <c:pt idx="954">
                  <c:v>0.70009999999999994</c:v>
                </c:pt>
                <c:pt idx="955">
                  <c:v>0.69899999999999995</c:v>
                </c:pt>
                <c:pt idx="956">
                  <c:v>0.70120000000000005</c:v>
                </c:pt>
                <c:pt idx="957">
                  <c:v>0.70299999999999996</c:v>
                </c:pt>
                <c:pt idx="958">
                  <c:v>0.70299999999999996</c:v>
                </c:pt>
                <c:pt idx="959">
                  <c:v>0.7056</c:v>
                </c:pt>
                <c:pt idx="960">
                  <c:v>0.71030000000000004</c:v>
                </c:pt>
                <c:pt idx="961">
                  <c:v>0.70850000000000002</c:v>
                </c:pt>
                <c:pt idx="962">
                  <c:v>0.71660000000000001</c:v>
                </c:pt>
                <c:pt idx="963">
                  <c:v>0.71389999999999998</c:v>
                </c:pt>
                <c:pt idx="964">
                  <c:v>0.71309999999999996</c:v>
                </c:pt>
                <c:pt idx="965">
                  <c:v>0.71399999999999997</c:v>
                </c:pt>
                <c:pt idx="966">
                  <c:v>0.71430000000000005</c:v>
                </c:pt>
                <c:pt idx="967">
                  <c:v>0.71399999999999997</c:v>
                </c:pt>
                <c:pt idx="968">
                  <c:v>0.71279999999999999</c:v>
                </c:pt>
                <c:pt idx="969">
                  <c:v>0.71209999999999996</c:v>
                </c:pt>
                <c:pt idx="970">
                  <c:v>0.71240000000000003</c:v>
                </c:pt>
                <c:pt idx="971">
                  <c:v>0.71660000000000001</c:v>
                </c:pt>
                <c:pt idx="972">
                  <c:v>0.71919999999999995</c:v>
                </c:pt>
                <c:pt idx="973">
                  <c:v>0.72030000000000005</c:v>
                </c:pt>
                <c:pt idx="974">
                  <c:v>0.72070000000000001</c:v>
                </c:pt>
                <c:pt idx="975">
                  <c:v>0.72529999999999994</c:v>
                </c:pt>
                <c:pt idx="976">
                  <c:v>0.7248</c:v>
                </c:pt>
                <c:pt idx="977">
                  <c:v>0.72919999999999996</c:v>
                </c:pt>
                <c:pt idx="978">
                  <c:v>0.72619999999999996</c:v>
                </c:pt>
                <c:pt idx="979">
                  <c:v>0.72750000000000004</c:v>
                </c:pt>
                <c:pt idx="980">
                  <c:v>0.73029999999999995</c:v>
                </c:pt>
                <c:pt idx="981">
                  <c:v>0.72909999999999997</c:v>
                </c:pt>
                <c:pt idx="982">
                  <c:v>0.73409999999999997</c:v>
                </c:pt>
                <c:pt idx="983">
                  <c:v>0.73340000000000005</c:v>
                </c:pt>
                <c:pt idx="984">
                  <c:v>0.73460000000000003</c:v>
                </c:pt>
                <c:pt idx="985">
                  <c:v>0.73699999999999999</c:v>
                </c:pt>
                <c:pt idx="986">
                  <c:v>0.73629999999999995</c:v>
                </c:pt>
                <c:pt idx="987">
                  <c:v>0.72860000000000003</c:v>
                </c:pt>
                <c:pt idx="988">
                  <c:v>0.73170000000000002</c:v>
                </c:pt>
                <c:pt idx="989">
                  <c:v>0.72150000000000003</c:v>
                </c:pt>
                <c:pt idx="990">
                  <c:v>0.72430000000000005</c:v>
                </c:pt>
                <c:pt idx="991">
                  <c:v>0.72199999999999998</c:v>
                </c:pt>
                <c:pt idx="992">
                  <c:v>0.71940000000000004</c:v>
                </c:pt>
                <c:pt idx="993">
                  <c:v>0.71409999999999996</c:v>
                </c:pt>
                <c:pt idx="994">
                  <c:v>0.71809999999999996</c:v>
                </c:pt>
                <c:pt idx="995">
                  <c:v>0.71430000000000005</c:v>
                </c:pt>
                <c:pt idx="996">
                  <c:v>0.72009999999999996</c:v>
                </c:pt>
                <c:pt idx="997">
                  <c:v>0.72230000000000005</c:v>
                </c:pt>
                <c:pt idx="998">
                  <c:v>0.72370000000000001</c:v>
                </c:pt>
                <c:pt idx="999">
                  <c:v>0.72270000000000001</c:v>
                </c:pt>
                <c:pt idx="1000">
                  <c:v>0.72629999999999995</c:v>
                </c:pt>
                <c:pt idx="1001">
                  <c:v>0.72360000000000002</c:v>
                </c:pt>
                <c:pt idx="1002">
                  <c:v>0.72119999999999995</c:v>
                </c:pt>
                <c:pt idx="1003">
                  <c:v>0.72529999999999994</c:v>
                </c:pt>
                <c:pt idx="1004">
                  <c:v>0.7208</c:v>
                </c:pt>
                <c:pt idx="1005">
                  <c:v>0.72409999999999997</c:v>
                </c:pt>
                <c:pt idx="1006">
                  <c:v>0.71609999999999996</c:v>
                </c:pt>
                <c:pt idx="1007">
                  <c:v>0.71240000000000003</c:v>
                </c:pt>
                <c:pt idx="1008">
                  <c:v>0.71419999999999995</c:v>
                </c:pt>
                <c:pt idx="1009">
                  <c:v>0.71540000000000004</c:v>
                </c:pt>
                <c:pt idx="1010">
                  <c:v>0.7137</c:v>
                </c:pt>
                <c:pt idx="1011">
                  <c:v>0.70120000000000005</c:v>
                </c:pt>
                <c:pt idx="1012">
                  <c:v>0.6996</c:v>
                </c:pt>
                <c:pt idx="1013">
                  <c:v>0.6825</c:v>
                </c:pt>
                <c:pt idx="1014">
                  <c:v>0.67569999999999997</c:v>
                </c:pt>
                <c:pt idx="1015">
                  <c:v>0.67910000000000004</c:v>
                </c:pt>
                <c:pt idx="1016">
                  <c:v>0.67300000000000004</c:v>
                </c:pt>
                <c:pt idx="1017">
                  <c:v>0.67710000000000004</c:v>
                </c:pt>
                <c:pt idx="1018">
                  <c:v>0.67949999999999999</c:v>
                </c:pt>
                <c:pt idx="1019">
                  <c:v>0.68159999999999998</c:v>
                </c:pt>
                <c:pt idx="1020">
                  <c:v>0.6845</c:v>
                </c:pt>
                <c:pt idx="1021">
                  <c:v>0.67830000000000001</c:v>
                </c:pt>
                <c:pt idx="1022">
                  <c:v>0.68169999999999997</c:v>
                </c:pt>
                <c:pt idx="1023">
                  <c:v>0.68200000000000005</c:v>
                </c:pt>
                <c:pt idx="1024">
                  <c:v>0.68310000000000004</c:v>
                </c:pt>
                <c:pt idx="1025">
                  <c:v>0.68600000000000005</c:v>
                </c:pt>
                <c:pt idx="1026">
                  <c:v>0.69479999999999997</c:v>
                </c:pt>
                <c:pt idx="1027">
                  <c:v>0.69399999999999995</c:v>
                </c:pt>
                <c:pt idx="1028">
                  <c:v>0.69530000000000003</c:v>
                </c:pt>
                <c:pt idx="1029">
                  <c:v>0.69330000000000003</c:v>
                </c:pt>
                <c:pt idx="1030">
                  <c:v>0.6855</c:v>
                </c:pt>
                <c:pt idx="1031">
                  <c:v>0.68569999999999998</c:v>
                </c:pt>
                <c:pt idx="1032">
                  <c:v>0.69179999999999997</c:v>
                </c:pt>
                <c:pt idx="1033">
                  <c:v>0.69530000000000003</c:v>
                </c:pt>
                <c:pt idx="1034">
                  <c:v>0.69389999999999996</c:v>
                </c:pt>
                <c:pt idx="1035">
                  <c:v>0.70520000000000005</c:v>
                </c:pt>
                <c:pt idx="1036">
                  <c:v>0.70609999999999995</c:v>
                </c:pt>
                <c:pt idx="1037">
                  <c:v>0.70279999999999998</c:v>
                </c:pt>
                <c:pt idx="1038">
                  <c:v>0.70399999999999996</c:v>
                </c:pt>
                <c:pt idx="1039">
                  <c:v>0.69789999999999996</c:v>
                </c:pt>
                <c:pt idx="1040">
                  <c:v>0.69799999999999995</c:v>
                </c:pt>
                <c:pt idx="1041">
                  <c:v>0.69869999999999999</c:v>
                </c:pt>
                <c:pt idx="1042">
                  <c:v>0.70220000000000005</c:v>
                </c:pt>
                <c:pt idx="1043">
                  <c:v>0.70369999999999999</c:v>
                </c:pt>
                <c:pt idx="1044">
                  <c:v>0.71030000000000004</c:v>
                </c:pt>
                <c:pt idx="1045">
                  <c:v>0.71740000000000004</c:v>
                </c:pt>
                <c:pt idx="1046">
                  <c:v>0.71750000000000003</c:v>
                </c:pt>
                <c:pt idx="1047">
                  <c:v>0.71279999999999999</c:v>
                </c:pt>
                <c:pt idx="1048">
                  <c:v>0.71870000000000001</c:v>
                </c:pt>
                <c:pt idx="1049">
                  <c:v>0.71660000000000001</c:v>
                </c:pt>
                <c:pt idx="1050">
                  <c:v>0.71130000000000004</c:v>
                </c:pt>
                <c:pt idx="1051">
                  <c:v>0.71179999999999999</c:v>
                </c:pt>
                <c:pt idx="1052">
                  <c:v>0.71379999999999999</c:v>
                </c:pt>
                <c:pt idx="1053">
                  <c:v>0.71379999999999999</c:v>
                </c:pt>
                <c:pt idx="1054">
                  <c:v>0.71379999999999999</c:v>
                </c:pt>
                <c:pt idx="1055">
                  <c:v>0.71750000000000003</c:v>
                </c:pt>
                <c:pt idx="1056">
                  <c:v>0.72119999999999995</c:v>
                </c:pt>
                <c:pt idx="1057">
                  <c:v>0.7208</c:v>
                </c:pt>
                <c:pt idx="1058">
                  <c:v>0.72250000000000003</c:v>
                </c:pt>
                <c:pt idx="1059">
                  <c:v>0.72250000000000003</c:v>
                </c:pt>
                <c:pt idx="1060">
                  <c:v>0.7248</c:v>
                </c:pt>
                <c:pt idx="1061">
                  <c:v>0.71989999999999998</c:v>
                </c:pt>
                <c:pt idx="1062">
                  <c:v>0.70820000000000005</c:v>
                </c:pt>
                <c:pt idx="1063">
                  <c:v>0.70660000000000001</c:v>
                </c:pt>
                <c:pt idx="1064">
                  <c:v>0.70309999999999995</c:v>
                </c:pt>
                <c:pt idx="1065">
                  <c:v>0.7107</c:v>
                </c:pt>
                <c:pt idx="1066">
                  <c:v>0.70809999999999995</c:v>
                </c:pt>
                <c:pt idx="1067">
                  <c:v>0.71389999999999998</c:v>
                </c:pt>
                <c:pt idx="1068">
                  <c:v>0.70879999999999999</c:v>
                </c:pt>
                <c:pt idx="1069">
                  <c:v>0.71260000000000001</c:v>
                </c:pt>
                <c:pt idx="1070">
                  <c:v>0.70379999999999998</c:v>
                </c:pt>
                <c:pt idx="1071">
                  <c:v>0.7107</c:v>
                </c:pt>
                <c:pt idx="1072">
                  <c:v>0.71240000000000003</c:v>
                </c:pt>
                <c:pt idx="1073">
                  <c:v>0.71509999999999996</c:v>
                </c:pt>
                <c:pt idx="1074">
                  <c:v>0.71619999999999995</c:v>
                </c:pt>
                <c:pt idx="1075">
                  <c:v>0.71550000000000002</c:v>
                </c:pt>
                <c:pt idx="1076">
                  <c:v>0.71550000000000002</c:v>
                </c:pt>
                <c:pt idx="1077">
                  <c:v>0.71519999999999995</c:v>
                </c:pt>
                <c:pt idx="1078">
                  <c:v>0.71530000000000005</c:v>
                </c:pt>
                <c:pt idx="1079">
                  <c:v>0.71379999999999999</c:v>
                </c:pt>
                <c:pt idx="1080">
                  <c:v>0.70950000000000002</c:v>
                </c:pt>
                <c:pt idx="1081">
                  <c:v>0.71120000000000005</c:v>
                </c:pt>
                <c:pt idx="1082">
                  <c:v>0.71499999999999997</c:v>
                </c:pt>
                <c:pt idx="1083">
                  <c:v>0.71089999999999998</c:v>
                </c:pt>
                <c:pt idx="1084">
                  <c:v>0.71279999999999999</c:v>
                </c:pt>
                <c:pt idx="1085">
                  <c:v>0.70979999999999999</c:v>
                </c:pt>
                <c:pt idx="1086">
                  <c:v>0.71020000000000005</c:v>
                </c:pt>
                <c:pt idx="1087">
                  <c:v>0.71099999999999997</c:v>
                </c:pt>
                <c:pt idx="1088">
                  <c:v>0.71330000000000005</c:v>
                </c:pt>
                <c:pt idx="1089">
                  <c:v>0.71179999999999999</c:v>
                </c:pt>
                <c:pt idx="1090">
                  <c:v>0.70860000000000001</c:v>
                </c:pt>
                <c:pt idx="1091">
                  <c:v>0.71379999999999999</c:v>
                </c:pt>
                <c:pt idx="1092">
                  <c:v>0.71350000000000002</c:v>
                </c:pt>
                <c:pt idx="1093">
                  <c:v>0.7157</c:v>
                </c:pt>
                <c:pt idx="1094">
                  <c:v>0.71630000000000005</c:v>
                </c:pt>
                <c:pt idx="1095">
                  <c:v>0.71940000000000004</c:v>
                </c:pt>
                <c:pt idx="1096">
                  <c:v>0.71930000000000005</c:v>
                </c:pt>
                <c:pt idx="1097">
                  <c:v>0.71860000000000002</c:v>
                </c:pt>
                <c:pt idx="1098">
                  <c:v>0.7177</c:v>
                </c:pt>
                <c:pt idx="1099">
                  <c:v>0.71879999999999999</c:v>
                </c:pt>
                <c:pt idx="1100">
                  <c:v>0.7198</c:v>
                </c:pt>
                <c:pt idx="1101">
                  <c:v>0.71879999999999999</c:v>
                </c:pt>
                <c:pt idx="1102">
                  <c:v>0.7218</c:v>
                </c:pt>
                <c:pt idx="1103">
                  <c:v>0.72399999999999998</c:v>
                </c:pt>
                <c:pt idx="1104">
                  <c:v>0.72460000000000002</c:v>
                </c:pt>
                <c:pt idx="1105">
                  <c:v>0.72829999999999995</c:v>
                </c:pt>
                <c:pt idx="1106">
                  <c:v>0.73099999999999998</c:v>
                </c:pt>
                <c:pt idx="1107">
                  <c:v>0.72970000000000002</c:v>
                </c:pt>
                <c:pt idx="1108">
                  <c:v>0.72929999999999995</c:v>
                </c:pt>
                <c:pt idx="1109">
                  <c:v>0.73099999999999998</c:v>
                </c:pt>
                <c:pt idx="1110">
                  <c:v>0.7298</c:v>
                </c:pt>
                <c:pt idx="1111">
                  <c:v>0.72960000000000003</c:v>
                </c:pt>
                <c:pt idx="1112">
                  <c:v>0.73119999999999996</c:v>
                </c:pt>
                <c:pt idx="1113">
                  <c:v>0.73529999999999995</c:v>
                </c:pt>
                <c:pt idx="1114">
                  <c:v>0.73329999999999995</c:v>
                </c:pt>
                <c:pt idx="1115">
                  <c:v>0.73770000000000002</c:v>
                </c:pt>
                <c:pt idx="1116">
                  <c:v>0.73850000000000005</c:v>
                </c:pt>
                <c:pt idx="1117">
                  <c:v>0.74070000000000003</c:v>
                </c:pt>
                <c:pt idx="1118">
                  <c:v>0.74060000000000004</c:v>
                </c:pt>
                <c:pt idx="1119">
                  <c:v>0.74170000000000003</c:v>
                </c:pt>
                <c:pt idx="1120">
                  <c:v>0.73680000000000001</c:v>
                </c:pt>
                <c:pt idx="1121">
                  <c:v>0.73519999999999996</c:v>
                </c:pt>
                <c:pt idx="1122">
                  <c:v>0.73660000000000003</c:v>
                </c:pt>
                <c:pt idx="1123">
                  <c:v>0.73880000000000001</c:v>
                </c:pt>
                <c:pt idx="1124">
                  <c:v>0.73880000000000001</c:v>
                </c:pt>
                <c:pt idx="1125">
                  <c:v>0.73880000000000001</c:v>
                </c:pt>
                <c:pt idx="1126">
                  <c:v>0.74150000000000005</c:v>
                </c:pt>
                <c:pt idx="1127">
                  <c:v>0.7399</c:v>
                </c:pt>
                <c:pt idx="1128">
                  <c:v>0.73839999999999995</c:v>
                </c:pt>
                <c:pt idx="1129">
                  <c:v>0.74080000000000001</c:v>
                </c:pt>
                <c:pt idx="1130">
                  <c:v>0.74439999999999995</c:v>
                </c:pt>
                <c:pt idx="1131">
                  <c:v>0.74409999999999998</c:v>
                </c:pt>
                <c:pt idx="1132">
                  <c:v>0.74319999999999997</c:v>
                </c:pt>
                <c:pt idx="1133">
                  <c:v>0.74429999999999996</c:v>
                </c:pt>
                <c:pt idx="1134">
                  <c:v>0.748</c:v>
                </c:pt>
                <c:pt idx="1135">
                  <c:v>0.74809999999999999</c:v>
                </c:pt>
                <c:pt idx="1136">
                  <c:v>0.75019999999999998</c:v>
                </c:pt>
                <c:pt idx="1137">
                  <c:v>0.74729999999999996</c:v>
                </c:pt>
                <c:pt idx="1138">
                  <c:v>0.74990000000000001</c:v>
                </c:pt>
                <c:pt idx="1139">
                  <c:v>0.75419999999999998</c:v>
                </c:pt>
                <c:pt idx="1140">
                  <c:v>0.75419999999999998</c:v>
                </c:pt>
                <c:pt idx="1141">
                  <c:v>0.75590000000000002</c:v>
                </c:pt>
                <c:pt idx="1142">
                  <c:v>0.75590000000000002</c:v>
                </c:pt>
                <c:pt idx="1143">
                  <c:v>0.75590000000000002</c:v>
                </c:pt>
                <c:pt idx="1144">
                  <c:v>0.75849999999999995</c:v>
                </c:pt>
                <c:pt idx="1145">
                  <c:v>0.75829999999999997</c:v>
                </c:pt>
                <c:pt idx="1146">
                  <c:v>0.76190000000000002</c:v>
                </c:pt>
                <c:pt idx="1147">
                  <c:v>0.77100000000000002</c:v>
                </c:pt>
                <c:pt idx="1148">
                  <c:v>0.76639999999999997</c:v>
                </c:pt>
                <c:pt idx="1149">
                  <c:v>0.76790000000000003</c:v>
                </c:pt>
                <c:pt idx="1150">
                  <c:v>0.76900000000000002</c:v>
                </c:pt>
                <c:pt idx="1151">
                  <c:v>0.77459999999999996</c:v>
                </c:pt>
                <c:pt idx="1152">
                  <c:v>0.77710000000000001</c:v>
                </c:pt>
                <c:pt idx="1153">
                  <c:v>0.76559999999999995</c:v>
                </c:pt>
                <c:pt idx="1154">
                  <c:v>0.7742</c:v>
                </c:pt>
                <c:pt idx="1155">
                  <c:v>0.77439999999999998</c:v>
                </c:pt>
                <c:pt idx="1156">
                  <c:v>0.77059999999999995</c:v>
                </c:pt>
                <c:pt idx="1157">
                  <c:v>0.77080000000000004</c:v>
                </c:pt>
                <c:pt idx="1158">
                  <c:v>0.77280000000000004</c:v>
                </c:pt>
                <c:pt idx="1159">
                  <c:v>0.78190000000000004</c:v>
                </c:pt>
                <c:pt idx="1160">
                  <c:v>0.78690000000000004</c:v>
                </c:pt>
                <c:pt idx="1161">
                  <c:v>0.78669999999999995</c:v>
                </c:pt>
                <c:pt idx="1162">
                  <c:v>0.78720000000000001</c:v>
                </c:pt>
                <c:pt idx="1163">
                  <c:v>0.79930000000000001</c:v>
                </c:pt>
                <c:pt idx="1164">
                  <c:v>0.80649999999999999</c:v>
                </c:pt>
                <c:pt idx="1165">
                  <c:v>0.80520000000000003</c:v>
                </c:pt>
                <c:pt idx="1166">
                  <c:v>0.80510000000000004</c:v>
                </c:pt>
                <c:pt idx="1167">
                  <c:v>0.8135</c:v>
                </c:pt>
                <c:pt idx="1168">
                  <c:v>0.80430000000000001</c:v>
                </c:pt>
                <c:pt idx="1169">
                  <c:v>0.80700000000000005</c:v>
                </c:pt>
                <c:pt idx="1170">
                  <c:v>0.7903</c:v>
                </c:pt>
                <c:pt idx="1171">
                  <c:v>0.79410000000000003</c:v>
                </c:pt>
                <c:pt idx="1172">
                  <c:v>0.80559999999999998</c:v>
                </c:pt>
                <c:pt idx="1173">
                  <c:v>0.80489999999999995</c:v>
                </c:pt>
                <c:pt idx="1174">
                  <c:v>0.80649999999999999</c:v>
                </c:pt>
                <c:pt idx="1175">
                  <c:v>0.80649999999999999</c:v>
                </c:pt>
                <c:pt idx="1176">
                  <c:v>0.8034</c:v>
                </c:pt>
                <c:pt idx="1177">
                  <c:v>0.7984</c:v>
                </c:pt>
                <c:pt idx="1178">
                  <c:v>0.80479999999999996</c:v>
                </c:pt>
                <c:pt idx="1179">
                  <c:v>0.81240000000000001</c:v>
                </c:pt>
                <c:pt idx="1180">
                  <c:v>0.82130000000000003</c:v>
                </c:pt>
                <c:pt idx="1181">
                  <c:v>0.82230000000000003</c:v>
                </c:pt>
                <c:pt idx="1182">
                  <c:v>0.82369999999999999</c:v>
                </c:pt>
                <c:pt idx="1183">
                  <c:v>0.82289999999999996</c:v>
                </c:pt>
                <c:pt idx="1184">
                  <c:v>0.82479999999999998</c:v>
                </c:pt>
                <c:pt idx="1185">
                  <c:v>0.81179999999999997</c:v>
                </c:pt>
                <c:pt idx="1186">
                  <c:v>0.81059999999999999</c:v>
                </c:pt>
                <c:pt idx="1187">
                  <c:v>0.7984</c:v>
                </c:pt>
                <c:pt idx="1188">
                  <c:v>0.79400000000000004</c:v>
                </c:pt>
                <c:pt idx="1189">
                  <c:v>0.7863</c:v>
                </c:pt>
                <c:pt idx="1190">
                  <c:v>0.77510000000000001</c:v>
                </c:pt>
                <c:pt idx="1191">
                  <c:v>0.78300000000000003</c:v>
                </c:pt>
                <c:pt idx="1192">
                  <c:v>0.7964</c:v>
                </c:pt>
                <c:pt idx="1193">
                  <c:v>0.80400000000000005</c:v>
                </c:pt>
                <c:pt idx="1194">
                  <c:v>0.79979999999999996</c:v>
                </c:pt>
                <c:pt idx="1195">
                  <c:v>0.79</c:v>
                </c:pt>
                <c:pt idx="1196">
                  <c:v>0.79349999999999998</c:v>
                </c:pt>
                <c:pt idx="1197">
                  <c:v>0.80049999999999999</c:v>
                </c:pt>
                <c:pt idx="1198">
                  <c:v>0.79890000000000005</c:v>
                </c:pt>
                <c:pt idx="1199">
                  <c:v>0.7944</c:v>
                </c:pt>
                <c:pt idx="1200">
                  <c:v>0.79310000000000003</c:v>
                </c:pt>
                <c:pt idx="1201">
                  <c:v>0.79849999999999999</c:v>
                </c:pt>
                <c:pt idx="1202">
                  <c:v>0.81</c:v>
                </c:pt>
                <c:pt idx="1203">
                  <c:v>0.80789999999999995</c:v>
                </c:pt>
                <c:pt idx="1204">
                  <c:v>0.81399999999999995</c:v>
                </c:pt>
                <c:pt idx="1205">
                  <c:v>0.81510000000000005</c:v>
                </c:pt>
                <c:pt idx="1206">
                  <c:v>0.80889999999999995</c:v>
                </c:pt>
                <c:pt idx="1207">
                  <c:v>0.80310000000000004</c:v>
                </c:pt>
                <c:pt idx="1208">
                  <c:v>0.80889999999999995</c:v>
                </c:pt>
                <c:pt idx="1209">
                  <c:v>0.80449999999999999</c:v>
                </c:pt>
                <c:pt idx="1210">
                  <c:v>0.80100000000000005</c:v>
                </c:pt>
                <c:pt idx="1211">
                  <c:v>0.80730000000000002</c:v>
                </c:pt>
                <c:pt idx="1212">
                  <c:v>0.80359999999999998</c:v>
                </c:pt>
                <c:pt idx="1213">
                  <c:v>0.80510000000000004</c:v>
                </c:pt>
                <c:pt idx="1214">
                  <c:v>0.80510000000000004</c:v>
                </c:pt>
                <c:pt idx="1215">
                  <c:v>0.79710000000000003</c:v>
                </c:pt>
                <c:pt idx="1216">
                  <c:v>0.8004</c:v>
                </c:pt>
                <c:pt idx="1217">
                  <c:v>0.79569999999999996</c:v>
                </c:pt>
                <c:pt idx="1218">
                  <c:v>0.80030000000000001</c:v>
                </c:pt>
                <c:pt idx="1219">
                  <c:v>0.80320000000000003</c:v>
                </c:pt>
                <c:pt idx="1220">
                  <c:v>0.80389999999999995</c:v>
                </c:pt>
                <c:pt idx="1221">
                  <c:v>0.80069999999999997</c:v>
                </c:pt>
                <c:pt idx="1222">
                  <c:v>0.80200000000000005</c:v>
                </c:pt>
                <c:pt idx="1223">
                  <c:v>0.80330000000000001</c:v>
                </c:pt>
                <c:pt idx="1224">
                  <c:v>0.81440000000000001</c:v>
                </c:pt>
                <c:pt idx="1225">
                  <c:v>0.81620000000000004</c:v>
                </c:pt>
                <c:pt idx="1226">
                  <c:v>0.81389999999999996</c:v>
                </c:pt>
                <c:pt idx="1227">
                  <c:v>0.81220000000000003</c:v>
                </c:pt>
                <c:pt idx="1228">
                  <c:v>0.81889999999999996</c:v>
                </c:pt>
                <c:pt idx="1229">
                  <c:v>0.8135</c:v>
                </c:pt>
                <c:pt idx="1230">
                  <c:v>0.8135</c:v>
                </c:pt>
                <c:pt idx="1231">
                  <c:v>0.80249999999999999</c:v>
                </c:pt>
                <c:pt idx="1232">
                  <c:v>0.80689999999999995</c:v>
                </c:pt>
                <c:pt idx="1233">
                  <c:v>0.79720000000000002</c:v>
                </c:pt>
                <c:pt idx="1234">
                  <c:v>0.79530000000000001</c:v>
                </c:pt>
                <c:pt idx="1235">
                  <c:v>0.80320000000000003</c:v>
                </c:pt>
                <c:pt idx="1236">
                  <c:v>0.80210000000000004</c:v>
                </c:pt>
                <c:pt idx="1237">
                  <c:v>0.80610000000000004</c:v>
                </c:pt>
                <c:pt idx="1238">
                  <c:v>0.80149999999999999</c:v>
                </c:pt>
                <c:pt idx="1239">
                  <c:v>0.8054</c:v>
                </c:pt>
                <c:pt idx="1240">
                  <c:v>0.80300000000000005</c:v>
                </c:pt>
                <c:pt idx="1241">
                  <c:v>0.79820000000000002</c:v>
                </c:pt>
                <c:pt idx="1242">
                  <c:v>0.7964</c:v>
                </c:pt>
                <c:pt idx="1243">
                  <c:v>0.79579999999999995</c:v>
                </c:pt>
                <c:pt idx="1244">
                  <c:v>0.79979999999999996</c:v>
                </c:pt>
                <c:pt idx="1245">
                  <c:v>0.78959999999999997</c:v>
                </c:pt>
                <c:pt idx="1246">
                  <c:v>0.78580000000000005</c:v>
                </c:pt>
                <c:pt idx="1247">
                  <c:v>0.78169999999999995</c:v>
                </c:pt>
                <c:pt idx="1248">
                  <c:v>0.78459999999999996</c:v>
                </c:pt>
                <c:pt idx="1249">
                  <c:v>0.78620000000000001</c:v>
                </c:pt>
                <c:pt idx="1250">
                  <c:v>0.77980000000000005</c:v>
                </c:pt>
                <c:pt idx="1251">
                  <c:v>0.78439999999999999</c:v>
                </c:pt>
                <c:pt idx="1252">
                  <c:v>0.78280000000000005</c:v>
                </c:pt>
                <c:pt idx="1253">
                  <c:v>0.78239999999999998</c:v>
                </c:pt>
                <c:pt idx="1254">
                  <c:v>0.78290000000000004</c:v>
                </c:pt>
                <c:pt idx="1255">
                  <c:v>0.7833</c:v>
                </c:pt>
                <c:pt idx="1256">
                  <c:v>0.78710000000000002</c:v>
                </c:pt>
                <c:pt idx="1257">
                  <c:v>0.79069999999999996</c:v>
                </c:pt>
                <c:pt idx="1258">
                  <c:v>0.79449999999999998</c:v>
                </c:pt>
                <c:pt idx="1259">
                  <c:v>0.79700000000000004</c:v>
                </c:pt>
                <c:pt idx="1260">
                  <c:v>0.80210000000000004</c:v>
                </c:pt>
                <c:pt idx="1261">
                  <c:v>0.80359999999999998</c:v>
                </c:pt>
                <c:pt idx="1262">
                  <c:v>0.80310000000000004</c:v>
                </c:pt>
                <c:pt idx="1263">
                  <c:v>0.80869999999999997</c:v>
                </c:pt>
                <c:pt idx="1264">
                  <c:v>0.80889999999999995</c:v>
                </c:pt>
                <c:pt idx="1265">
                  <c:v>0.81169999999999998</c:v>
                </c:pt>
                <c:pt idx="1266">
                  <c:v>0.80940000000000001</c:v>
                </c:pt>
                <c:pt idx="1267">
                  <c:v>0.81740000000000002</c:v>
                </c:pt>
                <c:pt idx="1268">
                  <c:v>0.81910000000000005</c:v>
                </c:pt>
                <c:pt idx="1269">
                  <c:v>0.82140000000000002</c:v>
                </c:pt>
                <c:pt idx="1270">
                  <c:v>0.81779999999999997</c:v>
                </c:pt>
                <c:pt idx="1271">
                  <c:v>0.81669999999999998</c:v>
                </c:pt>
                <c:pt idx="1272">
                  <c:v>0.82230000000000003</c:v>
                </c:pt>
                <c:pt idx="1273">
                  <c:v>0.82489999999999997</c:v>
                </c:pt>
                <c:pt idx="1274">
                  <c:v>0.82350000000000001</c:v>
                </c:pt>
                <c:pt idx="1275">
                  <c:v>0.8256</c:v>
                </c:pt>
                <c:pt idx="1276">
                  <c:v>0.82199999999999995</c:v>
                </c:pt>
                <c:pt idx="1277">
                  <c:v>0.82220000000000004</c:v>
                </c:pt>
                <c:pt idx="1278">
                  <c:v>0.82709999999999995</c:v>
                </c:pt>
                <c:pt idx="1279">
                  <c:v>0.82920000000000005</c:v>
                </c:pt>
                <c:pt idx="1280">
                  <c:v>0.8276</c:v>
                </c:pt>
                <c:pt idx="1281">
                  <c:v>0.83279999999999998</c:v>
                </c:pt>
                <c:pt idx="1282">
                  <c:v>0.8347</c:v>
                </c:pt>
                <c:pt idx="1283">
                  <c:v>0.84399999999999997</c:v>
                </c:pt>
                <c:pt idx="1284">
                  <c:v>0.84709999999999996</c:v>
                </c:pt>
                <c:pt idx="1285">
                  <c:v>0.85419999999999996</c:v>
                </c:pt>
                <c:pt idx="1286">
                  <c:v>0.85219999999999996</c:v>
                </c:pt>
                <c:pt idx="1287">
                  <c:v>0.84630000000000005</c:v>
                </c:pt>
                <c:pt idx="1288">
                  <c:v>0.86109999999999998</c:v>
                </c:pt>
                <c:pt idx="1289">
                  <c:v>0.85460000000000003</c:v>
                </c:pt>
                <c:pt idx="1290">
                  <c:v>0.85399999999999998</c:v>
                </c:pt>
                <c:pt idx="1291">
                  <c:v>0.86140000000000005</c:v>
                </c:pt>
                <c:pt idx="1292">
                  <c:v>0.86370000000000002</c:v>
                </c:pt>
                <c:pt idx="1293">
                  <c:v>0.86639999999999995</c:v>
                </c:pt>
                <c:pt idx="1294">
                  <c:v>0.87280000000000002</c:v>
                </c:pt>
                <c:pt idx="1295">
                  <c:v>0.86890000000000001</c:v>
                </c:pt>
                <c:pt idx="1296">
                  <c:v>0.87009999999999998</c:v>
                </c:pt>
                <c:pt idx="1297">
                  <c:v>0.87809999999999999</c:v>
                </c:pt>
                <c:pt idx="1298">
                  <c:v>0.87719999999999998</c:v>
                </c:pt>
                <c:pt idx="1299">
                  <c:v>0.86770000000000003</c:v>
                </c:pt>
                <c:pt idx="1300">
                  <c:v>0.87539999999999996</c:v>
                </c:pt>
                <c:pt idx="1301">
                  <c:v>0.87670000000000003</c:v>
                </c:pt>
                <c:pt idx="1302">
                  <c:v>0.87450000000000006</c:v>
                </c:pt>
                <c:pt idx="1303">
                  <c:v>0.86609999999999998</c:v>
                </c:pt>
                <c:pt idx="1304">
                  <c:v>0.87009999999999998</c:v>
                </c:pt>
                <c:pt idx="1305">
                  <c:v>0.85619999999999996</c:v>
                </c:pt>
                <c:pt idx="1306">
                  <c:v>0.84830000000000005</c:v>
                </c:pt>
                <c:pt idx="1307">
                  <c:v>0.84389999999999998</c:v>
                </c:pt>
                <c:pt idx="1308">
                  <c:v>0.85660000000000003</c:v>
                </c:pt>
                <c:pt idx="1309">
                  <c:v>0.84330000000000005</c:v>
                </c:pt>
                <c:pt idx="1310">
                  <c:v>0.84950000000000003</c:v>
                </c:pt>
                <c:pt idx="1311">
                  <c:v>0.85329999999999995</c:v>
                </c:pt>
                <c:pt idx="1312">
                  <c:v>0.85199999999999998</c:v>
                </c:pt>
                <c:pt idx="1313">
                  <c:v>0.85450000000000004</c:v>
                </c:pt>
                <c:pt idx="1314">
                  <c:v>0.85199999999999998</c:v>
                </c:pt>
                <c:pt idx="1315">
                  <c:v>0.85199999999999998</c:v>
                </c:pt>
                <c:pt idx="1316">
                  <c:v>0.85199999999999998</c:v>
                </c:pt>
                <c:pt idx="1317">
                  <c:v>0.85499999999999998</c:v>
                </c:pt>
                <c:pt idx="1318">
                  <c:v>0.85170000000000001</c:v>
                </c:pt>
                <c:pt idx="1319">
                  <c:v>0.85550000000000004</c:v>
                </c:pt>
                <c:pt idx="1320">
                  <c:v>0.85550000000000004</c:v>
                </c:pt>
                <c:pt idx="1321">
                  <c:v>0.85950000000000004</c:v>
                </c:pt>
                <c:pt idx="1322">
                  <c:v>0.87150000000000005</c:v>
                </c:pt>
                <c:pt idx="1323">
                  <c:v>0.87039999999999995</c:v>
                </c:pt>
                <c:pt idx="1324">
                  <c:v>0.86729999999999996</c:v>
                </c:pt>
                <c:pt idx="1325">
                  <c:v>0.86360000000000003</c:v>
                </c:pt>
                <c:pt idx="1326">
                  <c:v>0.86870000000000003</c:v>
                </c:pt>
                <c:pt idx="1327">
                  <c:v>0.86140000000000005</c:v>
                </c:pt>
                <c:pt idx="1328">
                  <c:v>0.86570000000000003</c:v>
                </c:pt>
                <c:pt idx="1329">
                  <c:v>0.86470000000000002</c:v>
                </c:pt>
                <c:pt idx="1330">
                  <c:v>0.86350000000000005</c:v>
                </c:pt>
                <c:pt idx="1331">
                  <c:v>0.85589999999999999</c:v>
                </c:pt>
                <c:pt idx="1332">
                  <c:v>0.86450000000000005</c:v>
                </c:pt>
                <c:pt idx="1333">
                  <c:v>0.86450000000000005</c:v>
                </c:pt>
                <c:pt idx="1334">
                  <c:v>0.87290000000000001</c:v>
                </c:pt>
                <c:pt idx="1335">
                  <c:v>0.87629999999999997</c:v>
                </c:pt>
                <c:pt idx="1336">
                  <c:v>0.88119999999999998</c:v>
                </c:pt>
                <c:pt idx="1337">
                  <c:v>0.88100000000000001</c:v>
                </c:pt>
                <c:pt idx="1338">
                  <c:v>0.87980000000000003</c:v>
                </c:pt>
                <c:pt idx="1339">
                  <c:v>0.87609999999999999</c:v>
                </c:pt>
                <c:pt idx="1340">
                  <c:v>0.87439999999999996</c:v>
                </c:pt>
                <c:pt idx="1341">
                  <c:v>0.88900000000000001</c:v>
                </c:pt>
                <c:pt idx="1342">
                  <c:v>0.89059999999999995</c:v>
                </c:pt>
                <c:pt idx="1343">
                  <c:v>0.89370000000000005</c:v>
                </c:pt>
                <c:pt idx="1344">
                  <c:v>0.87880000000000003</c:v>
                </c:pt>
                <c:pt idx="1345">
                  <c:v>0.87839999999999996</c:v>
                </c:pt>
                <c:pt idx="1346">
                  <c:v>0.88129999999999997</c:v>
                </c:pt>
                <c:pt idx="1347">
                  <c:v>0.89</c:v>
                </c:pt>
                <c:pt idx="1348">
                  <c:v>0.89129999999999998</c:v>
                </c:pt>
                <c:pt idx="1349">
                  <c:v>0.88660000000000005</c:v>
                </c:pt>
                <c:pt idx="1350">
                  <c:v>0.88770000000000004</c:v>
                </c:pt>
                <c:pt idx="1351">
                  <c:v>0.88729999999999998</c:v>
                </c:pt>
                <c:pt idx="1352">
                  <c:v>0.87639999999999996</c:v>
                </c:pt>
                <c:pt idx="1353">
                  <c:v>0.85050000000000003</c:v>
                </c:pt>
                <c:pt idx="1354">
                  <c:v>0.83079999999999998</c:v>
                </c:pt>
                <c:pt idx="1355">
                  <c:v>0.81869999999999998</c:v>
                </c:pt>
                <c:pt idx="1356">
                  <c:v>0.81010000000000004</c:v>
                </c:pt>
                <c:pt idx="1357">
                  <c:v>0.81340000000000001</c:v>
                </c:pt>
                <c:pt idx="1358">
                  <c:v>0.82599999999999996</c:v>
                </c:pt>
                <c:pt idx="1359">
                  <c:v>0.82210000000000005</c:v>
                </c:pt>
                <c:pt idx="1360">
                  <c:v>0.81789999999999996</c:v>
                </c:pt>
                <c:pt idx="1361">
                  <c:v>0.79959999999999998</c:v>
                </c:pt>
                <c:pt idx="1362">
                  <c:v>0.79869999999999997</c:v>
                </c:pt>
                <c:pt idx="1363">
                  <c:v>0.80120000000000002</c:v>
                </c:pt>
                <c:pt idx="1364">
                  <c:v>0.81179999999999997</c:v>
                </c:pt>
                <c:pt idx="1365">
                  <c:v>0.81610000000000005</c:v>
                </c:pt>
                <c:pt idx="1366">
                  <c:v>0.81159999999999999</c:v>
                </c:pt>
                <c:pt idx="1367">
                  <c:v>0.80769999999999997</c:v>
                </c:pt>
                <c:pt idx="1368">
                  <c:v>0.81610000000000005</c:v>
                </c:pt>
                <c:pt idx="1369">
                  <c:v>0.8246</c:v>
                </c:pt>
                <c:pt idx="1370">
                  <c:v>0.82130000000000003</c:v>
                </c:pt>
                <c:pt idx="1371">
                  <c:v>0.81430000000000002</c:v>
                </c:pt>
                <c:pt idx="1372">
                  <c:v>0.80530000000000002</c:v>
                </c:pt>
                <c:pt idx="1373">
                  <c:v>0.81430000000000002</c:v>
                </c:pt>
                <c:pt idx="1374">
                  <c:v>0.8175</c:v>
                </c:pt>
                <c:pt idx="1375">
                  <c:v>0.82269999999999999</c:v>
                </c:pt>
                <c:pt idx="1376">
                  <c:v>0.82640000000000002</c:v>
                </c:pt>
                <c:pt idx="1377">
                  <c:v>0.82379999999999998</c:v>
                </c:pt>
                <c:pt idx="1378">
                  <c:v>0.82709999999999995</c:v>
                </c:pt>
                <c:pt idx="1379">
                  <c:v>0.82709999999999995</c:v>
                </c:pt>
                <c:pt idx="1380">
                  <c:v>0.82709999999999995</c:v>
                </c:pt>
                <c:pt idx="1381">
                  <c:v>0.82030000000000003</c:v>
                </c:pt>
                <c:pt idx="1382">
                  <c:v>0.8115</c:v>
                </c:pt>
                <c:pt idx="1383">
                  <c:v>0.81930000000000003</c:v>
                </c:pt>
                <c:pt idx="1384">
                  <c:v>0.81940000000000002</c:v>
                </c:pt>
                <c:pt idx="1385">
                  <c:v>0.8206</c:v>
                </c:pt>
                <c:pt idx="1386">
                  <c:v>0.8226</c:v>
                </c:pt>
                <c:pt idx="1387">
                  <c:v>0.80779999999999996</c:v>
                </c:pt>
                <c:pt idx="1388">
                  <c:v>0.80300000000000005</c:v>
                </c:pt>
                <c:pt idx="1389">
                  <c:v>0.80869999999999997</c:v>
                </c:pt>
                <c:pt idx="1390">
                  <c:v>0.80630000000000002</c:v>
                </c:pt>
                <c:pt idx="1391">
                  <c:v>0.80830000000000002</c:v>
                </c:pt>
                <c:pt idx="1392">
                  <c:v>0.80900000000000005</c:v>
                </c:pt>
                <c:pt idx="1393">
                  <c:v>0.80810000000000004</c:v>
                </c:pt>
                <c:pt idx="1394">
                  <c:v>0.80600000000000005</c:v>
                </c:pt>
                <c:pt idx="1395">
                  <c:v>0.81110000000000004</c:v>
                </c:pt>
                <c:pt idx="1396">
                  <c:v>0.79679999999999995</c:v>
                </c:pt>
                <c:pt idx="1397">
                  <c:v>0.79979999999999996</c:v>
                </c:pt>
                <c:pt idx="1398">
                  <c:v>0.80200000000000005</c:v>
                </c:pt>
                <c:pt idx="1399">
                  <c:v>0.79779999999999995</c:v>
                </c:pt>
                <c:pt idx="1400">
                  <c:v>0.79190000000000005</c:v>
                </c:pt>
                <c:pt idx="1401">
                  <c:v>0.79190000000000005</c:v>
                </c:pt>
                <c:pt idx="1402">
                  <c:v>0.79559999999999997</c:v>
                </c:pt>
                <c:pt idx="1403">
                  <c:v>0.7954</c:v>
                </c:pt>
                <c:pt idx="1404">
                  <c:v>0.79279999999999995</c:v>
                </c:pt>
                <c:pt idx="1405">
                  <c:v>0.79210000000000003</c:v>
                </c:pt>
                <c:pt idx="1406">
                  <c:v>0.79169999999999996</c:v>
                </c:pt>
                <c:pt idx="1407">
                  <c:v>0.79530000000000001</c:v>
                </c:pt>
                <c:pt idx="1408">
                  <c:v>0.80200000000000005</c:v>
                </c:pt>
                <c:pt idx="1409">
                  <c:v>0.80079999999999996</c:v>
                </c:pt>
                <c:pt idx="1410">
                  <c:v>0.79969999999999997</c:v>
                </c:pt>
                <c:pt idx="1411">
                  <c:v>0.79879999999999995</c:v>
                </c:pt>
                <c:pt idx="1412">
                  <c:v>0.7923</c:v>
                </c:pt>
                <c:pt idx="1413">
                  <c:v>0.79179999999999995</c:v>
                </c:pt>
                <c:pt idx="1414">
                  <c:v>0.78500000000000003</c:v>
                </c:pt>
                <c:pt idx="1415">
                  <c:v>0.77739999999999998</c:v>
                </c:pt>
                <c:pt idx="1416">
                  <c:v>0.77229999999999999</c:v>
                </c:pt>
                <c:pt idx="1417">
                  <c:v>0.76370000000000005</c:v>
                </c:pt>
                <c:pt idx="1418">
                  <c:v>0.76239999999999997</c:v>
                </c:pt>
                <c:pt idx="1419">
                  <c:v>0.76180000000000003</c:v>
                </c:pt>
                <c:pt idx="1420">
                  <c:v>0.74560000000000004</c:v>
                </c:pt>
                <c:pt idx="1421">
                  <c:v>0.74790000000000001</c:v>
                </c:pt>
                <c:pt idx="1422">
                  <c:v>0.74919999999999998</c:v>
                </c:pt>
                <c:pt idx="1423">
                  <c:v>0.75680000000000003</c:v>
                </c:pt>
                <c:pt idx="1424">
                  <c:v>0.76190000000000002</c:v>
                </c:pt>
                <c:pt idx="1425">
                  <c:v>0.73909999999999998</c:v>
                </c:pt>
                <c:pt idx="1426">
                  <c:v>0.748</c:v>
                </c:pt>
                <c:pt idx="1427">
                  <c:v>0.74839999999999995</c:v>
                </c:pt>
                <c:pt idx="1428">
                  <c:v>0.75219999999999998</c:v>
                </c:pt>
                <c:pt idx="1429">
                  <c:v>0.75790000000000002</c:v>
                </c:pt>
                <c:pt idx="1430">
                  <c:v>0.75939999999999996</c:v>
                </c:pt>
                <c:pt idx="1431">
                  <c:v>0.75049999999999994</c:v>
                </c:pt>
                <c:pt idx="1432">
                  <c:v>0.75280000000000002</c:v>
                </c:pt>
                <c:pt idx="1433">
                  <c:v>0.75360000000000005</c:v>
                </c:pt>
                <c:pt idx="1434">
                  <c:v>0.75270000000000004</c:v>
                </c:pt>
                <c:pt idx="1435">
                  <c:v>0.75270000000000004</c:v>
                </c:pt>
                <c:pt idx="1436">
                  <c:v>0.74170000000000003</c:v>
                </c:pt>
                <c:pt idx="1437">
                  <c:v>0.74450000000000005</c:v>
                </c:pt>
                <c:pt idx="1438">
                  <c:v>0.73960000000000004</c:v>
                </c:pt>
                <c:pt idx="1439">
                  <c:v>0.752</c:v>
                </c:pt>
                <c:pt idx="1440">
                  <c:v>0.75119999999999998</c:v>
                </c:pt>
                <c:pt idx="1441">
                  <c:v>0.75619999999999998</c:v>
                </c:pt>
                <c:pt idx="1442">
                  <c:v>0.75829999999999997</c:v>
                </c:pt>
                <c:pt idx="1443">
                  <c:v>0.77290000000000003</c:v>
                </c:pt>
                <c:pt idx="1444">
                  <c:v>0.76890000000000003</c:v>
                </c:pt>
                <c:pt idx="1445">
                  <c:v>0.7702</c:v>
                </c:pt>
                <c:pt idx="1446">
                  <c:v>0.7631</c:v>
                </c:pt>
                <c:pt idx="1447">
                  <c:v>0.75749999999999995</c:v>
                </c:pt>
                <c:pt idx="1448">
                  <c:v>0.75700000000000001</c:v>
                </c:pt>
                <c:pt idx="1449">
                  <c:v>0.75529999999999997</c:v>
                </c:pt>
                <c:pt idx="1450">
                  <c:v>0.75719999999999998</c:v>
                </c:pt>
                <c:pt idx="1451">
                  <c:v>0.76219999999999999</c:v>
                </c:pt>
                <c:pt idx="1452">
                  <c:v>0.77080000000000004</c:v>
                </c:pt>
                <c:pt idx="1453">
                  <c:v>0.76929999999999998</c:v>
                </c:pt>
                <c:pt idx="1454">
                  <c:v>0.7671</c:v>
                </c:pt>
                <c:pt idx="1455">
                  <c:v>0.76749999999999996</c:v>
                </c:pt>
                <c:pt idx="1456">
                  <c:v>0.7601</c:v>
                </c:pt>
                <c:pt idx="1457">
                  <c:v>0.75839999999999996</c:v>
                </c:pt>
                <c:pt idx="1458">
                  <c:v>0.75949999999999995</c:v>
                </c:pt>
                <c:pt idx="1459">
                  <c:v>0.75690000000000002</c:v>
                </c:pt>
                <c:pt idx="1460">
                  <c:v>0.75539999999999996</c:v>
                </c:pt>
                <c:pt idx="1461">
                  <c:v>0.75900000000000001</c:v>
                </c:pt>
                <c:pt idx="1462">
                  <c:v>0.74819999999999998</c:v>
                </c:pt>
                <c:pt idx="1463">
                  <c:v>0.74760000000000004</c:v>
                </c:pt>
                <c:pt idx="1464">
                  <c:v>0.75019999999999998</c:v>
                </c:pt>
                <c:pt idx="1465">
                  <c:v>0.74850000000000005</c:v>
                </c:pt>
                <c:pt idx="1466">
                  <c:v>0.74990000000000001</c:v>
                </c:pt>
                <c:pt idx="1467">
                  <c:v>0.75339999999999996</c:v>
                </c:pt>
                <c:pt idx="1468">
                  <c:v>0.7571</c:v>
                </c:pt>
                <c:pt idx="1469">
                  <c:v>0.749</c:v>
                </c:pt>
                <c:pt idx="1470">
                  <c:v>0.75239999999999996</c:v>
                </c:pt>
                <c:pt idx="1471">
                  <c:v>0.75939999999999996</c:v>
                </c:pt>
                <c:pt idx="1472">
                  <c:v>0.76680000000000004</c:v>
                </c:pt>
                <c:pt idx="1473">
                  <c:v>0.76739999999999997</c:v>
                </c:pt>
                <c:pt idx="1474">
                  <c:v>0.76529999999999998</c:v>
                </c:pt>
                <c:pt idx="1475">
                  <c:v>0.76190000000000002</c:v>
                </c:pt>
                <c:pt idx="1476">
                  <c:v>0.76519999999999999</c:v>
                </c:pt>
                <c:pt idx="1477">
                  <c:v>0.76770000000000005</c:v>
                </c:pt>
                <c:pt idx="1478">
                  <c:v>0.76659999999999995</c:v>
                </c:pt>
                <c:pt idx="1479">
                  <c:v>0.7621</c:v>
                </c:pt>
                <c:pt idx="1480">
                  <c:v>0.75970000000000004</c:v>
                </c:pt>
                <c:pt idx="1481">
                  <c:v>0.76029999999999998</c:v>
                </c:pt>
                <c:pt idx="1482">
                  <c:v>0.75619999999999998</c:v>
                </c:pt>
                <c:pt idx="1483">
                  <c:v>0.75839999999999996</c:v>
                </c:pt>
                <c:pt idx="1484">
                  <c:v>0.75609999999999999</c:v>
                </c:pt>
                <c:pt idx="1485">
                  <c:v>0.75819999999999999</c:v>
                </c:pt>
                <c:pt idx="1486">
                  <c:v>0.76449999999999996</c:v>
                </c:pt>
                <c:pt idx="1487">
                  <c:v>0.76370000000000005</c:v>
                </c:pt>
                <c:pt idx="1488">
                  <c:v>0.75890000000000002</c:v>
                </c:pt>
                <c:pt idx="1489">
                  <c:v>0.76039999999999996</c:v>
                </c:pt>
                <c:pt idx="1490">
                  <c:v>0.75990000000000002</c:v>
                </c:pt>
                <c:pt idx="1491">
                  <c:v>0.75770000000000004</c:v>
                </c:pt>
                <c:pt idx="1492">
                  <c:v>0.76649999999999996</c:v>
                </c:pt>
                <c:pt idx="1493">
                  <c:v>0.76559999999999995</c:v>
                </c:pt>
                <c:pt idx="1494">
                  <c:v>0.76349999999999996</c:v>
                </c:pt>
                <c:pt idx="1495">
                  <c:v>0.76019999999999999</c:v>
                </c:pt>
                <c:pt idx="1496">
                  <c:v>0.75990000000000002</c:v>
                </c:pt>
                <c:pt idx="1497">
                  <c:v>0.76119999999999999</c:v>
                </c:pt>
                <c:pt idx="1498">
                  <c:v>0.76129999999999998</c:v>
                </c:pt>
                <c:pt idx="1499">
                  <c:v>0.76419999999999999</c:v>
                </c:pt>
                <c:pt idx="1500">
                  <c:v>0.76319999999999999</c:v>
                </c:pt>
                <c:pt idx="1501">
                  <c:v>0.76290000000000002</c:v>
                </c:pt>
                <c:pt idx="1502">
                  <c:v>0.76990000000000003</c:v>
                </c:pt>
                <c:pt idx="1503">
                  <c:v>0.77629999999999999</c:v>
                </c:pt>
                <c:pt idx="1504">
                  <c:v>0.77759999999999996</c:v>
                </c:pt>
                <c:pt idx="1505">
                  <c:v>0.77529999999999999</c:v>
                </c:pt>
                <c:pt idx="1506">
                  <c:v>0.77559999999999996</c:v>
                </c:pt>
                <c:pt idx="1507">
                  <c:v>0.77529999999999999</c:v>
                </c:pt>
                <c:pt idx="1508">
                  <c:v>0.76870000000000005</c:v>
                </c:pt>
                <c:pt idx="1509">
                  <c:v>0.78080000000000005</c:v>
                </c:pt>
                <c:pt idx="1510">
                  <c:v>0.79120000000000001</c:v>
                </c:pt>
                <c:pt idx="1511">
                  <c:v>0.78749999999999998</c:v>
                </c:pt>
                <c:pt idx="1512">
                  <c:v>0.78580000000000005</c:v>
                </c:pt>
                <c:pt idx="1513">
                  <c:v>0.77769999999999995</c:v>
                </c:pt>
                <c:pt idx="1514">
                  <c:v>0.77639999999999998</c:v>
                </c:pt>
                <c:pt idx="1515">
                  <c:v>0.77759999999999996</c:v>
                </c:pt>
                <c:pt idx="1516">
                  <c:v>0.77769999999999995</c:v>
                </c:pt>
                <c:pt idx="1517">
                  <c:v>0.77849999999999997</c:v>
                </c:pt>
                <c:pt idx="1518">
                  <c:v>0.77700000000000002</c:v>
                </c:pt>
                <c:pt idx="1519">
                  <c:v>0.77849999999999997</c:v>
                </c:pt>
                <c:pt idx="1520">
                  <c:v>0.78339999999999999</c:v>
                </c:pt>
                <c:pt idx="1521">
                  <c:v>0.77790000000000004</c:v>
                </c:pt>
                <c:pt idx="1522">
                  <c:v>0.77749999999999997</c:v>
                </c:pt>
                <c:pt idx="1523">
                  <c:v>0.77339999999999998</c:v>
                </c:pt>
                <c:pt idx="1524">
                  <c:v>0.76839999999999997</c:v>
                </c:pt>
                <c:pt idx="1525">
                  <c:v>0.75900000000000001</c:v>
                </c:pt>
                <c:pt idx="1526">
                  <c:v>0.76770000000000005</c:v>
                </c:pt>
                <c:pt idx="1527">
                  <c:v>0.76949999999999996</c:v>
                </c:pt>
                <c:pt idx="1528">
                  <c:v>0.77239999999999998</c:v>
                </c:pt>
                <c:pt idx="1529">
                  <c:v>0.77590000000000003</c:v>
                </c:pt>
                <c:pt idx="1530">
                  <c:v>0.77190000000000003</c:v>
                </c:pt>
                <c:pt idx="1531">
                  <c:v>0.76990000000000003</c:v>
                </c:pt>
                <c:pt idx="1532">
                  <c:v>0.77510000000000001</c:v>
                </c:pt>
                <c:pt idx="1533">
                  <c:v>0.77610000000000001</c:v>
                </c:pt>
                <c:pt idx="1534">
                  <c:v>0.77669999999999995</c:v>
                </c:pt>
                <c:pt idx="1535">
                  <c:v>0.77949999999999997</c:v>
                </c:pt>
                <c:pt idx="1536">
                  <c:v>0.78310000000000002</c:v>
                </c:pt>
                <c:pt idx="1537">
                  <c:v>0.78090000000000004</c:v>
                </c:pt>
                <c:pt idx="1538">
                  <c:v>0.7792</c:v>
                </c:pt>
                <c:pt idx="1539">
                  <c:v>0.78</c:v>
                </c:pt>
                <c:pt idx="1540">
                  <c:v>0.7802</c:v>
                </c:pt>
                <c:pt idx="1541">
                  <c:v>0.78220000000000001</c:v>
                </c:pt>
                <c:pt idx="1542">
                  <c:v>0.7843</c:v>
                </c:pt>
                <c:pt idx="1543">
                  <c:v>0.78769999999999996</c:v>
                </c:pt>
                <c:pt idx="1544">
                  <c:v>0.78859999999999997</c:v>
                </c:pt>
                <c:pt idx="1545">
                  <c:v>0.78710000000000002</c:v>
                </c:pt>
                <c:pt idx="1546">
                  <c:v>0.78759999999999997</c:v>
                </c:pt>
                <c:pt idx="1547">
                  <c:v>0.78639999999999999</c:v>
                </c:pt>
                <c:pt idx="1548">
                  <c:v>0.78139999999999998</c:v>
                </c:pt>
                <c:pt idx="1549">
                  <c:v>0.78190000000000004</c:v>
                </c:pt>
                <c:pt idx="1550">
                  <c:v>0.78210000000000002</c:v>
                </c:pt>
                <c:pt idx="1551">
                  <c:v>0.7782</c:v>
                </c:pt>
                <c:pt idx="1552">
                  <c:v>0.77510000000000001</c:v>
                </c:pt>
                <c:pt idx="1553">
                  <c:v>0.77969999999999995</c:v>
                </c:pt>
                <c:pt idx="1554">
                  <c:v>0.78129999999999999</c:v>
                </c:pt>
                <c:pt idx="1555">
                  <c:v>0.78459999999999996</c:v>
                </c:pt>
                <c:pt idx="1556">
                  <c:v>0.78549999999999998</c:v>
                </c:pt>
                <c:pt idx="1557">
                  <c:v>0.7823</c:v>
                </c:pt>
                <c:pt idx="1558">
                  <c:v>0.78149999999999997</c:v>
                </c:pt>
                <c:pt idx="1559">
                  <c:v>0.78269999999999995</c:v>
                </c:pt>
                <c:pt idx="1560">
                  <c:v>0.78280000000000005</c:v>
                </c:pt>
                <c:pt idx="1561">
                  <c:v>0.78069999999999995</c:v>
                </c:pt>
                <c:pt idx="1562">
                  <c:v>0.78290000000000004</c:v>
                </c:pt>
                <c:pt idx="1563">
                  <c:v>0.78400000000000003</c:v>
                </c:pt>
                <c:pt idx="1564">
                  <c:v>0.78269999999999995</c:v>
                </c:pt>
                <c:pt idx="1565">
                  <c:v>0.78390000000000004</c:v>
                </c:pt>
                <c:pt idx="1566">
                  <c:v>0.78539999999999999</c:v>
                </c:pt>
                <c:pt idx="1567">
                  <c:v>0.78659999999999997</c:v>
                </c:pt>
                <c:pt idx="1568">
                  <c:v>0.78590000000000004</c:v>
                </c:pt>
                <c:pt idx="1569">
                  <c:v>0.78359999999999996</c:v>
                </c:pt>
                <c:pt idx="1570">
                  <c:v>0.78339999999999999</c:v>
                </c:pt>
                <c:pt idx="1571">
                  <c:v>0.78459999999999996</c:v>
                </c:pt>
                <c:pt idx="1572">
                  <c:v>0.78469999999999995</c:v>
                </c:pt>
                <c:pt idx="1573">
                  <c:v>0.78590000000000004</c:v>
                </c:pt>
                <c:pt idx="1574">
                  <c:v>0.78849999999999998</c:v>
                </c:pt>
                <c:pt idx="1575">
                  <c:v>0.78849999999999998</c:v>
                </c:pt>
                <c:pt idx="1576">
                  <c:v>0.78849999999999998</c:v>
                </c:pt>
                <c:pt idx="1577">
                  <c:v>0.79459999999999997</c:v>
                </c:pt>
                <c:pt idx="1578">
                  <c:v>0.79569999999999996</c:v>
                </c:pt>
                <c:pt idx="1579">
                  <c:v>0.79269999999999996</c:v>
                </c:pt>
                <c:pt idx="1580">
                  <c:v>0.79269999999999996</c:v>
                </c:pt>
                <c:pt idx="1581">
                  <c:v>0.78749999999999998</c:v>
                </c:pt>
                <c:pt idx="1582">
                  <c:v>0.78539999999999999</c:v>
                </c:pt>
                <c:pt idx="1583">
                  <c:v>0.78239999999999998</c:v>
                </c:pt>
                <c:pt idx="1584">
                  <c:v>0.78500000000000003</c:v>
                </c:pt>
                <c:pt idx="1585">
                  <c:v>0.78320000000000001</c:v>
                </c:pt>
                <c:pt idx="1586">
                  <c:v>0.78590000000000004</c:v>
                </c:pt>
                <c:pt idx="1587">
                  <c:v>0.78749999999999998</c:v>
                </c:pt>
                <c:pt idx="1588">
                  <c:v>0.79190000000000005</c:v>
                </c:pt>
                <c:pt idx="1589">
                  <c:v>0.79239999999999999</c:v>
                </c:pt>
                <c:pt idx="1590">
                  <c:v>0.7923</c:v>
                </c:pt>
                <c:pt idx="1591">
                  <c:v>0.78939999999999999</c:v>
                </c:pt>
                <c:pt idx="1592">
                  <c:v>0.7903</c:v>
                </c:pt>
                <c:pt idx="1593">
                  <c:v>0.7954</c:v>
                </c:pt>
                <c:pt idx="1594">
                  <c:v>0.79390000000000005</c:v>
                </c:pt>
                <c:pt idx="1595">
                  <c:v>0.79320000000000002</c:v>
                </c:pt>
                <c:pt idx="1596">
                  <c:v>0.78220000000000001</c:v>
                </c:pt>
                <c:pt idx="1597">
                  <c:v>0.76949999999999996</c:v>
                </c:pt>
                <c:pt idx="1598">
                  <c:v>0.76670000000000005</c:v>
                </c:pt>
                <c:pt idx="1599">
                  <c:v>0.75919999999999999</c:v>
                </c:pt>
                <c:pt idx="1600">
                  <c:v>0.75980000000000003</c:v>
                </c:pt>
                <c:pt idx="1601">
                  <c:v>0.76439999999999997</c:v>
                </c:pt>
                <c:pt idx="1602">
                  <c:v>0.77080000000000004</c:v>
                </c:pt>
                <c:pt idx="1603">
                  <c:v>0.76819999999999999</c:v>
                </c:pt>
                <c:pt idx="1604">
                  <c:v>0.77210000000000001</c:v>
                </c:pt>
                <c:pt idx="1605">
                  <c:v>0.77170000000000005</c:v>
                </c:pt>
                <c:pt idx="1606">
                  <c:v>0.7661</c:v>
                </c:pt>
                <c:pt idx="1607">
                  <c:v>0.76200000000000001</c:v>
                </c:pt>
                <c:pt idx="1608">
                  <c:v>0.75119999999999998</c:v>
                </c:pt>
                <c:pt idx="1609">
                  <c:v>0.75290000000000001</c:v>
                </c:pt>
                <c:pt idx="1610">
                  <c:v>0.75190000000000001</c:v>
                </c:pt>
                <c:pt idx="1611">
                  <c:v>0.75349999999999995</c:v>
                </c:pt>
                <c:pt idx="1612">
                  <c:v>0.74909999999999999</c:v>
                </c:pt>
                <c:pt idx="1613">
                  <c:v>0.74680000000000002</c:v>
                </c:pt>
                <c:pt idx="1614">
                  <c:v>0.75590000000000002</c:v>
                </c:pt>
                <c:pt idx="1615">
                  <c:v>0.75970000000000004</c:v>
                </c:pt>
                <c:pt idx="1616">
                  <c:v>0.76119999999999999</c:v>
                </c:pt>
                <c:pt idx="1617">
                  <c:v>0.75670000000000004</c:v>
                </c:pt>
                <c:pt idx="1618">
                  <c:v>0.76729999999999998</c:v>
                </c:pt>
                <c:pt idx="1619">
                  <c:v>0.76080000000000003</c:v>
                </c:pt>
                <c:pt idx="1620">
                  <c:v>0.7631</c:v>
                </c:pt>
                <c:pt idx="1621">
                  <c:v>0.76570000000000005</c:v>
                </c:pt>
                <c:pt idx="1622">
                  <c:v>0.75939999999999996</c:v>
                </c:pt>
                <c:pt idx="1623">
                  <c:v>0.75900000000000001</c:v>
                </c:pt>
                <c:pt idx="1624">
                  <c:v>0.7641</c:v>
                </c:pt>
                <c:pt idx="1625">
                  <c:v>0.75880000000000003</c:v>
                </c:pt>
                <c:pt idx="1626">
                  <c:v>0.76129999999999998</c:v>
                </c:pt>
                <c:pt idx="1627">
                  <c:v>0.76100000000000001</c:v>
                </c:pt>
                <c:pt idx="1628">
                  <c:v>0.76139999999999997</c:v>
                </c:pt>
                <c:pt idx="1629">
                  <c:v>0.76029999999999998</c:v>
                </c:pt>
                <c:pt idx="1630">
                  <c:v>0.7581</c:v>
                </c:pt>
                <c:pt idx="1631">
                  <c:v>0.75849999999999995</c:v>
                </c:pt>
                <c:pt idx="1632">
                  <c:v>0.76359999999999995</c:v>
                </c:pt>
                <c:pt idx="1633">
                  <c:v>0.75880000000000003</c:v>
                </c:pt>
                <c:pt idx="1634">
                  <c:v>0.75509999999999999</c:v>
                </c:pt>
                <c:pt idx="1635">
                  <c:v>0.75190000000000001</c:v>
                </c:pt>
                <c:pt idx="1636">
                  <c:v>0.75719999999999998</c:v>
                </c:pt>
                <c:pt idx="1637">
                  <c:v>0.75370000000000004</c:v>
                </c:pt>
                <c:pt idx="1638">
                  <c:v>0.75209999999999999</c:v>
                </c:pt>
                <c:pt idx="1639">
                  <c:v>0.75019999999999998</c:v>
                </c:pt>
                <c:pt idx="1640">
                  <c:v>0.746</c:v>
                </c:pt>
                <c:pt idx="1641">
                  <c:v>0.74660000000000004</c:v>
                </c:pt>
                <c:pt idx="1642">
                  <c:v>0.74690000000000001</c:v>
                </c:pt>
                <c:pt idx="1643">
                  <c:v>0.74790000000000001</c:v>
                </c:pt>
                <c:pt idx="1644">
                  <c:v>0.75419999999999998</c:v>
                </c:pt>
                <c:pt idx="1645">
                  <c:v>0.75690000000000002</c:v>
                </c:pt>
                <c:pt idx="1646">
                  <c:v>0.76139999999999997</c:v>
                </c:pt>
                <c:pt idx="1647">
                  <c:v>0.76490000000000002</c:v>
                </c:pt>
                <c:pt idx="1648">
                  <c:v>0.76490000000000002</c:v>
                </c:pt>
                <c:pt idx="1649">
                  <c:v>0.76639999999999997</c:v>
                </c:pt>
                <c:pt idx="1650">
                  <c:v>0.76649999999999996</c:v>
                </c:pt>
                <c:pt idx="1651">
                  <c:v>0.76480000000000004</c:v>
                </c:pt>
                <c:pt idx="1652">
                  <c:v>0.76359999999999995</c:v>
                </c:pt>
                <c:pt idx="1653">
                  <c:v>0.76649999999999996</c:v>
                </c:pt>
                <c:pt idx="1654">
                  <c:v>0.76649999999999996</c:v>
                </c:pt>
                <c:pt idx="1655">
                  <c:v>0.76649999999999996</c:v>
                </c:pt>
                <c:pt idx="1656">
                  <c:v>0.76500000000000001</c:v>
                </c:pt>
                <c:pt idx="1657">
                  <c:v>0.76600000000000001</c:v>
                </c:pt>
                <c:pt idx="1658">
                  <c:v>0.77159999999999995</c:v>
                </c:pt>
                <c:pt idx="1659">
                  <c:v>0.77249999999999996</c:v>
                </c:pt>
                <c:pt idx="1660">
                  <c:v>0.76949999999999996</c:v>
                </c:pt>
                <c:pt idx="1661">
                  <c:v>0.76670000000000005</c:v>
                </c:pt>
                <c:pt idx="1662">
                  <c:v>0.76670000000000005</c:v>
                </c:pt>
                <c:pt idx="1663">
                  <c:v>0.76139999999999997</c:v>
                </c:pt>
                <c:pt idx="1664">
                  <c:v>0.75339999999999996</c:v>
                </c:pt>
                <c:pt idx="1665">
                  <c:v>0.75090000000000001</c:v>
                </c:pt>
                <c:pt idx="1666">
                  <c:v>0.74660000000000004</c:v>
                </c:pt>
                <c:pt idx="1667">
                  <c:v>0.75170000000000003</c:v>
                </c:pt>
                <c:pt idx="1668">
                  <c:v>0.75629999999999997</c:v>
                </c:pt>
                <c:pt idx="1669">
                  <c:v>0.75470000000000004</c:v>
                </c:pt>
                <c:pt idx="1670">
                  <c:v>0.75480000000000003</c:v>
                </c:pt>
                <c:pt idx="1671">
                  <c:v>0.75619999999999998</c:v>
                </c:pt>
                <c:pt idx="1672">
                  <c:v>0.75890000000000002</c:v>
                </c:pt>
                <c:pt idx="1673">
                  <c:v>0.75860000000000005</c:v>
                </c:pt>
                <c:pt idx="1674">
                  <c:v>0.76170000000000004</c:v>
                </c:pt>
                <c:pt idx="1675">
                  <c:v>0.76180000000000003</c:v>
                </c:pt>
                <c:pt idx="1676">
                  <c:v>0.76839999999999997</c:v>
                </c:pt>
                <c:pt idx="1677">
                  <c:v>0.76380000000000003</c:v>
                </c:pt>
                <c:pt idx="1678">
                  <c:v>0.76300000000000001</c:v>
                </c:pt>
                <c:pt idx="1679">
                  <c:v>0.76190000000000002</c:v>
                </c:pt>
                <c:pt idx="1680">
                  <c:v>0.76370000000000005</c:v>
                </c:pt>
                <c:pt idx="1681">
                  <c:v>0.76519999999999999</c:v>
                </c:pt>
                <c:pt idx="1682">
                  <c:v>0.76759999999999995</c:v>
                </c:pt>
                <c:pt idx="1683">
                  <c:v>0.76480000000000004</c:v>
                </c:pt>
                <c:pt idx="1684">
                  <c:v>0.76470000000000005</c:v>
                </c:pt>
                <c:pt idx="1685">
                  <c:v>0.76900000000000002</c:v>
                </c:pt>
                <c:pt idx="1686">
                  <c:v>0.76680000000000004</c:v>
                </c:pt>
                <c:pt idx="1687">
                  <c:v>0.77210000000000001</c:v>
                </c:pt>
                <c:pt idx="1688">
                  <c:v>0.76910000000000001</c:v>
                </c:pt>
                <c:pt idx="1689">
                  <c:v>0.76859999999999995</c:v>
                </c:pt>
                <c:pt idx="1690">
                  <c:v>0.76890000000000003</c:v>
                </c:pt>
                <c:pt idx="1691">
                  <c:v>0.76790000000000003</c:v>
                </c:pt>
                <c:pt idx="1692">
                  <c:v>0.77090000000000003</c:v>
                </c:pt>
                <c:pt idx="1693">
                  <c:v>0.77300000000000002</c:v>
                </c:pt>
                <c:pt idx="1694">
                  <c:v>0.77259999999999995</c:v>
                </c:pt>
                <c:pt idx="1695">
                  <c:v>0.77259999999999995</c:v>
                </c:pt>
                <c:pt idx="1696">
                  <c:v>0.77410000000000001</c:v>
                </c:pt>
                <c:pt idx="1697">
                  <c:v>0.77470000000000006</c:v>
                </c:pt>
                <c:pt idx="1698">
                  <c:v>0.77449999999999997</c:v>
                </c:pt>
                <c:pt idx="1699">
                  <c:v>0.77529999999999999</c:v>
                </c:pt>
                <c:pt idx="1700">
                  <c:v>0.77680000000000005</c:v>
                </c:pt>
                <c:pt idx="1701">
                  <c:v>0.78110000000000002</c:v>
                </c:pt>
                <c:pt idx="1702">
                  <c:v>0.78359999999999996</c:v>
                </c:pt>
                <c:pt idx="1703">
                  <c:v>0.78649999999999998</c:v>
                </c:pt>
                <c:pt idx="1704">
                  <c:v>0.78449999999999998</c:v>
                </c:pt>
                <c:pt idx="1705">
                  <c:v>0.7843</c:v>
                </c:pt>
                <c:pt idx="1706">
                  <c:v>0.78490000000000004</c:v>
                </c:pt>
                <c:pt idx="1707">
                  <c:v>0.7883</c:v>
                </c:pt>
                <c:pt idx="1708">
                  <c:v>0.78739999999999999</c:v>
                </c:pt>
                <c:pt idx="1709">
                  <c:v>0.78900000000000003</c:v>
                </c:pt>
                <c:pt idx="1710">
                  <c:v>0.79469999999999996</c:v>
                </c:pt>
                <c:pt idx="1711">
                  <c:v>0.79690000000000005</c:v>
                </c:pt>
                <c:pt idx="1712">
                  <c:v>0.80169999999999997</c:v>
                </c:pt>
                <c:pt idx="1713">
                  <c:v>0.79949999999999999</c:v>
                </c:pt>
                <c:pt idx="1714">
                  <c:v>0.79779999999999995</c:v>
                </c:pt>
                <c:pt idx="1715">
                  <c:v>0.79900000000000004</c:v>
                </c:pt>
                <c:pt idx="1716">
                  <c:v>0.8085</c:v>
                </c:pt>
                <c:pt idx="1717">
                  <c:v>0.80810000000000004</c:v>
                </c:pt>
                <c:pt idx="1718">
                  <c:v>0.79559999999999997</c:v>
                </c:pt>
                <c:pt idx="1719">
                  <c:v>0.79349999999999998</c:v>
                </c:pt>
                <c:pt idx="1720">
                  <c:v>0.78220000000000001</c:v>
                </c:pt>
                <c:pt idx="1721">
                  <c:v>0.78920000000000001</c:v>
                </c:pt>
                <c:pt idx="1722">
                  <c:v>0.79020000000000001</c:v>
                </c:pt>
                <c:pt idx="1723">
                  <c:v>0.78939999999999999</c:v>
                </c:pt>
                <c:pt idx="1724">
                  <c:v>0.78690000000000004</c:v>
                </c:pt>
                <c:pt idx="1725">
                  <c:v>0.78620000000000001</c:v>
                </c:pt>
                <c:pt idx="1726">
                  <c:v>0.78480000000000005</c:v>
                </c:pt>
                <c:pt idx="1727">
                  <c:v>0.78400000000000003</c:v>
                </c:pt>
                <c:pt idx="1728">
                  <c:v>0.78369999999999995</c:v>
                </c:pt>
                <c:pt idx="1729">
                  <c:v>0.78300000000000003</c:v>
                </c:pt>
                <c:pt idx="1730">
                  <c:v>0.79179999999999995</c:v>
                </c:pt>
                <c:pt idx="1731">
                  <c:v>0.79010000000000002</c:v>
                </c:pt>
                <c:pt idx="1732">
                  <c:v>0.79479999999999995</c:v>
                </c:pt>
                <c:pt idx="1733">
                  <c:v>0.78310000000000002</c:v>
                </c:pt>
                <c:pt idx="1734">
                  <c:v>0.78539999999999999</c:v>
                </c:pt>
                <c:pt idx="1735">
                  <c:v>0.78739999999999999</c:v>
                </c:pt>
                <c:pt idx="1736">
                  <c:v>0.79120000000000001</c:v>
                </c:pt>
                <c:pt idx="1737">
                  <c:v>0.79269999999999996</c:v>
                </c:pt>
                <c:pt idx="1738">
                  <c:v>0.8</c:v>
                </c:pt>
                <c:pt idx="1739">
                  <c:v>0.79859999999999998</c:v>
                </c:pt>
                <c:pt idx="1740">
                  <c:v>0.80049999999999999</c:v>
                </c:pt>
                <c:pt idx="1741">
                  <c:v>0.80430000000000001</c:v>
                </c:pt>
                <c:pt idx="1742">
                  <c:v>0.80530000000000002</c:v>
                </c:pt>
                <c:pt idx="1743">
                  <c:v>0.80630000000000002</c:v>
                </c:pt>
                <c:pt idx="1744">
                  <c:v>0.80710000000000004</c:v>
                </c:pt>
                <c:pt idx="1745">
                  <c:v>0.80700000000000005</c:v>
                </c:pt>
                <c:pt idx="1746">
                  <c:v>0.81369999999999998</c:v>
                </c:pt>
                <c:pt idx="1747">
                  <c:v>0.81840000000000002</c:v>
                </c:pt>
                <c:pt idx="1748">
                  <c:v>0.82399999999999995</c:v>
                </c:pt>
                <c:pt idx="1749">
                  <c:v>0.84499999999999997</c:v>
                </c:pt>
                <c:pt idx="1750">
                  <c:v>0.82899999999999996</c:v>
                </c:pt>
                <c:pt idx="1751">
                  <c:v>0.8347</c:v>
                </c:pt>
                <c:pt idx="1752">
                  <c:v>0.83079999999999998</c:v>
                </c:pt>
                <c:pt idx="1753">
                  <c:v>0.82630000000000003</c:v>
                </c:pt>
                <c:pt idx="1754">
                  <c:v>0.81620000000000004</c:v>
                </c:pt>
                <c:pt idx="1755">
                  <c:v>0.81200000000000006</c:v>
                </c:pt>
                <c:pt idx="1756">
                  <c:v>0.81459999999999999</c:v>
                </c:pt>
                <c:pt idx="1757">
                  <c:v>0.82650000000000001</c:v>
                </c:pt>
                <c:pt idx="1758">
                  <c:v>0.82450000000000001</c:v>
                </c:pt>
                <c:pt idx="1759">
                  <c:v>0.82210000000000005</c:v>
                </c:pt>
                <c:pt idx="1760">
                  <c:v>0.81499999999999995</c:v>
                </c:pt>
                <c:pt idx="1761">
                  <c:v>0.81630000000000003</c:v>
                </c:pt>
                <c:pt idx="1762">
                  <c:v>0.82120000000000004</c:v>
                </c:pt>
                <c:pt idx="1763">
                  <c:v>0.82</c:v>
                </c:pt>
                <c:pt idx="1764">
                  <c:v>0.82650000000000001</c:v>
                </c:pt>
                <c:pt idx="1765">
                  <c:v>0.83009999999999995</c:v>
                </c:pt>
                <c:pt idx="1766">
                  <c:v>0.83</c:v>
                </c:pt>
                <c:pt idx="1767">
                  <c:v>0.82909999999999995</c:v>
                </c:pt>
                <c:pt idx="1768">
                  <c:v>0.82650000000000001</c:v>
                </c:pt>
                <c:pt idx="1769">
                  <c:v>0.83</c:v>
                </c:pt>
                <c:pt idx="1770">
                  <c:v>0.82950000000000002</c:v>
                </c:pt>
                <c:pt idx="1771">
                  <c:v>0.83289999999999997</c:v>
                </c:pt>
                <c:pt idx="1772">
                  <c:v>0.8327</c:v>
                </c:pt>
                <c:pt idx="1773">
                  <c:v>0.83130000000000004</c:v>
                </c:pt>
                <c:pt idx="1774">
                  <c:v>0.82650000000000001</c:v>
                </c:pt>
                <c:pt idx="1775">
                  <c:v>0.83020000000000005</c:v>
                </c:pt>
                <c:pt idx="1776">
                  <c:v>0.82969999999999999</c:v>
                </c:pt>
                <c:pt idx="1777">
                  <c:v>0.82979999999999998</c:v>
                </c:pt>
                <c:pt idx="1778">
                  <c:v>0.83069999999999999</c:v>
                </c:pt>
                <c:pt idx="1779">
                  <c:v>0.83350000000000002</c:v>
                </c:pt>
                <c:pt idx="1780">
                  <c:v>0.83709999999999996</c:v>
                </c:pt>
                <c:pt idx="1781">
                  <c:v>0.83750000000000002</c:v>
                </c:pt>
                <c:pt idx="1782">
                  <c:v>0.83050000000000002</c:v>
                </c:pt>
                <c:pt idx="1783">
                  <c:v>0.82199999999999995</c:v>
                </c:pt>
                <c:pt idx="1784">
                  <c:v>0.81799999999999995</c:v>
                </c:pt>
                <c:pt idx="1785">
                  <c:v>0.79469999999999996</c:v>
                </c:pt>
                <c:pt idx="1786">
                  <c:v>0.78349999999999997</c:v>
                </c:pt>
                <c:pt idx="1787">
                  <c:v>0.78600000000000003</c:v>
                </c:pt>
                <c:pt idx="1788">
                  <c:v>0.78249999999999997</c:v>
                </c:pt>
                <c:pt idx="1789">
                  <c:v>0.77510000000000001</c:v>
                </c:pt>
                <c:pt idx="1790">
                  <c:v>0.77669999999999995</c:v>
                </c:pt>
                <c:pt idx="1791">
                  <c:v>0.77780000000000005</c:v>
                </c:pt>
                <c:pt idx="1792">
                  <c:v>0.77949999999999997</c:v>
                </c:pt>
                <c:pt idx="1793">
                  <c:v>0.77790000000000004</c:v>
                </c:pt>
                <c:pt idx="1794">
                  <c:v>0.78220000000000001</c:v>
                </c:pt>
                <c:pt idx="1795">
                  <c:v>0.78390000000000004</c:v>
                </c:pt>
                <c:pt idx="1796">
                  <c:v>0.78449999999999998</c:v>
                </c:pt>
                <c:pt idx="1797">
                  <c:v>0.78469999999999995</c:v>
                </c:pt>
                <c:pt idx="1798">
                  <c:v>0.78349999999999997</c:v>
                </c:pt>
                <c:pt idx="1799">
                  <c:v>0.77800000000000002</c:v>
                </c:pt>
                <c:pt idx="1800">
                  <c:v>0.78300000000000003</c:v>
                </c:pt>
                <c:pt idx="1801">
                  <c:v>0.79249999999999998</c:v>
                </c:pt>
                <c:pt idx="1802">
                  <c:v>0.7823</c:v>
                </c:pt>
                <c:pt idx="1803">
                  <c:v>0.78029999999999999</c:v>
                </c:pt>
                <c:pt idx="1804">
                  <c:v>0.78049999999999997</c:v>
                </c:pt>
                <c:pt idx="1805">
                  <c:v>0.7792</c:v>
                </c:pt>
                <c:pt idx="1806">
                  <c:v>0.77969999999999995</c:v>
                </c:pt>
                <c:pt idx="1807">
                  <c:v>0.77200000000000002</c:v>
                </c:pt>
                <c:pt idx="1808">
                  <c:v>0.7712</c:v>
                </c:pt>
                <c:pt idx="1809">
                  <c:v>0.77149999999999996</c:v>
                </c:pt>
                <c:pt idx="1810">
                  <c:v>0.76390000000000002</c:v>
                </c:pt>
                <c:pt idx="1811">
                  <c:v>0.76600000000000001</c:v>
                </c:pt>
                <c:pt idx="1812">
                  <c:v>0.76700000000000002</c:v>
                </c:pt>
                <c:pt idx="1813">
                  <c:v>0.76680000000000004</c:v>
                </c:pt>
                <c:pt idx="1814">
                  <c:v>0.76649999999999996</c:v>
                </c:pt>
                <c:pt idx="1815">
                  <c:v>0.76700000000000002</c:v>
                </c:pt>
                <c:pt idx="1816">
                  <c:v>0.76990000000000003</c:v>
                </c:pt>
                <c:pt idx="1817">
                  <c:v>0.77049999999999996</c:v>
                </c:pt>
                <c:pt idx="1818">
                  <c:v>0.77239999999999998</c:v>
                </c:pt>
                <c:pt idx="1819">
                  <c:v>0.77449999999999997</c:v>
                </c:pt>
                <c:pt idx="1820">
                  <c:v>0.77329999999999999</c:v>
                </c:pt>
                <c:pt idx="1821">
                  <c:v>0.77600000000000002</c:v>
                </c:pt>
                <c:pt idx="1822">
                  <c:v>0.77600000000000002</c:v>
                </c:pt>
                <c:pt idx="1823">
                  <c:v>0.76949999999999996</c:v>
                </c:pt>
                <c:pt idx="1824">
                  <c:v>0.76970000000000005</c:v>
                </c:pt>
                <c:pt idx="1825">
                  <c:v>0.77259999999999995</c:v>
                </c:pt>
                <c:pt idx="1826">
                  <c:v>0.7681</c:v>
                </c:pt>
                <c:pt idx="1827">
                  <c:v>0.76649999999999996</c:v>
                </c:pt>
                <c:pt idx="1828">
                  <c:v>0.76380000000000003</c:v>
                </c:pt>
                <c:pt idx="1829">
                  <c:v>0.76329999999999998</c:v>
                </c:pt>
                <c:pt idx="1830">
                  <c:v>0.76449999999999996</c:v>
                </c:pt>
                <c:pt idx="1831">
                  <c:v>0.76839999999999997</c:v>
                </c:pt>
                <c:pt idx="1832">
                  <c:v>0.76970000000000005</c:v>
                </c:pt>
                <c:pt idx="1833">
                  <c:v>0.76990000000000003</c:v>
                </c:pt>
                <c:pt idx="1834">
                  <c:v>0.77049999999999996</c:v>
                </c:pt>
                <c:pt idx="1835">
                  <c:v>0.77249999999999996</c:v>
                </c:pt>
                <c:pt idx="1836">
                  <c:v>0.77249999999999996</c:v>
                </c:pt>
                <c:pt idx="1837">
                  <c:v>0.77249999999999996</c:v>
                </c:pt>
                <c:pt idx="1838">
                  <c:v>0.77</c:v>
                </c:pt>
                <c:pt idx="1839">
                  <c:v>0.77080000000000004</c:v>
                </c:pt>
                <c:pt idx="1840">
                  <c:v>0.77329999999999999</c:v>
                </c:pt>
                <c:pt idx="1841">
                  <c:v>0.77329999999999999</c:v>
                </c:pt>
                <c:pt idx="1842">
                  <c:v>0.77249999999999996</c:v>
                </c:pt>
                <c:pt idx="1843">
                  <c:v>0.77439999999999998</c:v>
                </c:pt>
                <c:pt idx="1844">
                  <c:v>0.7782</c:v>
                </c:pt>
                <c:pt idx="1845">
                  <c:v>0.77800000000000002</c:v>
                </c:pt>
                <c:pt idx="1846">
                  <c:v>0.77790000000000004</c:v>
                </c:pt>
                <c:pt idx="1847">
                  <c:v>0.7742</c:v>
                </c:pt>
                <c:pt idx="1848">
                  <c:v>0.77370000000000005</c:v>
                </c:pt>
                <c:pt idx="1849">
                  <c:v>0.77329999999999999</c:v>
                </c:pt>
                <c:pt idx="1850">
                  <c:v>0.7732</c:v>
                </c:pt>
                <c:pt idx="1851">
                  <c:v>0.77700000000000002</c:v>
                </c:pt>
                <c:pt idx="1852">
                  <c:v>0.78469999999999995</c:v>
                </c:pt>
                <c:pt idx="1853">
                  <c:v>0.7802</c:v>
                </c:pt>
                <c:pt idx="1854">
                  <c:v>0.78269999999999995</c:v>
                </c:pt>
                <c:pt idx="1855">
                  <c:v>0.78139999999999998</c:v>
                </c:pt>
                <c:pt idx="1856">
                  <c:v>0.78049999999999997</c:v>
                </c:pt>
                <c:pt idx="1857">
                  <c:v>0.78359999999999996</c:v>
                </c:pt>
                <c:pt idx="1858">
                  <c:v>0.78359999999999996</c:v>
                </c:pt>
                <c:pt idx="1859">
                  <c:v>0.77980000000000005</c:v>
                </c:pt>
                <c:pt idx="1860">
                  <c:v>0.77980000000000005</c:v>
                </c:pt>
                <c:pt idx="1861">
                  <c:v>0.78349999999999997</c:v>
                </c:pt>
                <c:pt idx="1862">
                  <c:v>0.78520000000000001</c:v>
                </c:pt>
                <c:pt idx="1863">
                  <c:v>0.78490000000000004</c:v>
                </c:pt>
                <c:pt idx="1864">
                  <c:v>0.78200000000000003</c:v>
                </c:pt>
                <c:pt idx="1865">
                  <c:v>0.78190000000000004</c:v>
                </c:pt>
                <c:pt idx="1866">
                  <c:v>0.78180000000000005</c:v>
                </c:pt>
                <c:pt idx="1867">
                  <c:v>0.77629999999999999</c:v>
                </c:pt>
                <c:pt idx="1868">
                  <c:v>0.78239999999999998</c:v>
                </c:pt>
                <c:pt idx="1869">
                  <c:v>0.77839999999999998</c:v>
                </c:pt>
                <c:pt idx="1870">
                  <c:v>0.78029999999999999</c:v>
                </c:pt>
                <c:pt idx="1871">
                  <c:v>0.78100000000000003</c:v>
                </c:pt>
                <c:pt idx="1872">
                  <c:v>0.78839999999999999</c:v>
                </c:pt>
                <c:pt idx="1873">
                  <c:v>0.78690000000000004</c:v>
                </c:pt>
                <c:pt idx="1874">
                  <c:v>0.78739999999999999</c:v>
                </c:pt>
                <c:pt idx="1875">
                  <c:v>0.78839999999999999</c:v>
                </c:pt>
                <c:pt idx="1876">
                  <c:v>0.79020000000000001</c:v>
                </c:pt>
                <c:pt idx="1877">
                  <c:v>0.78690000000000004</c:v>
                </c:pt>
                <c:pt idx="1878">
                  <c:v>0.78690000000000004</c:v>
                </c:pt>
                <c:pt idx="1879">
                  <c:v>0.78779999999999994</c:v>
                </c:pt>
                <c:pt idx="1880">
                  <c:v>0.78380000000000005</c:v>
                </c:pt>
                <c:pt idx="1881">
                  <c:v>0.7843</c:v>
                </c:pt>
                <c:pt idx="1882">
                  <c:v>0.78520000000000001</c:v>
                </c:pt>
                <c:pt idx="1883">
                  <c:v>0.78510000000000002</c:v>
                </c:pt>
                <c:pt idx="1884">
                  <c:v>0.78739999999999999</c:v>
                </c:pt>
                <c:pt idx="1885">
                  <c:v>0.78239999999999998</c:v>
                </c:pt>
                <c:pt idx="1886">
                  <c:v>0.77329999999999999</c:v>
                </c:pt>
                <c:pt idx="1887">
                  <c:v>0.76839999999999997</c:v>
                </c:pt>
                <c:pt idx="1888">
                  <c:v>0.77190000000000003</c:v>
                </c:pt>
                <c:pt idx="1889">
                  <c:v>0.76490000000000002</c:v>
                </c:pt>
                <c:pt idx="1890">
                  <c:v>0.76570000000000005</c:v>
                </c:pt>
                <c:pt idx="1891">
                  <c:v>0.76970000000000005</c:v>
                </c:pt>
                <c:pt idx="1892">
                  <c:v>0.76570000000000005</c:v>
                </c:pt>
                <c:pt idx="1893">
                  <c:v>0.76800000000000002</c:v>
                </c:pt>
                <c:pt idx="1894">
                  <c:v>0.77100000000000002</c:v>
                </c:pt>
                <c:pt idx="1895">
                  <c:v>0.76959999999999995</c:v>
                </c:pt>
                <c:pt idx="1896">
                  <c:v>0.77180000000000004</c:v>
                </c:pt>
                <c:pt idx="1897">
                  <c:v>0.77129999999999999</c:v>
                </c:pt>
                <c:pt idx="1898">
                  <c:v>0.77100000000000002</c:v>
                </c:pt>
                <c:pt idx="1899">
                  <c:v>0.77270000000000005</c:v>
                </c:pt>
                <c:pt idx="1900">
                  <c:v>0.77239999999999998</c:v>
                </c:pt>
                <c:pt idx="1901">
                  <c:v>0.76959999999999995</c:v>
                </c:pt>
                <c:pt idx="1902">
                  <c:v>0.77539999999999998</c:v>
                </c:pt>
                <c:pt idx="1903">
                  <c:v>0.7752</c:v>
                </c:pt>
                <c:pt idx="1904">
                  <c:v>0.7752</c:v>
                </c:pt>
                <c:pt idx="1905">
                  <c:v>0.7752</c:v>
                </c:pt>
                <c:pt idx="1906">
                  <c:v>0.7752</c:v>
                </c:pt>
                <c:pt idx="1907">
                  <c:v>0.77590000000000003</c:v>
                </c:pt>
                <c:pt idx="1908">
                  <c:v>0.78190000000000004</c:v>
                </c:pt>
                <c:pt idx="1909">
                  <c:v>0.78439999999999999</c:v>
                </c:pt>
                <c:pt idx="1910">
                  <c:v>0.78559999999999997</c:v>
                </c:pt>
                <c:pt idx="1911">
                  <c:v>0.78639999999999999</c:v>
                </c:pt>
                <c:pt idx="1912">
                  <c:v>0.78839999999999999</c:v>
                </c:pt>
                <c:pt idx="1913">
                  <c:v>0.78490000000000004</c:v>
                </c:pt>
                <c:pt idx="1914">
                  <c:v>0.78300000000000003</c:v>
                </c:pt>
                <c:pt idx="1915">
                  <c:v>0.78249999999999997</c:v>
                </c:pt>
                <c:pt idx="1916">
                  <c:v>0.77990000000000004</c:v>
                </c:pt>
                <c:pt idx="1917">
                  <c:v>0.78059999999999996</c:v>
                </c:pt>
                <c:pt idx="1918">
                  <c:v>0.77769999999999995</c:v>
                </c:pt>
                <c:pt idx="1919">
                  <c:v>0.7712</c:v>
                </c:pt>
                <c:pt idx="1920">
                  <c:v>0.77080000000000004</c:v>
                </c:pt>
                <c:pt idx="1921">
                  <c:v>0.7742</c:v>
                </c:pt>
                <c:pt idx="1922">
                  <c:v>0.77529999999999999</c:v>
                </c:pt>
                <c:pt idx="1923">
                  <c:v>0.77529999999999999</c:v>
                </c:pt>
                <c:pt idx="1924">
                  <c:v>0.77780000000000005</c:v>
                </c:pt>
                <c:pt idx="1925">
                  <c:v>0.77810000000000001</c:v>
                </c:pt>
                <c:pt idx="1926">
                  <c:v>0.78169999999999995</c:v>
                </c:pt>
                <c:pt idx="1927">
                  <c:v>0.78</c:v>
                </c:pt>
                <c:pt idx="1928">
                  <c:v>0.77690000000000003</c:v>
                </c:pt>
                <c:pt idx="1929">
                  <c:v>0.7782</c:v>
                </c:pt>
                <c:pt idx="1930">
                  <c:v>0.78100000000000003</c:v>
                </c:pt>
                <c:pt idx="1931">
                  <c:v>0.77990000000000004</c:v>
                </c:pt>
                <c:pt idx="1932">
                  <c:v>0.78220000000000001</c:v>
                </c:pt>
                <c:pt idx="1933">
                  <c:v>0.78480000000000005</c:v>
                </c:pt>
                <c:pt idx="1934">
                  <c:v>0.78200000000000003</c:v>
                </c:pt>
                <c:pt idx="1935">
                  <c:v>0.78120000000000001</c:v>
                </c:pt>
                <c:pt idx="1936">
                  <c:v>0.77810000000000001</c:v>
                </c:pt>
                <c:pt idx="1937">
                  <c:v>0.7823</c:v>
                </c:pt>
                <c:pt idx="1938">
                  <c:v>0.78259999999999996</c:v>
                </c:pt>
                <c:pt idx="1939">
                  <c:v>0.78269999999999995</c:v>
                </c:pt>
                <c:pt idx="1940">
                  <c:v>0.78159999999999996</c:v>
                </c:pt>
                <c:pt idx="1941">
                  <c:v>0.78180000000000005</c:v>
                </c:pt>
                <c:pt idx="1942">
                  <c:v>0.77600000000000002</c:v>
                </c:pt>
                <c:pt idx="1943">
                  <c:v>0.7611</c:v>
                </c:pt>
                <c:pt idx="1944">
                  <c:v>0.75970000000000004</c:v>
                </c:pt>
                <c:pt idx="1945">
                  <c:v>0.75739999999999996</c:v>
                </c:pt>
                <c:pt idx="1946">
                  <c:v>0.76060000000000005</c:v>
                </c:pt>
                <c:pt idx="1947">
                  <c:v>0.76229999999999998</c:v>
                </c:pt>
                <c:pt idx="1948">
                  <c:v>0.76280000000000003</c:v>
                </c:pt>
                <c:pt idx="1949">
                  <c:v>0.76090000000000002</c:v>
                </c:pt>
                <c:pt idx="1950">
                  <c:v>0.75690000000000002</c:v>
                </c:pt>
                <c:pt idx="1951">
                  <c:v>0.75990000000000002</c:v>
                </c:pt>
                <c:pt idx="1952">
                  <c:v>0.76049999999999995</c:v>
                </c:pt>
                <c:pt idx="1953">
                  <c:v>0.75780000000000003</c:v>
                </c:pt>
                <c:pt idx="1954">
                  <c:v>0.75329999999999997</c:v>
                </c:pt>
                <c:pt idx="1955">
                  <c:v>0.75329999999999997</c:v>
                </c:pt>
                <c:pt idx="1956">
                  <c:v>0.75349999999999995</c:v>
                </c:pt>
                <c:pt idx="1957">
                  <c:v>0.75619999999999998</c:v>
                </c:pt>
                <c:pt idx="1958">
                  <c:v>0.75319999999999998</c:v>
                </c:pt>
                <c:pt idx="1959">
                  <c:v>0.75590000000000002</c:v>
                </c:pt>
                <c:pt idx="1960">
                  <c:v>0.75749999999999995</c:v>
                </c:pt>
                <c:pt idx="1961">
                  <c:v>0.76100000000000001</c:v>
                </c:pt>
                <c:pt idx="1962">
                  <c:v>0.76149999999999995</c:v>
                </c:pt>
                <c:pt idx="1963">
                  <c:v>0.7641</c:v>
                </c:pt>
                <c:pt idx="1964">
                  <c:v>0.76519999999999999</c:v>
                </c:pt>
                <c:pt idx="1965">
                  <c:v>0.76339999999999997</c:v>
                </c:pt>
                <c:pt idx="1966">
                  <c:v>0.76549999999999996</c:v>
                </c:pt>
                <c:pt idx="1967">
                  <c:v>0.76700000000000002</c:v>
                </c:pt>
                <c:pt idx="1968">
                  <c:v>0.76770000000000005</c:v>
                </c:pt>
                <c:pt idx="1969">
                  <c:v>0.7681</c:v>
                </c:pt>
                <c:pt idx="1970">
                  <c:v>0.76739999999999997</c:v>
                </c:pt>
                <c:pt idx="1971">
                  <c:v>0.76590000000000003</c:v>
                </c:pt>
                <c:pt idx="1972">
                  <c:v>0.7631</c:v>
                </c:pt>
                <c:pt idx="1973">
                  <c:v>0.76239999999999997</c:v>
                </c:pt>
                <c:pt idx="1974">
                  <c:v>0.76380000000000003</c:v>
                </c:pt>
                <c:pt idx="1975">
                  <c:v>0.76619999999999999</c:v>
                </c:pt>
                <c:pt idx="1976">
                  <c:v>0.76580000000000004</c:v>
                </c:pt>
                <c:pt idx="1977">
                  <c:v>0.76680000000000004</c:v>
                </c:pt>
                <c:pt idx="1978">
                  <c:v>0.76780000000000004</c:v>
                </c:pt>
                <c:pt idx="1979">
                  <c:v>0.76749999999999996</c:v>
                </c:pt>
                <c:pt idx="1980">
                  <c:v>0.77310000000000001</c:v>
                </c:pt>
                <c:pt idx="1981">
                  <c:v>0.77569999999999995</c:v>
                </c:pt>
                <c:pt idx="1982">
                  <c:v>0.77500000000000002</c:v>
                </c:pt>
                <c:pt idx="1983">
                  <c:v>0.77490000000000003</c:v>
                </c:pt>
                <c:pt idx="1984">
                  <c:v>0.77259999999999995</c:v>
                </c:pt>
                <c:pt idx="1985">
                  <c:v>0.77580000000000005</c:v>
                </c:pt>
                <c:pt idx="1986">
                  <c:v>0.77380000000000004</c:v>
                </c:pt>
                <c:pt idx="1987">
                  <c:v>0.77669999999999995</c:v>
                </c:pt>
                <c:pt idx="1988">
                  <c:v>0.77510000000000001</c:v>
                </c:pt>
                <c:pt idx="1989">
                  <c:v>0.77429999999999999</c:v>
                </c:pt>
                <c:pt idx="1990">
                  <c:v>0.77610000000000001</c:v>
                </c:pt>
                <c:pt idx="1991">
                  <c:v>0.7772</c:v>
                </c:pt>
                <c:pt idx="1992">
                  <c:v>0.77749999999999997</c:v>
                </c:pt>
                <c:pt idx="1993">
                  <c:v>0.7792</c:v>
                </c:pt>
                <c:pt idx="1994">
                  <c:v>0.77800000000000002</c:v>
                </c:pt>
                <c:pt idx="1995">
                  <c:v>0.77910000000000001</c:v>
                </c:pt>
                <c:pt idx="1996">
                  <c:v>0.78280000000000005</c:v>
                </c:pt>
                <c:pt idx="1997">
                  <c:v>0.78310000000000002</c:v>
                </c:pt>
                <c:pt idx="1998">
                  <c:v>0.78349999999999997</c:v>
                </c:pt>
                <c:pt idx="1999">
                  <c:v>0.78369999999999995</c:v>
                </c:pt>
                <c:pt idx="2000">
                  <c:v>0.78369999999999995</c:v>
                </c:pt>
                <c:pt idx="2001">
                  <c:v>0.78390000000000004</c:v>
                </c:pt>
                <c:pt idx="2002">
                  <c:v>0.78180000000000005</c:v>
                </c:pt>
                <c:pt idx="2003">
                  <c:v>0.78049999999999997</c:v>
                </c:pt>
                <c:pt idx="2004">
                  <c:v>0.77810000000000001</c:v>
                </c:pt>
                <c:pt idx="2005">
                  <c:v>0.77639999999999998</c:v>
                </c:pt>
                <c:pt idx="2006">
                  <c:v>0.78039999999999998</c:v>
                </c:pt>
                <c:pt idx="2007">
                  <c:v>0.78200000000000003</c:v>
                </c:pt>
                <c:pt idx="2008">
                  <c:v>0.78600000000000003</c:v>
                </c:pt>
                <c:pt idx="2009">
                  <c:v>0.78680000000000005</c:v>
                </c:pt>
                <c:pt idx="2010">
                  <c:v>0.78610000000000002</c:v>
                </c:pt>
                <c:pt idx="2011">
                  <c:v>0.78339999999999999</c:v>
                </c:pt>
                <c:pt idx="2012">
                  <c:v>0.78490000000000004</c:v>
                </c:pt>
                <c:pt idx="2013">
                  <c:v>0.7843</c:v>
                </c:pt>
                <c:pt idx="2014">
                  <c:v>0.78480000000000005</c:v>
                </c:pt>
                <c:pt idx="2015">
                  <c:v>0.78400000000000003</c:v>
                </c:pt>
                <c:pt idx="2016">
                  <c:v>0.7782</c:v>
                </c:pt>
                <c:pt idx="2017">
                  <c:v>0.78339999999999999</c:v>
                </c:pt>
                <c:pt idx="2018">
                  <c:v>0.78620000000000001</c:v>
                </c:pt>
                <c:pt idx="2019">
                  <c:v>0.7863</c:v>
                </c:pt>
                <c:pt idx="2020">
                  <c:v>0.78810000000000002</c:v>
                </c:pt>
                <c:pt idx="2021">
                  <c:v>0.7903</c:v>
                </c:pt>
                <c:pt idx="2022">
                  <c:v>0.78869999999999996</c:v>
                </c:pt>
                <c:pt idx="2023">
                  <c:v>0.79310000000000003</c:v>
                </c:pt>
                <c:pt idx="2024">
                  <c:v>0.79379999999999995</c:v>
                </c:pt>
                <c:pt idx="2025">
                  <c:v>0.79630000000000001</c:v>
                </c:pt>
                <c:pt idx="2026">
                  <c:v>0.80020000000000002</c:v>
                </c:pt>
                <c:pt idx="2027">
                  <c:v>0.80049999999999999</c:v>
                </c:pt>
                <c:pt idx="2028">
                  <c:v>0.79710000000000003</c:v>
                </c:pt>
                <c:pt idx="2029">
                  <c:v>0.79569999999999996</c:v>
                </c:pt>
                <c:pt idx="2030">
                  <c:v>0.7984</c:v>
                </c:pt>
                <c:pt idx="2031">
                  <c:v>0.80079999999999996</c:v>
                </c:pt>
                <c:pt idx="2032">
                  <c:v>0.79800000000000004</c:v>
                </c:pt>
                <c:pt idx="2033">
                  <c:v>0.79520000000000002</c:v>
                </c:pt>
                <c:pt idx="2034">
                  <c:v>0.79369999999999996</c:v>
                </c:pt>
                <c:pt idx="2035">
                  <c:v>0.79949999999999999</c:v>
                </c:pt>
                <c:pt idx="2036">
                  <c:v>0.79849999999999999</c:v>
                </c:pt>
                <c:pt idx="2037">
                  <c:v>0.79869999999999997</c:v>
                </c:pt>
                <c:pt idx="2038">
                  <c:v>0.80230000000000001</c:v>
                </c:pt>
                <c:pt idx="2039">
                  <c:v>0.79720000000000002</c:v>
                </c:pt>
                <c:pt idx="2040">
                  <c:v>0.79359999999999997</c:v>
                </c:pt>
                <c:pt idx="2041">
                  <c:v>0.79379999999999995</c:v>
                </c:pt>
                <c:pt idx="2042">
                  <c:v>0.79500000000000004</c:v>
                </c:pt>
                <c:pt idx="2043">
                  <c:v>0.79530000000000001</c:v>
                </c:pt>
                <c:pt idx="2044">
                  <c:v>0.79679999999999995</c:v>
                </c:pt>
                <c:pt idx="2045">
                  <c:v>0.79959999999999998</c:v>
                </c:pt>
                <c:pt idx="2046">
                  <c:v>0.79949999999999999</c:v>
                </c:pt>
                <c:pt idx="2047">
                  <c:v>0.79549999999999998</c:v>
                </c:pt>
                <c:pt idx="2048">
                  <c:v>0.79679999999999995</c:v>
                </c:pt>
                <c:pt idx="2049">
                  <c:v>0.79859999999999998</c:v>
                </c:pt>
                <c:pt idx="2050">
                  <c:v>0.79800000000000004</c:v>
                </c:pt>
                <c:pt idx="2051">
                  <c:v>0.79579999999999995</c:v>
                </c:pt>
                <c:pt idx="2052">
                  <c:v>0.79010000000000002</c:v>
                </c:pt>
                <c:pt idx="2053">
                  <c:v>0.78400000000000003</c:v>
                </c:pt>
                <c:pt idx="2054">
                  <c:v>0.78669999999999995</c:v>
                </c:pt>
                <c:pt idx="2055">
                  <c:v>0.78380000000000005</c:v>
                </c:pt>
                <c:pt idx="2056">
                  <c:v>0.78510000000000002</c:v>
                </c:pt>
                <c:pt idx="2057">
                  <c:v>0.78839999999999999</c:v>
                </c:pt>
                <c:pt idx="2058">
                  <c:v>0.78369999999999995</c:v>
                </c:pt>
                <c:pt idx="2059">
                  <c:v>0.78010000000000002</c:v>
                </c:pt>
                <c:pt idx="2060">
                  <c:v>0.78180000000000005</c:v>
                </c:pt>
                <c:pt idx="2061">
                  <c:v>0.78510000000000002</c:v>
                </c:pt>
                <c:pt idx="2062">
                  <c:v>0.78459999999999996</c:v>
                </c:pt>
                <c:pt idx="2063">
                  <c:v>0.78349999999999997</c:v>
                </c:pt>
                <c:pt idx="2064">
                  <c:v>0.7843</c:v>
                </c:pt>
                <c:pt idx="2065">
                  <c:v>0.78569999999999995</c:v>
                </c:pt>
                <c:pt idx="2066">
                  <c:v>0.78649999999999998</c:v>
                </c:pt>
                <c:pt idx="2067">
                  <c:v>0.78549999999999998</c:v>
                </c:pt>
                <c:pt idx="2068">
                  <c:v>0.7863</c:v>
                </c:pt>
                <c:pt idx="2069">
                  <c:v>0.78610000000000002</c:v>
                </c:pt>
                <c:pt idx="2070">
                  <c:v>0.7863</c:v>
                </c:pt>
                <c:pt idx="2071">
                  <c:v>0.78710000000000002</c:v>
                </c:pt>
                <c:pt idx="2072">
                  <c:v>0.7893</c:v>
                </c:pt>
                <c:pt idx="2073">
                  <c:v>0.7903</c:v>
                </c:pt>
                <c:pt idx="2074">
                  <c:v>0.7913</c:v>
                </c:pt>
                <c:pt idx="2075">
                  <c:v>0.7923</c:v>
                </c:pt>
                <c:pt idx="2076">
                  <c:v>0.78959999999999997</c:v>
                </c:pt>
                <c:pt idx="2077">
                  <c:v>0.7873</c:v>
                </c:pt>
                <c:pt idx="2078">
                  <c:v>0.78559999999999997</c:v>
                </c:pt>
                <c:pt idx="2079">
                  <c:v>0.78480000000000005</c:v>
                </c:pt>
                <c:pt idx="2080">
                  <c:v>0.78290000000000004</c:v>
                </c:pt>
                <c:pt idx="2081">
                  <c:v>0.78380000000000005</c:v>
                </c:pt>
                <c:pt idx="2082">
                  <c:v>0.78590000000000004</c:v>
                </c:pt>
                <c:pt idx="2083">
                  <c:v>0.78120000000000001</c:v>
                </c:pt>
                <c:pt idx="2084">
                  <c:v>0.77580000000000005</c:v>
                </c:pt>
                <c:pt idx="2085">
                  <c:v>0.77629999999999999</c:v>
                </c:pt>
                <c:pt idx="2086">
                  <c:v>0.7732</c:v>
                </c:pt>
                <c:pt idx="2087">
                  <c:v>0.7732</c:v>
                </c:pt>
                <c:pt idx="2088">
                  <c:v>0.77180000000000004</c:v>
                </c:pt>
                <c:pt idx="2089">
                  <c:v>0.77080000000000004</c:v>
                </c:pt>
                <c:pt idx="2090">
                  <c:v>0.77380000000000004</c:v>
                </c:pt>
                <c:pt idx="2091">
                  <c:v>0.77400000000000002</c:v>
                </c:pt>
                <c:pt idx="2092">
                  <c:v>0.77390000000000003</c:v>
                </c:pt>
                <c:pt idx="2093">
                  <c:v>0.77329999999999999</c:v>
                </c:pt>
                <c:pt idx="2094">
                  <c:v>0.77039999999999997</c:v>
                </c:pt>
                <c:pt idx="2095">
                  <c:v>0.76349999999999996</c:v>
                </c:pt>
                <c:pt idx="2096">
                  <c:v>0.76100000000000001</c:v>
                </c:pt>
                <c:pt idx="2097">
                  <c:v>0.76100000000000001</c:v>
                </c:pt>
                <c:pt idx="2098">
                  <c:v>0.76100000000000001</c:v>
                </c:pt>
                <c:pt idx="2099">
                  <c:v>0.76129999999999998</c:v>
                </c:pt>
                <c:pt idx="2100">
                  <c:v>0.7601</c:v>
                </c:pt>
                <c:pt idx="2101">
                  <c:v>0.75980000000000003</c:v>
                </c:pt>
                <c:pt idx="2102">
                  <c:v>0.75980000000000003</c:v>
                </c:pt>
                <c:pt idx="2103">
                  <c:v>0.75929999999999997</c:v>
                </c:pt>
                <c:pt idx="2104">
                  <c:v>0.75670000000000004</c:v>
                </c:pt>
                <c:pt idx="2105">
                  <c:v>0.76160000000000005</c:v>
                </c:pt>
                <c:pt idx="2106">
                  <c:v>0.75990000000000002</c:v>
                </c:pt>
                <c:pt idx="2107">
                  <c:v>0.75780000000000003</c:v>
                </c:pt>
                <c:pt idx="2108">
                  <c:v>0.75249999999999995</c:v>
                </c:pt>
                <c:pt idx="2109">
                  <c:v>0.74019999999999997</c:v>
                </c:pt>
                <c:pt idx="2110">
                  <c:v>0.74060000000000004</c:v>
                </c:pt>
                <c:pt idx="2111">
                  <c:v>0.74429999999999996</c:v>
                </c:pt>
                <c:pt idx="2112">
                  <c:v>0.7429</c:v>
                </c:pt>
                <c:pt idx="2113">
                  <c:v>0.74309999999999998</c:v>
                </c:pt>
                <c:pt idx="2114">
                  <c:v>0.74070000000000003</c:v>
                </c:pt>
                <c:pt idx="2115">
                  <c:v>0.74429999999999996</c:v>
                </c:pt>
                <c:pt idx="2116">
                  <c:v>0.75029999999999997</c:v>
                </c:pt>
                <c:pt idx="2117">
                  <c:v>0.75090000000000001</c:v>
                </c:pt>
                <c:pt idx="2118">
                  <c:v>0.75370000000000004</c:v>
                </c:pt>
                <c:pt idx="2119">
                  <c:v>0.7389</c:v>
                </c:pt>
                <c:pt idx="2120">
                  <c:v>0.7389</c:v>
                </c:pt>
                <c:pt idx="2121">
                  <c:v>0.74119999999999997</c:v>
                </c:pt>
                <c:pt idx="2122">
                  <c:v>0.74470000000000003</c:v>
                </c:pt>
                <c:pt idx="2123">
                  <c:v>0.74419999999999997</c:v>
                </c:pt>
                <c:pt idx="2124">
                  <c:v>0.74980000000000002</c:v>
                </c:pt>
                <c:pt idx="2125">
                  <c:v>0.751</c:v>
                </c:pt>
                <c:pt idx="2126">
                  <c:v>0.75229999999999997</c:v>
                </c:pt>
                <c:pt idx="2127">
                  <c:v>0.74919999999999998</c:v>
                </c:pt>
                <c:pt idx="2128">
                  <c:v>0.74450000000000005</c:v>
                </c:pt>
                <c:pt idx="2129">
                  <c:v>0.74650000000000005</c:v>
                </c:pt>
                <c:pt idx="2130">
                  <c:v>0.75249999999999995</c:v>
                </c:pt>
                <c:pt idx="2131">
                  <c:v>0.74839999999999995</c:v>
                </c:pt>
                <c:pt idx="2132">
                  <c:v>0.75080000000000002</c:v>
                </c:pt>
                <c:pt idx="2133">
                  <c:v>0.75239999999999996</c:v>
                </c:pt>
                <c:pt idx="2134">
                  <c:v>0.75529999999999997</c:v>
                </c:pt>
                <c:pt idx="2135">
                  <c:v>0.75529999999999997</c:v>
                </c:pt>
                <c:pt idx="2136">
                  <c:v>0.75509999999999999</c:v>
                </c:pt>
                <c:pt idx="2137">
                  <c:v>0.75570000000000004</c:v>
                </c:pt>
                <c:pt idx="2138">
                  <c:v>0.75609999999999999</c:v>
                </c:pt>
                <c:pt idx="2139">
                  <c:v>0.75509999999999999</c:v>
                </c:pt>
                <c:pt idx="2140">
                  <c:v>0.74909999999999999</c:v>
                </c:pt>
                <c:pt idx="2141">
                  <c:v>0.75070000000000003</c:v>
                </c:pt>
                <c:pt idx="2142">
                  <c:v>0.75070000000000003</c:v>
                </c:pt>
                <c:pt idx="2143">
                  <c:v>0.752</c:v>
                </c:pt>
                <c:pt idx="2144">
                  <c:v>0.75460000000000005</c:v>
                </c:pt>
                <c:pt idx="2145">
                  <c:v>0.75319999999999998</c:v>
                </c:pt>
                <c:pt idx="2146">
                  <c:v>0.75419999999999998</c:v>
                </c:pt>
                <c:pt idx="2147">
                  <c:v>0.75270000000000004</c:v>
                </c:pt>
                <c:pt idx="2148">
                  <c:v>0.75480000000000003</c:v>
                </c:pt>
                <c:pt idx="2149">
                  <c:v>0.75629999999999997</c:v>
                </c:pt>
                <c:pt idx="2150">
                  <c:v>0.755</c:v>
                </c:pt>
                <c:pt idx="2151">
                  <c:v>0.75639999999999996</c:v>
                </c:pt>
                <c:pt idx="2152">
                  <c:v>0.75680000000000003</c:v>
                </c:pt>
                <c:pt idx="2153">
                  <c:v>0.75649999999999995</c:v>
                </c:pt>
                <c:pt idx="2154">
                  <c:v>0.75470000000000004</c:v>
                </c:pt>
                <c:pt idx="2155">
                  <c:v>0.75490000000000002</c:v>
                </c:pt>
                <c:pt idx="2156">
                  <c:v>0.75660000000000005</c:v>
                </c:pt>
                <c:pt idx="2157">
                  <c:v>0.76049999999999995</c:v>
                </c:pt>
                <c:pt idx="2158">
                  <c:v>0.75949999999999995</c:v>
                </c:pt>
                <c:pt idx="2159">
                  <c:v>0.76080000000000003</c:v>
                </c:pt>
                <c:pt idx="2160">
                  <c:v>0.76070000000000004</c:v>
                </c:pt>
                <c:pt idx="2161">
                  <c:v>0.76180000000000003</c:v>
                </c:pt>
                <c:pt idx="2162">
                  <c:v>0.76439999999999997</c:v>
                </c:pt>
                <c:pt idx="2163">
                  <c:v>0.76629999999999998</c:v>
                </c:pt>
                <c:pt idx="2164">
                  <c:v>0.76439999999999997</c:v>
                </c:pt>
                <c:pt idx="2165">
                  <c:v>0.76570000000000005</c:v>
                </c:pt>
                <c:pt idx="2166">
                  <c:v>0.76839999999999997</c:v>
                </c:pt>
                <c:pt idx="2167">
                  <c:v>0.76629999999999998</c:v>
                </c:pt>
                <c:pt idx="2168">
                  <c:v>0.76549999999999996</c:v>
                </c:pt>
                <c:pt idx="2169">
                  <c:v>0.76739999999999997</c:v>
                </c:pt>
                <c:pt idx="2170">
                  <c:v>0.76759999999999995</c:v>
                </c:pt>
                <c:pt idx="2171">
                  <c:v>0.76319999999999999</c:v>
                </c:pt>
                <c:pt idx="2172">
                  <c:v>0.76170000000000004</c:v>
                </c:pt>
                <c:pt idx="2173">
                  <c:v>0.76160000000000005</c:v>
                </c:pt>
                <c:pt idx="2174">
                  <c:v>0.76219999999999999</c:v>
                </c:pt>
                <c:pt idx="2175">
                  <c:v>0.7621</c:v>
                </c:pt>
                <c:pt idx="2176">
                  <c:v>0.76519999999999999</c:v>
                </c:pt>
                <c:pt idx="2177">
                  <c:v>0.76700000000000002</c:v>
                </c:pt>
                <c:pt idx="2178">
                  <c:v>0.76529999999999998</c:v>
                </c:pt>
                <c:pt idx="2179">
                  <c:v>0.76529999999999998</c:v>
                </c:pt>
                <c:pt idx="2180">
                  <c:v>0.76529999999999998</c:v>
                </c:pt>
                <c:pt idx="2181">
                  <c:v>0.76659999999999995</c:v>
                </c:pt>
                <c:pt idx="2182">
                  <c:v>0.76319999999999999</c:v>
                </c:pt>
                <c:pt idx="2183">
                  <c:v>0.76129999999999998</c:v>
                </c:pt>
                <c:pt idx="2184">
                  <c:v>0.75700000000000001</c:v>
                </c:pt>
                <c:pt idx="2185">
                  <c:v>0.75539999999999996</c:v>
                </c:pt>
                <c:pt idx="2186">
                  <c:v>0.75539999999999996</c:v>
                </c:pt>
                <c:pt idx="2187">
                  <c:v>0.76090000000000002</c:v>
                </c:pt>
                <c:pt idx="2188">
                  <c:v>0.75929999999999997</c:v>
                </c:pt>
                <c:pt idx="2189">
                  <c:v>0.75719999999999998</c:v>
                </c:pt>
                <c:pt idx="2190">
                  <c:v>0.75600000000000001</c:v>
                </c:pt>
                <c:pt idx="2191">
                  <c:v>0.75900000000000001</c:v>
                </c:pt>
                <c:pt idx="2192">
                  <c:v>0.75739999999999996</c:v>
                </c:pt>
                <c:pt idx="2193">
                  <c:v>0.75560000000000005</c:v>
                </c:pt>
                <c:pt idx="2194">
                  <c:v>0.75339999999999996</c:v>
                </c:pt>
                <c:pt idx="2195">
                  <c:v>0.75080000000000002</c:v>
                </c:pt>
                <c:pt idx="2196">
                  <c:v>0.75109999999999999</c:v>
                </c:pt>
                <c:pt idx="2197">
                  <c:v>0.75260000000000005</c:v>
                </c:pt>
                <c:pt idx="2198">
                  <c:v>0.75639999999999996</c:v>
                </c:pt>
                <c:pt idx="2199">
                  <c:v>0.75660000000000005</c:v>
                </c:pt>
                <c:pt idx="2200">
                  <c:v>0.75739999999999996</c:v>
                </c:pt>
                <c:pt idx="2201">
                  <c:v>0.75819999999999999</c:v>
                </c:pt>
                <c:pt idx="2202">
                  <c:v>0.75590000000000002</c:v>
                </c:pt>
                <c:pt idx="2203">
                  <c:v>0.75590000000000002</c:v>
                </c:pt>
                <c:pt idx="2204">
                  <c:v>0.75719999999999998</c:v>
                </c:pt>
                <c:pt idx="2205">
                  <c:v>0.75870000000000004</c:v>
                </c:pt>
                <c:pt idx="2206">
                  <c:v>0.75839999999999996</c:v>
                </c:pt>
                <c:pt idx="2207">
                  <c:v>0.75780000000000003</c:v>
                </c:pt>
                <c:pt idx="2208">
                  <c:v>0.75829999999999997</c:v>
                </c:pt>
                <c:pt idx="2209">
                  <c:v>0.75890000000000002</c:v>
                </c:pt>
                <c:pt idx="2210">
                  <c:v>0.75870000000000004</c:v>
                </c:pt>
                <c:pt idx="2211">
                  <c:v>0.75800000000000001</c:v>
                </c:pt>
                <c:pt idx="2212">
                  <c:v>0.7601</c:v>
                </c:pt>
                <c:pt idx="2213">
                  <c:v>0.76290000000000002</c:v>
                </c:pt>
                <c:pt idx="2214">
                  <c:v>0.76270000000000004</c:v>
                </c:pt>
                <c:pt idx="2215">
                  <c:v>0.76270000000000004</c:v>
                </c:pt>
                <c:pt idx="2216">
                  <c:v>0.7651</c:v>
                </c:pt>
                <c:pt idx="2217">
                  <c:v>0.76280000000000003</c:v>
                </c:pt>
                <c:pt idx="2218">
                  <c:v>0.76160000000000005</c:v>
                </c:pt>
                <c:pt idx="2219">
                  <c:v>0.76149999999999995</c:v>
                </c:pt>
                <c:pt idx="2220">
                  <c:v>0.75580000000000003</c:v>
                </c:pt>
                <c:pt idx="2221">
                  <c:v>0.75390000000000001</c:v>
                </c:pt>
                <c:pt idx="2222">
                  <c:v>0.75419999999999998</c:v>
                </c:pt>
                <c:pt idx="2223">
                  <c:v>0.75260000000000005</c:v>
                </c:pt>
                <c:pt idx="2224">
                  <c:v>0.75390000000000001</c:v>
                </c:pt>
                <c:pt idx="2225">
                  <c:v>0.75109999999999999</c:v>
                </c:pt>
                <c:pt idx="2226">
                  <c:v>0.75219999999999998</c:v>
                </c:pt>
                <c:pt idx="2227">
                  <c:v>0.75109999999999999</c:v>
                </c:pt>
                <c:pt idx="2228">
                  <c:v>0.75239999999999996</c:v>
                </c:pt>
                <c:pt idx="2229">
                  <c:v>0.74860000000000004</c:v>
                </c:pt>
                <c:pt idx="2230">
                  <c:v>0.74850000000000005</c:v>
                </c:pt>
                <c:pt idx="2231">
                  <c:v>0.74880000000000002</c:v>
                </c:pt>
                <c:pt idx="2232">
                  <c:v>0.74629999999999996</c:v>
                </c:pt>
                <c:pt idx="2233">
                  <c:v>0.74309999999999998</c:v>
                </c:pt>
                <c:pt idx="2234">
                  <c:v>0.74450000000000005</c:v>
                </c:pt>
                <c:pt idx="2235">
                  <c:v>0.74580000000000002</c:v>
                </c:pt>
                <c:pt idx="2236">
                  <c:v>0.74390000000000001</c:v>
                </c:pt>
                <c:pt idx="2237">
                  <c:v>0.74380000000000002</c:v>
                </c:pt>
                <c:pt idx="2238">
                  <c:v>0.74539999999999995</c:v>
                </c:pt>
                <c:pt idx="2239">
                  <c:v>0.74650000000000005</c:v>
                </c:pt>
                <c:pt idx="2240">
                  <c:v>0.74680000000000002</c:v>
                </c:pt>
                <c:pt idx="2241">
                  <c:v>0.74829999999999997</c:v>
                </c:pt>
                <c:pt idx="2242">
                  <c:v>0.74670000000000003</c:v>
                </c:pt>
                <c:pt idx="2243">
                  <c:v>0.74370000000000003</c:v>
                </c:pt>
                <c:pt idx="2244">
                  <c:v>0.74329999999999996</c:v>
                </c:pt>
                <c:pt idx="2245">
                  <c:v>0.74639999999999995</c:v>
                </c:pt>
                <c:pt idx="2246">
                  <c:v>0.74619999999999997</c:v>
                </c:pt>
                <c:pt idx="2247">
                  <c:v>0.74739999999999995</c:v>
                </c:pt>
                <c:pt idx="2248">
                  <c:v>0.74709999999999999</c:v>
                </c:pt>
                <c:pt idx="2249">
                  <c:v>0.74729999999999996</c:v>
                </c:pt>
                <c:pt idx="2250">
                  <c:v>0.74560000000000004</c:v>
                </c:pt>
                <c:pt idx="2251">
                  <c:v>0.74329999999999996</c:v>
                </c:pt>
                <c:pt idx="2252">
                  <c:v>0.74309999999999998</c:v>
                </c:pt>
                <c:pt idx="2253">
                  <c:v>0.74580000000000002</c:v>
                </c:pt>
                <c:pt idx="2254">
                  <c:v>0.74419999999999997</c:v>
                </c:pt>
                <c:pt idx="2255">
                  <c:v>0.74399999999999999</c:v>
                </c:pt>
                <c:pt idx="2256">
                  <c:v>0.74270000000000003</c:v>
                </c:pt>
                <c:pt idx="2257">
                  <c:v>0.74080000000000001</c:v>
                </c:pt>
                <c:pt idx="2258">
                  <c:v>0.73709999999999998</c:v>
                </c:pt>
                <c:pt idx="2259">
                  <c:v>0.73839999999999995</c:v>
                </c:pt>
                <c:pt idx="2260">
                  <c:v>0.73799999999999999</c:v>
                </c:pt>
                <c:pt idx="2261">
                  <c:v>0.73240000000000005</c:v>
                </c:pt>
                <c:pt idx="2262">
                  <c:v>0.72729999999999995</c:v>
                </c:pt>
                <c:pt idx="2263">
                  <c:v>0.71909999999999996</c:v>
                </c:pt>
                <c:pt idx="2264">
                  <c:v>0.71860000000000002</c:v>
                </c:pt>
                <c:pt idx="2265">
                  <c:v>0.72189999999999999</c:v>
                </c:pt>
                <c:pt idx="2266">
                  <c:v>0.72260000000000002</c:v>
                </c:pt>
                <c:pt idx="2267">
                  <c:v>0.72450000000000003</c:v>
                </c:pt>
                <c:pt idx="2268">
                  <c:v>0.7228</c:v>
                </c:pt>
                <c:pt idx="2269">
                  <c:v>0.7218</c:v>
                </c:pt>
                <c:pt idx="2270">
                  <c:v>0.71250000000000002</c:v>
                </c:pt>
                <c:pt idx="2271">
                  <c:v>0.71550000000000002</c:v>
                </c:pt>
                <c:pt idx="2272">
                  <c:v>0.71499999999999997</c:v>
                </c:pt>
                <c:pt idx="2273">
                  <c:v>0.71479999999999999</c:v>
                </c:pt>
                <c:pt idx="2274">
                  <c:v>0.71870000000000001</c:v>
                </c:pt>
                <c:pt idx="2275">
                  <c:v>0.71340000000000003</c:v>
                </c:pt>
                <c:pt idx="2276">
                  <c:v>0.71630000000000005</c:v>
                </c:pt>
                <c:pt idx="2277">
                  <c:v>0.7208</c:v>
                </c:pt>
                <c:pt idx="2278">
                  <c:v>0.72</c:v>
                </c:pt>
                <c:pt idx="2279">
                  <c:v>0.7228</c:v>
                </c:pt>
                <c:pt idx="2280">
                  <c:v>0.71840000000000004</c:v>
                </c:pt>
                <c:pt idx="2281">
                  <c:v>0.71450000000000002</c:v>
                </c:pt>
                <c:pt idx="2282">
                  <c:v>0.7157</c:v>
                </c:pt>
                <c:pt idx="2283">
                  <c:v>0.72070000000000001</c:v>
                </c:pt>
                <c:pt idx="2284">
                  <c:v>0.7238</c:v>
                </c:pt>
                <c:pt idx="2285">
                  <c:v>0.73250000000000004</c:v>
                </c:pt>
                <c:pt idx="2286">
                  <c:v>0.72929999999999995</c:v>
                </c:pt>
                <c:pt idx="2287">
                  <c:v>0.7329</c:v>
                </c:pt>
                <c:pt idx="2288">
                  <c:v>0.7298</c:v>
                </c:pt>
                <c:pt idx="2289">
                  <c:v>0.72740000000000005</c:v>
                </c:pt>
                <c:pt idx="2290">
                  <c:v>0.72770000000000001</c:v>
                </c:pt>
                <c:pt idx="2291">
                  <c:v>0.72330000000000005</c:v>
                </c:pt>
                <c:pt idx="2292">
                  <c:v>0.72330000000000005</c:v>
                </c:pt>
                <c:pt idx="2293">
                  <c:v>0.7208</c:v>
                </c:pt>
                <c:pt idx="2294">
                  <c:v>0.72330000000000005</c:v>
                </c:pt>
                <c:pt idx="2295">
                  <c:v>0.72199999999999998</c:v>
                </c:pt>
                <c:pt idx="2296">
                  <c:v>0.71530000000000005</c:v>
                </c:pt>
                <c:pt idx="2297">
                  <c:v>0.71399999999999997</c:v>
                </c:pt>
                <c:pt idx="2298">
                  <c:v>0.71340000000000003</c:v>
                </c:pt>
                <c:pt idx="2299">
                  <c:v>0.71679999999999999</c:v>
                </c:pt>
                <c:pt idx="2300">
                  <c:v>0.71750000000000003</c:v>
                </c:pt>
                <c:pt idx="2301">
                  <c:v>0.72140000000000004</c:v>
                </c:pt>
                <c:pt idx="2302">
                  <c:v>0.71730000000000005</c:v>
                </c:pt>
                <c:pt idx="2303">
                  <c:v>0.72009999999999996</c:v>
                </c:pt>
                <c:pt idx="2304">
                  <c:v>0.71760000000000002</c:v>
                </c:pt>
                <c:pt idx="2305">
                  <c:v>0.71830000000000005</c:v>
                </c:pt>
                <c:pt idx="2306">
                  <c:v>0.72270000000000001</c:v>
                </c:pt>
                <c:pt idx="2307">
                  <c:v>0.72270000000000001</c:v>
                </c:pt>
                <c:pt idx="2308">
                  <c:v>0.72260000000000002</c:v>
                </c:pt>
                <c:pt idx="2309">
                  <c:v>0.72309999999999997</c:v>
                </c:pt>
                <c:pt idx="2310">
                  <c:v>0.71899999999999997</c:v>
                </c:pt>
                <c:pt idx="2311">
                  <c:v>0.71630000000000005</c:v>
                </c:pt>
                <c:pt idx="2312">
                  <c:v>0.71640000000000004</c:v>
                </c:pt>
                <c:pt idx="2313">
                  <c:v>0.71899999999999997</c:v>
                </c:pt>
                <c:pt idx="2314">
                  <c:v>0.71879999999999999</c:v>
                </c:pt>
                <c:pt idx="2315">
                  <c:v>0.71730000000000005</c:v>
                </c:pt>
                <c:pt idx="2316">
                  <c:v>0.71289999999999998</c:v>
                </c:pt>
                <c:pt idx="2317">
                  <c:v>0.70230000000000004</c:v>
                </c:pt>
                <c:pt idx="2318">
                  <c:v>0.69699999999999995</c:v>
                </c:pt>
                <c:pt idx="2319">
                  <c:v>0.69540000000000002</c:v>
                </c:pt>
                <c:pt idx="2320">
                  <c:v>0.69069999999999998</c:v>
                </c:pt>
                <c:pt idx="2321">
                  <c:v>0.69330000000000003</c:v>
                </c:pt>
                <c:pt idx="2322">
                  <c:v>0.69359999999999999</c:v>
                </c:pt>
                <c:pt idx="2323">
                  <c:v>0.6976</c:v>
                </c:pt>
                <c:pt idx="2324">
                  <c:v>0.6956</c:v>
                </c:pt>
                <c:pt idx="2325">
                  <c:v>0.69879999999999998</c:v>
                </c:pt>
                <c:pt idx="2326">
                  <c:v>0.68969999999999998</c:v>
                </c:pt>
                <c:pt idx="2327">
                  <c:v>0.69450000000000001</c:v>
                </c:pt>
                <c:pt idx="2328">
                  <c:v>0.69279999999999997</c:v>
                </c:pt>
                <c:pt idx="2329">
                  <c:v>0.69299999999999995</c:v>
                </c:pt>
                <c:pt idx="2330">
                  <c:v>0.69310000000000005</c:v>
                </c:pt>
                <c:pt idx="2331">
                  <c:v>0.68530000000000002</c:v>
                </c:pt>
                <c:pt idx="2332">
                  <c:v>0.68579999999999997</c:v>
                </c:pt>
                <c:pt idx="2333">
                  <c:v>0.68510000000000004</c:v>
                </c:pt>
                <c:pt idx="2334">
                  <c:v>0.68469999999999998</c:v>
                </c:pt>
                <c:pt idx="2335">
                  <c:v>0.68700000000000006</c:v>
                </c:pt>
                <c:pt idx="2336">
                  <c:v>0.68579999999999997</c:v>
                </c:pt>
                <c:pt idx="2337">
                  <c:v>0.68940000000000001</c:v>
                </c:pt>
                <c:pt idx="2338">
                  <c:v>0.68779999999999997</c:v>
                </c:pt>
                <c:pt idx="2339">
                  <c:v>0.68799999999999994</c:v>
                </c:pt>
                <c:pt idx="2340">
                  <c:v>0.68230000000000002</c:v>
                </c:pt>
                <c:pt idx="2341">
                  <c:v>0.68340000000000001</c:v>
                </c:pt>
                <c:pt idx="2342">
                  <c:v>0.68379999999999996</c:v>
                </c:pt>
                <c:pt idx="2343">
                  <c:v>0.68589999999999995</c:v>
                </c:pt>
                <c:pt idx="2344">
                  <c:v>0.69320000000000004</c:v>
                </c:pt>
                <c:pt idx="2345">
                  <c:v>0.69189999999999996</c:v>
                </c:pt>
                <c:pt idx="2346">
                  <c:v>0.6925</c:v>
                </c:pt>
                <c:pt idx="2347">
                  <c:v>0.69389999999999996</c:v>
                </c:pt>
                <c:pt idx="2348">
                  <c:v>0.69140000000000001</c:v>
                </c:pt>
                <c:pt idx="2349">
                  <c:v>0.68989999999999996</c:v>
                </c:pt>
                <c:pt idx="2350">
                  <c:v>0.68920000000000003</c:v>
                </c:pt>
                <c:pt idx="2351">
                  <c:v>0.68769999999999998</c:v>
                </c:pt>
                <c:pt idx="2352">
                  <c:v>0.6895</c:v>
                </c:pt>
                <c:pt idx="2353">
                  <c:v>0.69040000000000001</c:v>
                </c:pt>
                <c:pt idx="2354">
                  <c:v>0.69089999999999996</c:v>
                </c:pt>
                <c:pt idx="2355">
                  <c:v>0.69159999999999999</c:v>
                </c:pt>
                <c:pt idx="2356">
                  <c:v>0.69179999999999997</c:v>
                </c:pt>
                <c:pt idx="2357">
                  <c:v>0.6885</c:v>
                </c:pt>
                <c:pt idx="2358">
                  <c:v>0.69010000000000005</c:v>
                </c:pt>
                <c:pt idx="2359">
                  <c:v>0.69010000000000005</c:v>
                </c:pt>
                <c:pt idx="2360">
                  <c:v>0.69010000000000005</c:v>
                </c:pt>
                <c:pt idx="2361">
                  <c:v>0.68879999999999997</c:v>
                </c:pt>
                <c:pt idx="2362">
                  <c:v>0.68859999999999999</c:v>
                </c:pt>
                <c:pt idx="2363">
                  <c:v>0.68799999999999994</c:v>
                </c:pt>
                <c:pt idx="2364">
                  <c:v>0.68799999999999994</c:v>
                </c:pt>
                <c:pt idx="2365">
                  <c:v>0.68679999999999997</c:v>
                </c:pt>
                <c:pt idx="2366">
                  <c:v>0.67879999999999996</c:v>
                </c:pt>
                <c:pt idx="2367">
                  <c:v>0.67249999999999999</c:v>
                </c:pt>
                <c:pt idx="2368">
                  <c:v>0.67130000000000001</c:v>
                </c:pt>
                <c:pt idx="2369">
                  <c:v>0.67130000000000001</c:v>
                </c:pt>
                <c:pt idx="2370">
                  <c:v>0.67249999999999999</c:v>
                </c:pt>
                <c:pt idx="2371">
                  <c:v>0.67320000000000002</c:v>
                </c:pt>
                <c:pt idx="2372">
                  <c:v>0.67400000000000004</c:v>
                </c:pt>
                <c:pt idx="2373">
                  <c:v>0.67179999999999995</c:v>
                </c:pt>
                <c:pt idx="2374">
                  <c:v>0.6724</c:v>
                </c:pt>
                <c:pt idx="2375">
                  <c:v>0.67579999999999996</c:v>
                </c:pt>
                <c:pt idx="2376">
                  <c:v>0.67579999999999996</c:v>
                </c:pt>
                <c:pt idx="2377">
                  <c:v>0.67179999999999995</c:v>
                </c:pt>
                <c:pt idx="2378">
                  <c:v>0.66539999999999999</c:v>
                </c:pt>
                <c:pt idx="2379">
                  <c:v>0.6734</c:v>
                </c:pt>
                <c:pt idx="2380">
                  <c:v>0.67120000000000002</c:v>
                </c:pt>
                <c:pt idx="2381">
                  <c:v>0.67200000000000004</c:v>
                </c:pt>
                <c:pt idx="2382">
                  <c:v>0.67579999999999996</c:v>
                </c:pt>
                <c:pt idx="2383">
                  <c:v>0.67510000000000003</c:v>
                </c:pt>
                <c:pt idx="2384">
                  <c:v>0.67859999999999998</c:v>
                </c:pt>
                <c:pt idx="2385">
                  <c:v>0.67410000000000003</c:v>
                </c:pt>
                <c:pt idx="2386">
                  <c:v>0.67630000000000001</c:v>
                </c:pt>
                <c:pt idx="2387">
                  <c:v>0.67849999999999999</c:v>
                </c:pt>
                <c:pt idx="2388">
                  <c:v>0.67830000000000001</c:v>
                </c:pt>
                <c:pt idx="2389">
                  <c:v>0.67710000000000004</c:v>
                </c:pt>
                <c:pt idx="2390">
                  <c:v>0.67149999999999999</c:v>
                </c:pt>
                <c:pt idx="2391">
                  <c:v>0.67049999999999998</c:v>
                </c:pt>
                <c:pt idx="2392">
                  <c:v>0.67049999999999998</c:v>
                </c:pt>
                <c:pt idx="2393">
                  <c:v>0.67369999999999997</c:v>
                </c:pt>
                <c:pt idx="2394">
                  <c:v>0.67620000000000002</c:v>
                </c:pt>
                <c:pt idx="2395">
                  <c:v>0.67730000000000001</c:v>
                </c:pt>
                <c:pt idx="2396">
                  <c:v>0.67569999999999997</c:v>
                </c:pt>
                <c:pt idx="2397">
                  <c:v>0.68489999999999995</c:v>
                </c:pt>
                <c:pt idx="2398">
                  <c:v>0.68640000000000001</c:v>
                </c:pt>
                <c:pt idx="2399">
                  <c:v>0.68710000000000004</c:v>
                </c:pt>
                <c:pt idx="2400">
                  <c:v>0.69010000000000005</c:v>
                </c:pt>
                <c:pt idx="2401">
                  <c:v>0.69220000000000004</c:v>
                </c:pt>
                <c:pt idx="2402">
                  <c:v>0.69469999999999998</c:v>
                </c:pt>
                <c:pt idx="2403">
                  <c:v>0.69389999999999996</c:v>
                </c:pt>
                <c:pt idx="2404">
                  <c:v>0.69569999999999999</c:v>
                </c:pt>
                <c:pt idx="2405">
                  <c:v>0.70189999999999997</c:v>
                </c:pt>
                <c:pt idx="2406">
                  <c:v>0.7046</c:v>
                </c:pt>
                <c:pt idx="2407">
                  <c:v>0.70699999999999996</c:v>
                </c:pt>
                <c:pt idx="2408">
                  <c:v>0.7077</c:v>
                </c:pt>
                <c:pt idx="2409">
                  <c:v>0.71160000000000001</c:v>
                </c:pt>
                <c:pt idx="2410">
                  <c:v>0.70540000000000003</c:v>
                </c:pt>
                <c:pt idx="2411">
                  <c:v>0.70269999999999999</c:v>
                </c:pt>
                <c:pt idx="2412">
                  <c:v>0.70279999999999998</c:v>
                </c:pt>
                <c:pt idx="2413">
                  <c:v>0.70579999999999998</c:v>
                </c:pt>
                <c:pt idx="2414">
                  <c:v>0.70499999999999996</c:v>
                </c:pt>
                <c:pt idx="2415">
                  <c:v>0.70669999999999999</c:v>
                </c:pt>
                <c:pt idx="2416">
                  <c:v>0.70640000000000003</c:v>
                </c:pt>
                <c:pt idx="2417">
                  <c:v>0.70679999999999998</c:v>
                </c:pt>
                <c:pt idx="2418">
                  <c:v>0.70950000000000002</c:v>
                </c:pt>
                <c:pt idx="2419">
                  <c:v>0.71640000000000004</c:v>
                </c:pt>
                <c:pt idx="2420">
                  <c:v>0.71689999999999998</c:v>
                </c:pt>
                <c:pt idx="2421">
                  <c:v>0.70730000000000004</c:v>
                </c:pt>
                <c:pt idx="2422">
                  <c:v>0.70569999999999999</c:v>
                </c:pt>
                <c:pt idx="2423">
                  <c:v>0.70540000000000003</c:v>
                </c:pt>
                <c:pt idx="2424">
                  <c:v>0.70789999999999997</c:v>
                </c:pt>
                <c:pt idx="2425">
                  <c:v>0.70779999999999998</c:v>
                </c:pt>
                <c:pt idx="2426">
                  <c:v>0.71150000000000002</c:v>
                </c:pt>
                <c:pt idx="2427">
                  <c:v>0.70579999999999998</c:v>
                </c:pt>
                <c:pt idx="2428">
                  <c:v>0.7</c:v>
                </c:pt>
                <c:pt idx="2429">
                  <c:v>0.69850000000000001</c:v>
                </c:pt>
                <c:pt idx="2430">
                  <c:v>0.69810000000000005</c:v>
                </c:pt>
                <c:pt idx="2431">
                  <c:v>0.70230000000000004</c:v>
                </c:pt>
                <c:pt idx="2432">
                  <c:v>0.70620000000000005</c:v>
                </c:pt>
                <c:pt idx="2433">
                  <c:v>0.70930000000000004</c:v>
                </c:pt>
                <c:pt idx="2434">
                  <c:v>0.70930000000000004</c:v>
                </c:pt>
                <c:pt idx="2435">
                  <c:v>0.70930000000000004</c:v>
                </c:pt>
                <c:pt idx="2436">
                  <c:v>0.71350000000000002</c:v>
                </c:pt>
                <c:pt idx="2437">
                  <c:v>0.71750000000000003</c:v>
                </c:pt>
                <c:pt idx="2438">
                  <c:v>0.72009999999999996</c:v>
                </c:pt>
                <c:pt idx="2439">
                  <c:v>0.71689999999999998</c:v>
                </c:pt>
                <c:pt idx="2440">
                  <c:v>0.71630000000000005</c:v>
                </c:pt>
                <c:pt idx="2441">
                  <c:v>0.72030000000000005</c:v>
                </c:pt>
                <c:pt idx="2442">
                  <c:v>0.71679999999999999</c:v>
                </c:pt>
                <c:pt idx="2443">
                  <c:v>0.71389999999999998</c:v>
                </c:pt>
                <c:pt idx="2444">
                  <c:v>0.71089999999999998</c:v>
                </c:pt>
                <c:pt idx="2445">
                  <c:v>0.71730000000000005</c:v>
                </c:pt>
                <c:pt idx="2446">
                  <c:v>0.72050000000000003</c:v>
                </c:pt>
                <c:pt idx="2447">
                  <c:v>0.71330000000000005</c:v>
                </c:pt>
                <c:pt idx="2448">
                  <c:v>0.71230000000000004</c:v>
                </c:pt>
                <c:pt idx="2449">
                  <c:v>0.71160000000000001</c:v>
                </c:pt>
                <c:pt idx="2450">
                  <c:v>0.70730000000000004</c:v>
                </c:pt>
                <c:pt idx="2451">
                  <c:v>0.70120000000000005</c:v>
                </c:pt>
                <c:pt idx="2452">
                  <c:v>0.70069999999999999</c:v>
                </c:pt>
                <c:pt idx="2453">
                  <c:v>0.70330000000000004</c:v>
                </c:pt>
                <c:pt idx="2454">
                  <c:v>0.70509999999999995</c:v>
                </c:pt>
                <c:pt idx="2455">
                  <c:v>0.70730000000000004</c:v>
                </c:pt>
                <c:pt idx="2456">
                  <c:v>0.70150000000000001</c:v>
                </c:pt>
                <c:pt idx="2457">
                  <c:v>0.70179999999999998</c:v>
                </c:pt>
                <c:pt idx="2458">
                  <c:v>0.69879999999999998</c:v>
                </c:pt>
                <c:pt idx="2459">
                  <c:v>0.70369999999999999</c:v>
                </c:pt>
                <c:pt idx="2460">
                  <c:v>0.70130000000000003</c:v>
                </c:pt>
                <c:pt idx="2461">
                  <c:v>0.69499999999999995</c:v>
                </c:pt>
                <c:pt idx="2462">
                  <c:v>0.69269999999999998</c:v>
                </c:pt>
                <c:pt idx="2463">
                  <c:v>0.69240000000000002</c:v>
                </c:pt>
                <c:pt idx="2464">
                  <c:v>0.69369999999999998</c:v>
                </c:pt>
                <c:pt idx="2465">
                  <c:v>0.69210000000000005</c:v>
                </c:pt>
                <c:pt idx="2466">
                  <c:v>0.69689999999999996</c:v>
                </c:pt>
                <c:pt idx="2467">
                  <c:v>0.69699999999999995</c:v>
                </c:pt>
                <c:pt idx="2468">
                  <c:v>0.69450000000000001</c:v>
                </c:pt>
                <c:pt idx="2469">
                  <c:v>0.69210000000000005</c:v>
                </c:pt>
                <c:pt idx="2470">
                  <c:v>0.67689999999999995</c:v>
                </c:pt>
                <c:pt idx="2471">
                  <c:v>0.67320000000000002</c:v>
                </c:pt>
                <c:pt idx="2472">
                  <c:v>0.68100000000000005</c:v>
                </c:pt>
                <c:pt idx="2473">
                  <c:v>0.67679999999999996</c:v>
                </c:pt>
                <c:pt idx="2474">
                  <c:v>0.67479999999999996</c:v>
                </c:pt>
                <c:pt idx="2475">
                  <c:v>0.67530000000000001</c:v>
                </c:pt>
                <c:pt idx="2476">
                  <c:v>0.67130000000000001</c:v>
                </c:pt>
                <c:pt idx="2477">
                  <c:v>0.67110000000000003</c:v>
                </c:pt>
                <c:pt idx="2478">
                  <c:v>0.67400000000000004</c:v>
                </c:pt>
                <c:pt idx="2479">
                  <c:v>0.67700000000000005</c:v>
                </c:pt>
                <c:pt idx="2480">
                  <c:v>0.67479999999999996</c:v>
                </c:pt>
                <c:pt idx="2481">
                  <c:v>0.67789999999999995</c:v>
                </c:pt>
                <c:pt idx="2482">
                  <c:v>0.6774</c:v>
                </c:pt>
                <c:pt idx="2483">
                  <c:v>0.67410000000000003</c:v>
                </c:pt>
                <c:pt idx="2484">
                  <c:v>0.67820000000000003</c:v>
                </c:pt>
                <c:pt idx="2485">
                  <c:v>0.68530000000000002</c:v>
                </c:pt>
                <c:pt idx="2486">
                  <c:v>0.68289999999999995</c:v>
                </c:pt>
                <c:pt idx="2487">
                  <c:v>0.6704</c:v>
                </c:pt>
                <c:pt idx="2488">
                  <c:v>0.67179999999999995</c:v>
                </c:pt>
                <c:pt idx="2489">
                  <c:v>0.66830000000000001</c:v>
                </c:pt>
                <c:pt idx="2490">
                  <c:v>0.66879999999999995</c:v>
                </c:pt>
                <c:pt idx="2491">
                  <c:v>0.67220000000000002</c:v>
                </c:pt>
                <c:pt idx="2492">
                  <c:v>0.67220000000000002</c:v>
                </c:pt>
                <c:pt idx="2493">
                  <c:v>0.66720000000000002</c:v>
                </c:pt>
                <c:pt idx="2494">
                  <c:v>0.66879999999999995</c:v>
                </c:pt>
                <c:pt idx="2495">
                  <c:v>0.67490000000000006</c:v>
                </c:pt>
                <c:pt idx="2496">
                  <c:v>0.67479999999999996</c:v>
                </c:pt>
                <c:pt idx="2497">
                  <c:v>0.67700000000000005</c:v>
                </c:pt>
                <c:pt idx="2498">
                  <c:v>0.68140000000000001</c:v>
                </c:pt>
                <c:pt idx="2499">
                  <c:v>0.68189999999999995</c:v>
                </c:pt>
                <c:pt idx="2500">
                  <c:v>0.67889999999999995</c:v>
                </c:pt>
                <c:pt idx="2501">
                  <c:v>0.67710000000000004</c:v>
                </c:pt>
                <c:pt idx="2502">
                  <c:v>0.68100000000000005</c:v>
                </c:pt>
                <c:pt idx="2503">
                  <c:v>0.67930000000000001</c:v>
                </c:pt>
                <c:pt idx="2504">
                  <c:v>0.68140000000000001</c:v>
                </c:pt>
                <c:pt idx="2505">
                  <c:v>0.6764</c:v>
                </c:pt>
                <c:pt idx="2506">
                  <c:v>0.67600000000000005</c:v>
                </c:pt>
                <c:pt idx="2507">
                  <c:v>0.67849999999999999</c:v>
                </c:pt>
                <c:pt idx="2508">
                  <c:v>0.67749999999999999</c:v>
                </c:pt>
                <c:pt idx="2509">
                  <c:v>0.67669999999999997</c:v>
                </c:pt>
                <c:pt idx="2510">
                  <c:v>0.67859999999999998</c:v>
                </c:pt>
                <c:pt idx="2511">
                  <c:v>0.67820000000000003</c:v>
                </c:pt>
                <c:pt idx="2512">
                  <c:v>0.67820000000000003</c:v>
                </c:pt>
                <c:pt idx="2513">
                  <c:v>0.67720000000000002</c:v>
                </c:pt>
                <c:pt idx="2514">
                  <c:v>0.68340000000000001</c:v>
                </c:pt>
                <c:pt idx="2515">
                  <c:v>0.68969999999999998</c:v>
                </c:pt>
                <c:pt idx="2516">
                  <c:v>0.68920000000000003</c:v>
                </c:pt>
                <c:pt idx="2517">
                  <c:v>0.6875</c:v>
                </c:pt>
                <c:pt idx="2518">
                  <c:v>0.68779999999999997</c:v>
                </c:pt>
                <c:pt idx="2519">
                  <c:v>0.6804</c:v>
                </c:pt>
                <c:pt idx="2520">
                  <c:v>0.68149999999999999</c:v>
                </c:pt>
                <c:pt idx="2521">
                  <c:v>0.68410000000000004</c:v>
                </c:pt>
                <c:pt idx="2522">
                  <c:v>0.68589999999999995</c:v>
                </c:pt>
                <c:pt idx="2523">
                  <c:v>0.68279999999999996</c:v>
                </c:pt>
                <c:pt idx="2524">
                  <c:v>0.67600000000000005</c:v>
                </c:pt>
                <c:pt idx="2525">
                  <c:v>0.6754</c:v>
                </c:pt>
                <c:pt idx="2526">
                  <c:v>0.68049999999999999</c:v>
                </c:pt>
                <c:pt idx="2527">
                  <c:v>0.67449999999999999</c:v>
                </c:pt>
                <c:pt idx="2528">
                  <c:v>0.67679999999999996</c:v>
                </c:pt>
                <c:pt idx="2529">
                  <c:v>0.67910000000000004</c:v>
                </c:pt>
                <c:pt idx="2530">
                  <c:v>0.67600000000000005</c:v>
                </c:pt>
                <c:pt idx="2531">
                  <c:v>0.66739999999999999</c:v>
                </c:pt>
                <c:pt idx="2532">
                  <c:v>0.67059999999999997</c:v>
                </c:pt>
                <c:pt idx="2533">
                  <c:v>0.67069999999999996</c:v>
                </c:pt>
                <c:pt idx="2534">
                  <c:v>0.66779999999999995</c:v>
                </c:pt>
                <c:pt idx="2535">
                  <c:v>0.67179999999999995</c:v>
                </c:pt>
                <c:pt idx="2536">
                  <c:v>0.67079999999999995</c:v>
                </c:pt>
                <c:pt idx="2537">
                  <c:v>0.67030000000000001</c:v>
                </c:pt>
                <c:pt idx="2538">
                  <c:v>0.66479999999999995</c:v>
                </c:pt>
                <c:pt idx="2539">
                  <c:v>0.65310000000000001</c:v>
                </c:pt>
                <c:pt idx="2540">
                  <c:v>0.65129999999999999</c:v>
                </c:pt>
                <c:pt idx="2541">
                  <c:v>0.64829999999999999</c:v>
                </c:pt>
                <c:pt idx="2542">
                  <c:v>0.65480000000000005</c:v>
                </c:pt>
                <c:pt idx="2543">
                  <c:v>0.65629999999999999</c:v>
                </c:pt>
                <c:pt idx="2544">
                  <c:v>0.65710000000000002</c:v>
                </c:pt>
                <c:pt idx="2545">
                  <c:v>0.65029999999999999</c:v>
                </c:pt>
                <c:pt idx="2546">
                  <c:v>0.64429999999999998</c:v>
                </c:pt>
                <c:pt idx="2547">
                  <c:v>0.64610000000000001</c:v>
                </c:pt>
                <c:pt idx="2548">
                  <c:v>0.65069999999999995</c:v>
                </c:pt>
                <c:pt idx="2549">
                  <c:v>0.6482</c:v>
                </c:pt>
                <c:pt idx="2550">
                  <c:v>0.64710000000000001</c:v>
                </c:pt>
                <c:pt idx="2551">
                  <c:v>0.65110000000000001</c:v>
                </c:pt>
                <c:pt idx="2552">
                  <c:v>0.65590000000000004</c:v>
                </c:pt>
                <c:pt idx="2553">
                  <c:v>0.65139999999999998</c:v>
                </c:pt>
                <c:pt idx="2554">
                  <c:v>0.65449999999999997</c:v>
                </c:pt>
                <c:pt idx="2555">
                  <c:v>0.6522</c:v>
                </c:pt>
                <c:pt idx="2556">
                  <c:v>0.64729999999999999</c:v>
                </c:pt>
                <c:pt idx="2557">
                  <c:v>0.64610000000000001</c:v>
                </c:pt>
                <c:pt idx="2558">
                  <c:v>0.64529999999999998</c:v>
                </c:pt>
                <c:pt idx="2559">
                  <c:v>0.64629999999999999</c:v>
                </c:pt>
                <c:pt idx="2560">
                  <c:v>0.64749999999999996</c:v>
                </c:pt>
                <c:pt idx="2561">
                  <c:v>0.64639999999999997</c:v>
                </c:pt>
                <c:pt idx="2562">
                  <c:v>0.65139999999999998</c:v>
                </c:pt>
                <c:pt idx="2563">
                  <c:v>0.65429999999999999</c:v>
                </c:pt>
                <c:pt idx="2564">
                  <c:v>0.65439999999999998</c:v>
                </c:pt>
                <c:pt idx="2565">
                  <c:v>0.65890000000000004</c:v>
                </c:pt>
                <c:pt idx="2566">
                  <c:v>0.6593</c:v>
                </c:pt>
                <c:pt idx="2567">
                  <c:v>0.66</c:v>
                </c:pt>
                <c:pt idx="2568">
                  <c:v>0.66220000000000001</c:v>
                </c:pt>
                <c:pt idx="2569">
                  <c:v>0.66310000000000002</c:v>
                </c:pt>
                <c:pt idx="2570">
                  <c:v>0.66090000000000004</c:v>
                </c:pt>
                <c:pt idx="2571">
                  <c:v>0.66379999999999995</c:v>
                </c:pt>
                <c:pt idx="2572">
                  <c:v>0.66459999999999997</c:v>
                </c:pt>
                <c:pt idx="2573">
                  <c:v>0.66930000000000001</c:v>
                </c:pt>
                <c:pt idx="2574">
                  <c:v>0.66900000000000004</c:v>
                </c:pt>
                <c:pt idx="2575">
                  <c:v>0.66790000000000005</c:v>
                </c:pt>
                <c:pt idx="2576">
                  <c:v>0.67</c:v>
                </c:pt>
                <c:pt idx="2577">
                  <c:v>0.66579999999999995</c:v>
                </c:pt>
                <c:pt idx="2578">
                  <c:v>0.66549999999999998</c:v>
                </c:pt>
                <c:pt idx="2579">
                  <c:v>0.66610000000000003</c:v>
                </c:pt>
                <c:pt idx="2580">
                  <c:v>0.67200000000000004</c:v>
                </c:pt>
                <c:pt idx="2581">
                  <c:v>0.67300000000000004</c:v>
                </c:pt>
                <c:pt idx="2582">
                  <c:v>0.67359999999999998</c:v>
                </c:pt>
                <c:pt idx="2583">
                  <c:v>0.67459999999999998</c:v>
                </c:pt>
                <c:pt idx="2584">
                  <c:v>0.67400000000000004</c:v>
                </c:pt>
                <c:pt idx="2585">
                  <c:v>0.67279999999999995</c:v>
                </c:pt>
                <c:pt idx="2586">
                  <c:v>0.66649999999999998</c:v>
                </c:pt>
                <c:pt idx="2587">
                  <c:v>0.66669999999999996</c:v>
                </c:pt>
                <c:pt idx="2588">
                  <c:v>0.66149999999999998</c:v>
                </c:pt>
                <c:pt idx="2589">
                  <c:v>0.66400000000000003</c:v>
                </c:pt>
                <c:pt idx="2590">
                  <c:v>0.65349999999999997</c:v>
                </c:pt>
                <c:pt idx="2591">
                  <c:v>0.65680000000000005</c:v>
                </c:pt>
                <c:pt idx="2592">
                  <c:v>0.66249999999999998</c:v>
                </c:pt>
                <c:pt idx="2593">
                  <c:v>0.66569999999999996</c:v>
                </c:pt>
                <c:pt idx="2594">
                  <c:v>0.6593</c:v>
                </c:pt>
                <c:pt idx="2595">
                  <c:v>0.65880000000000005</c:v>
                </c:pt>
                <c:pt idx="2596">
                  <c:v>0.66359999999999997</c:v>
                </c:pt>
                <c:pt idx="2597">
                  <c:v>0.66279999999999994</c:v>
                </c:pt>
                <c:pt idx="2598">
                  <c:v>0.66549999999999998</c:v>
                </c:pt>
                <c:pt idx="2599">
                  <c:v>0.66239999999999999</c:v>
                </c:pt>
                <c:pt idx="2600">
                  <c:v>0.6593</c:v>
                </c:pt>
                <c:pt idx="2601">
                  <c:v>0.65859999999999996</c:v>
                </c:pt>
                <c:pt idx="2602">
                  <c:v>0.65910000000000002</c:v>
                </c:pt>
                <c:pt idx="2603">
                  <c:v>0.66259999999999997</c:v>
                </c:pt>
                <c:pt idx="2604">
                  <c:v>0.66869999999999996</c:v>
                </c:pt>
                <c:pt idx="2605">
                  <c:v>0.6673</c:v>
                </c:pt>
                <c:pt idx="2606">
                  <c:v>0.66969999999999996</c:v>
                </c:pt>
                <c:pt idx="2607">
                  <c:v>0.66790000000000005</c:v>
                </c:pt>
                <c:pt idx="2608">
                  <c:v>0.67249999999999999</c:v>
                </c:pt>
                <c:pt idx="2609">
                  <c:v>0.67090000000000005</c:v>
                </c:pt>
                <c:pt idx="2610">
                  <c:v>0.67020000000000002</c:v>
                </c:pt>
                <c:pt idx="2611">
                  <c:v>0.67110000000000003</c:v>
                </c:pt>
                <c:pt idx="2612">
                  <c:v>0.67320000000000002</c:v>
                </c:pt>
                <c:pt idx="2613">
                  <c:v>0.67549999999999999</c:v>
                </c:pt>
                <c:pt idx="2614">
                  <c:v>0.67449999999999999</c:v>
                </c:pt>
                <c:pt idx="2615">
                  <c:v>0.67859999999999998</c:v>
                </c:pt>
                <c:pt idx="2616">
                  <c:v>0.67969999999999997</c:v>
                </c:pt>
                <c:pt idx="2617">
                  <c:v>0.67979999999999996</c:v>
                </c:pt>
                <c:pt idx="2618">
                  <c:v>0.67930000000000001</c:v>
                </c:pt>
                <c:pt idx="2619">
                  <c:v>0.6784</c:v>
                </c:pt>
                <c:pt idx="2620">
                  <c:v>0.6784</c:v>
                </c:pt>
                <c:pt idx="2621">
                  <c:v>0.6784</c:v>
                </c:pt>
                <c:pt idx="2622">
                  <c:v>0.67710000000000004</c:v>
                </c:pt>
                <c:pt idx="2623">
                  <c:v>0.67569999999999997</c:v>
                </c:pt>
                <c:pt idx="2624">
                  <c:v>0.67710000000000004</c:v>
                </c:pt>
                <c:pt idx="2625">
                  <c:v>0.67710000000000004</c:v>
                </c:pt>
                <c:pt idx="2626">
                  <c:v>0.68730000000000002</c:v>
                </c:pt>
                <c:pt idx="2627">
                  <c:v>0.68700000000000006</c:v>
                </c:pt>
                <c:pt idx="2628">
                  <c:v>0.68569999999999998</c:v>
                </c:pt>
                <c:pt idx="2629">
                  <c:v>0.68510000000000004</c:v>
                </c:pt>
                <c:pt idx="2630">
                  <c:v>0.68489999999999995</c:v>
                </c:pt>
                <c:pt idx="2631">
                  <c:v>0.69040000000000001</c:v>
                </c:pt>
                <c:pt idx="2632">
                  <c:v>0.68940000000000001</c:v>
                </c:pt>
                <c:pt idx="2633">
                  <c:v>0.6905</c:v>
                </c:pt>
                <c:pt idx="2634">
                  <c:v>0.68920000000000003</c:v>
                </c:pt>
                <c:pt idx="2635">
                  <c:v>0.68969999999999998</c:v>
                </c:pt>
                <c:pt idx="2636">
                  <c:v>0.69679999999999997</c:v>
                </c:pt>
                <c:pt idx="2637">
                  <c:v>0.69979999999999998</c:v>
                </c:pt>
                <c:pt idx="2638">
                  <c:v>0.70099999999999996</c:v>
                </c:pt>
                <c:pt idx="2639">
                  <c:v>0.70220000000000005</c:v>
                </c:pt>
                <c:pt idx="2640">
                  <c:v>0.7016</c:v>
                </c:pt>
                <c:pt idx="2641">
                  <c:v>0.70840000000000003</c:v>
                </c:pt>
                <c:pt idx="2642">
                  <c:v>0.70840000000000003</c:v>
                </c:pt>
                <c:pt idx="2643">
                  <c:v>0.70879999999999999</c:v>
                </c:pt>
                <c:pt idx="2644">
                  <c:v>0.70750000000000002</c:v>
                </c:pt>
                <c:pt idx="2645">
                  <c:v>0.71120000000000005</c:v>
                </c:pt>
                <c:pt idx="2646">
                  <c:v>0.71330000000000005</c:v>
                </c:pt>
                <c:pt idx="2647">
                  <c:v>0.71340000000000003</c:v>
                </c:pt>
                <c:pt idx="2648">
                  <c:v>0.71509999999999996</c:v>
                </c:pt>
                <c:pt idx="2649">
                  <c:v>0.71450000000000002</c:v>
                </c:pt>
                <c:pt idx="2650">
                  <c:v>0.71199999999999997</c:v>
                </c:pt>
                <c:pt idx="2651">
                  <c:v>0.71840000000000004</c:v>
                </c:pt>
                <c:pt idx="2652">
                  <c:v>0.71830000000000005</c:v>
                </c:pt>
                <c:pt idx="2653">
                  <c:v>0.7208</c:v>
                </c:pt>
                <c:pt idx="2654">
                  <c:v>0.71699999999999997</c:v>
                </c:pt>
                <c:pt idx="2655">
                  <c:v>0.71130000000000004</c:v>
                </c:pt>
                <c:pt idx="2656">
                  <c:v>0.70809999999999995</c:v>
                </c:pt>
                <c:pt idx="2657">
                  <c:v>0.71199999999999997</c:v>
                </c:pt>
                <c:pt idx="2658">
                  <c:v>0.71340000000000003</c:v>
                </c:pt>
                <c:pt idx="2659">
                  <c:v>0.71430000000000005</c:v>
                </c:pt>
                <c:pt idx="2660">
                  <c:v>0.71099999999999997</c:v>
                </c:pt>
                <c:pt idx="2661">
                  <c:v>0.71860000000000002</c:v>
                </c:pt>
                <c:pt idx="2662">
                  <c:v>0.72199999999999998</c:v>
                </c:pt>
                <c:pt idx="2663">
                  <c:v>0.72799999999999998</c:v>
                </c:pt>
                <c:pt idx="2664">
                  <c:v>0.72250000000000003</c:v>
                </c:pt>
                <c:pt idx="2665">
                  <c:v>0.71779999999999999</c:v>
                </c:pt>
                <c:pt idx="2666">
                  <c:v>0.71499999999999997</c:v>
                </c:pt>
                <c:pt idx="2667">
                  <c:v>0.70850000000000002</c:v>
                </c:pt>
                <c:pt idx="2668">
                  <c:v>0.70840000000000003</c:v>
                </c:pt>
                <c:pt idx="2669">
                  <c:v>0.71109999999999995</c:v>
                </c:pt>
                <c:pt idx="2670">
                  <c:v>0.72</c:v>
                </c:pt>
                <c:pt idx="2671">
                  <c:v>0.71870000000000001</c:v>
                </c:pt>
                <c:pt idx="2672">
                  <c:v>0.71430000000000005</c:v>
                </c:pt>
                <c:pt idx="2673">
                  <c:v>0.70950000000000002</c:v>
                </c:pt>
                <c:pt idx="2674">
                  <c:v>0.71040000000000003</c:v>
                </c:pt>
                <c:pt idx="2675">
                  <c:v>0.71809999999999996</c:v>
                </c:pt>
                <c:pt idx="2676">
                  <c:v>0.7198</c:v>
                </c:pt>
                <c:pt idx="2677">
                  <c:v>0.71389999999999998</c:v>
                </c:pt>
                <c:pt idx="2678">
                  <c:v>0.71240000000000003</c:v>
                </c:pt>
                <c:pt idx="2679">
                  <c:v>0.71030000000000004</c:v>
                </c:pt>
                <c:pt idx="2680">
                  <c:v>0.71419999999999995</c:v>
                </c:pt>
                <c:pt idx="2681">
                  <c:v>0.70889999999999997</c:v>
                </c:pt>
                <c:pt idx="2682">
                  <c:v>0.71109999999999995</c:v>
                </c:pt>
                <c:pt idx="2683">
                  <c:v>0.71160000000000001</c:v>
                </c:pt>
                <c:pt idx="2684">
                  <c:v>0.70840000000000003</c:v>
                </c:pt>
                <c:pt idx="2685">
                  <c:v>0.71130000000000004</c:v>
                </c:pt>
                <c:pt idx="2686">
                  <c:v>0.70889999999999997</c:v>
                </c:pt>
                <c:pt idx="2687">
                  <c:v>0.70289999999999997</c:v>
                </c:pt>
                <c:pt idx="2688">
                  <c:v>0.70079999999999998</c:v>
                </c:pt>
                <c:pt idx="2689">
                  <c:v>0.70079999999999998</c:v>
                </c:pt>
                <c:pt idx="2690">
                  <c:v>0.70079999999999998</c:v>
                </c:pt>
                <c:pt idx="2691">
                  <c:v>0.70169999999999999</c:v>
                </c:pt>
                <c:pt idx="2692">
                  <c:v>0.70489999999999997</c:v>
                </c:pt>
                <c:pt idx="2693">
                  <c:v>0.70669999999999999</c:v>
                </c:pt>
                <c:pt idx="2694">
                  <c:v>0.71750000000000003</c:v>
                </c:pt>
                <c:pt idx="2695">
                  <c:v>0.72119999999999995</c:v>
                </c:pt>
                <c:pt idx="2696">
                  <c:v>0.72060000000000002</c:v>
                </c:pt>
                <c:pt idx="2697">
                  <c:v>0.7238</c:v>
                </c:pt>
                <c:pt idx="2698">
                  <c:v>0.7238</c:v>
                </c:pt>
                <c:pt idx="2699">
                  <c:v>0.72650000000000003</c:v>
                </c:pt>
                <c:pt idx="2700">
                  <c:v>0.72360000000000002</c:v>
                </c:pt>
                <c:pt idx="2701">
                  <c:v>0.71779999999999999</c:v>
                </c:pt>
                <c:pt idx="2702">
                  <c:v>0.71619999999999995</c:v>
                </c:pt>
                <c:pt idx="2703">
                  <c:v>0.71360000000000001</c:v>
                </c:pt>
                <c:pt idx="2704">
                  <c:v>0.71860000000000002</c:v>
                </c:pt>
                <c:pt idx="2705">
                  <c:v>0.71860000000000002</c:v>
                </c:pt>
                <c:pt idx="2706">
                  <c:v>0.7177</c:v>
                </c:pt>
                <c:pt idx="2707">
                  <c:v>0.71640000000000004</c:v>
                </c:pt>
                <c:pt idx="2708">
                  <c:v>0.7137</c:v>
                </c:pt>
                <c:pt idx="2709">
                  <c:v>0.71240000000000003</c:v>
                </c:pt>
                <c:pt idx="2710">
                  <c:v>0.71540000000000004</c:v>
                </c:pt>
                <c:pt idx="2711">
                  <c:v>0.71179999999999999</c:v>
                </c:pt>
                <c:pt idx="2712">
                  <c:v>0.70409999999999995</c:v>
                </c:pt>
                <c:pt idx="2713">
                  <c:v>0.7117</c:v>
                </c:pt>
                <c:pt idx="2714">
                  <c:v>0.71579999999999999</c:v>
                </c:pt>
                <c:pt idx="2715">
                  <c:v>0.71530000000000005</c:v>
                </c:pt>
                <c:pt idx="2716">
                  <c:v>0.71970000000000001</c:v>
                </c:pt>
                <c:pt idx="2717">
                  <c:v>0.72170000000000001</c:v>
                </c:pt>
                <c:pt idx="2718">
                  <c:v>0.71779999999999999</c:v>
                </c:pt>
                <c:pt idx="2719">
                  <c:v>0.72119999999999995</c:v>
                </c:pt>
                <c:pt idx="2720">
                  <c:v>0.72360000000000002</c:v>
                </c:pt>
                <c:pt idx="2721">
                  <c:v>0.72609999999999997</c:v>
                </c:pt>
                <c:pt idx="2722">
                  <c:v>0.73089999999999999</c:v>
                </c:pt>
                <c:pt idx="2723">
                  <c:v>0.72829999999999995</c:v>
                </c:pt>
                <c:pt idx="2724">
                  <c:v>0.72899999999999998</c:v>
                </c:pt>
                <c:pt idx="2725">
                  <c:v>0.73109999999999997</c:v>
                </c:pt>
                <c:pt idx="2726">
                  <c:v>0.73429999999999995</c:v>
                </c:pt>
                <c:pt idx="2727">
                  <c:v>0.73480000000000001</c:v>
                </c:pt>
                <c:pt idx="2728">
                  <c:v>0.73309999999999997</c:v>
                </c:pt>
                <c:pt idx="2729">
                  <c:v>0.73299999999999998</c:v>
                </c:pt>
                <c:pt idx="2730">
                  <c:v>0.73409999999999997</c:v>
                </c:pt>
                <c:pt idx="2731">
                  <c:v>0.73609999999999998</c:v>
                </c:pt>
                <c:pt idx="2732">
                  <c:v>0.73899999999999999</c:v>
                </c:pt>
                <c:pt idx="2733">
                  <c:v>0.73809999999999998</c:v>
                </c:pt>
                <c:pt idx="2734">
                  <c:v>0.73680000000000001</c:v>
                </c:pt>
                <c:pt idx="2735">
                  <c:v>0.73750000000000004</c:v>
                </c:pt>
                <c:pt idx="2736">
                  <c:v>0.73429999999999995</c:v>
                </c:pt>
                <c:pt idx="2737">
                  <c:v>0.73450000000000004</c:v>
                </c:pt>
                <c:pt idx="2738">
                  <c:v>0.73460000000000003</c:v>
                </c:pt>
                <c:pt idx="2739">
                  <c:v>0.73440000000000005</c:v>
                </c:pt>
                <c:pt idx="2740">
                  <c:v>0.73440000000000005</c:v>
                </c:pt>
                <c:pt idx="2741">
                  <c:v>0.73480000000000001</c:v>
                </c:pt>
                <c:pt idx="2742">
                  <c:v>0.73040000000000005</c:v>
                </c:pt>
                <c:pt idx="2743">
                  <c:v>0.7268</c:v>
                </c:pt>
                <c:pt idx="2744">
                  <c:v>0.73240000000000005</c:v>
                </c:pt>
                <c:pt idx="2745">
                  <c:v>0.74019999999999997</c:v>
                </c:pt>
                <c:pt idx="2746">
                  <c:v>0.73970000000000002</c:v>
                </c:pt>
                <c:pt idx="2747">
                  <c:v>0.74450000000000005</c:v>
                </c:pt>
                <c:pt idx="2748">
                  <c:v>0.73309999999999997</c:v>
                </c:pt>
                <c:pt idx="2749">
                  <c:v>0.73129999999999995</c:v>
                </c:pt>
                <c:pt idx="2750">
                  <c:v>0.72099999999999997</c:v>
                </c:pt>
                <c:pt idx="2751">
                  <c:v>0.7248</c:v>
                </c:pt>
                <c:pt idx="2752">
                  <c:v>0.72209999999999996</c:v>
                </c:pt>
                <c:pt idx="2753">
                  <c:v>0.72909999999999997</c:v>
                </c:pt>
                <c:pt idx="2754">
                  <c:v>0.73129999999999995</c:v>
                </c:pt>
                <c:pt idx="2755">
                  <c:v>0.73280000000000001</c:v>
                </c:pt>
                <c:pt idx="2756">
                  <c:v>0.73050000000000004</c:v>
                </c:pt>
                <c:pt idx="2757">
                  <c:v>0.72409999999999997</c:v>
                </c:pt>
                <c:pt idx="2758">
                  <c:v>0.73170000000000002</c:v>
                </c:pt>
                <c:pt idx="2759">
                  <c:v>0.72760000000000002</c:v>
                </c:pt>
                <c:pt idx="2760">
                  <c:v>0.73309999999999997</c:v>
                </c:pt>
                <c:pt idx="2761">
                  <c:v>0.73640000000000005</c:v>
                </c:pt>
                <c:pt idx="2762">
                  <c:v>0.73650000000000004</c:v>
                </c:pt>
                <c:pt idx="2763">
                  <c:v>0.73399999999999999</c:v>
                </c:pt>
                <c:pt idx="2764">
                  <c:v>0.73650000000000004</c:v>
                </c:pt>
                <c:pt idx="2765">
                  <c:v>0.73309999999999997</c:v>
                </c:pt>
                <c:pt idx="2766">
                  <c:v>0.73160000000000003</c:v>
                </c:pt>
                <c:pt idx="2767">
                  <c:v>0.73660000000000003</c:v>
                </c:pt>
                <c:pt idx="2768">
                  <c:v>0.73660000000000003</c:v>
                </c:pt>
                <c:pt idx="2769">
                  <c:v>0.73809999999999998</c:v>
                </c:pt>
                <c:pt idx="2770">
                  <c:v>0.74270000000000003</c:v>
                </c:pt>
                <c:pt idx="2771">
                  <c:v>0.74399999999999999</c:v>
                </c:pt>
                <c:pt idx="2772">
                  <c:v>0.74029999999999996</c:v>
                </c:pt>
                <c:pt idx="2773">
                  <c:v>0.73670000000000002</c:v>
                </c:pt>
                <c:pt idx="2774">
                  <c:v>0.73929999999999996</c:v>
                </c:pt>
                <c:pt idx="2775">
                  <c:v>0.7379</c:v>
                </c:pt>
                <c:pt idx="2776">
                  <c:v>0.73770000000000002</c:v>
                </c:pt>
                <c:pt idx="2777">
                  <c:v>0.73180000000000001</c:v>
                </c:pt>
                <c:pt idx="2778">
                  <c:v>0.73040000000000005</c:v>
                </c:pt>
                <c:pt idx="2779">
                  <c:v>0.74139999999999995</c:v>
                </c:pt>
                <c:pt idx="2780">
                  <c:v>0.74229999999999996</c:v>
                </c:pt>
                <c:pt idx="2781">
                  <c:v>0.7419</c:v>
                </c:pt>
                <c:pt idx="2782">
                  <c:v>0.74119999999999997</c:v>
                </c:pt>
                <c:pt idx="2783">
                  <c:v>0.74829999999999997</c:v>
                </c:pt>
                <c:pt idx="2784">
                  <c:v>0.74429999999999996</c:v>
                </c:pt>
                <c:pt idx="2785">
                  <c:v>0.74360000000000004</c:v>
                </c:pt>
                <c:pt idx="2786">
                  <c:v>0.74080000000000001</c:v>
                </c:pt>
                <c:pt idx="2787">
                  <c:v>0.74270000000000003</c:v>
                </c:pt>
                <c:pt idx="2788">
                  <c:v>0.74</c:v>
                </c:pt>
                <c:pt idx="2789">
                  <c:v>0.74039999999999995</c:v>
                </c:pt>
                <c:pt idx="2790">
                  <c:v>0.73839999999999995</c:v>
                </c:pt>
                <c:pt idx="2791">
                  <c:v>0.73540000000000005</c:v>
                </c:pt>
                <c:pt idx="2792">
                  <c:v>0.73980000000000001</c:v>
                </c:pt>
                <c:pt idx="2793">
                  <c:v>0.74180000000000001</c:v>
                </c:pt>
                <c:pt idx="2794">
                  <c:v>0.74229999999999996</c:v>
                </c:pt>
                <c:pt idx="2795">
                  <c:v>0.74250000000000005</c:v>
                </c:pt>
                <c:pt idx="2796">
                  <c:v>0.74280000000000002</c:v>
                </c:pt>
                <c:pt idx="2797">
                  <c:v>0.74250000000000005</c:v>
                </c:pt>
                <c:pt idx="2798">
                  <c:v>0.74219999999999997</c:v>
                </c:pt>
                <c:pt idx="2799">
                  <c:v>0.74260000000000004</c:v>
                </c:pt>
                <c:pt idx="2800">
                  <c:v>0.73950000000000005</c:v>
                </c:pt>
                <c:pt idx="2801">
                  <c:v>0.74080000000000001</c:v>
                </c:pt>
                <c:pt idx="2802">
                  <c:v>0.74060000000000004</c:v>
                </c:pt>
                <c:pt idx="2803">
                  <c:v>0.74309999999999998</c:v>
                </c:pt>
                <c:pt idx="2804">
                  <c:v>0.74519999999999997</c:v>
                </c:pt>
                <c:pt idx="2805">
                  <c:v>0.74280000000000002</c:v>
                </c:pt>
                <c:pt idx="2806">
                  <c:v>0.74370000000000003</c:v>
                </c:pt>
                <c:pt idx="2807">
                  <c:v>0.74429999999999996</c:v>
                </c:pt>
                <c:pt idx="2808">
                  <c:v>0.74219999999999997</c:v>
                </c:pt>
                <c:pt idx="2809">
                  <c:v>0.74339999999999995</c:v>
                </c:pt>
                <c:pt idx="2810">
                  <c:v>0.74339999999999995</c:v>
                </c:pt>
                <c:pt idx="2811">
                  <c:v>0.74309999999999998</c:v>
                </c:pt>
                <c:pt idx="2812">
                  <c:v>0.74</c:v>
                </c:pt>
                <c:pt idx="2813">
                  <c:v>0.73580000000000001</c:v>
                </c:pt>
                <c:pt idx="2814">
                  <c:v>0.73909999999999998</c:v>
                </c:pt>
                <c:pt idx="2815">
                  <c:v>0.74139999999999995</c:v>
                </c:pt>
                <c:pt idx="2816">
                  <c:v>0.74109999999999998</c:v>
                </c:pt>
                <c:pt idx="2817">
                  <c:v>0.74</c:v>
                </c:pt>
                <c:pt idx="2818">
                  <c:v>0.73770000000000002</c:v>
                </c:pt>
                <c:pt idx="2819">
                  <c:v>0.73929999999999996</c:v>
                </c:pt>
                <c:pt idx="2820">
                  <c:v>0.74160000000000004</c:v>
                </c:pt>
                <c:pt idx="2821">
                  <c:v>0.73839999999999995</c:v>
                </c:pt>
                <c:pt idx="2822">
                  <c:v>0.73939999999999995</c:v>
                </c:pt>
                <c:pt idx="2823">
                  <c:v>0.74019999999999997</c:v>
                </c:pt>
                <c:pt idx="2824">
                  <c:v>0.73819999999999997</c:v>
                </c:pt>
                <c:pt idx="2825">
                  <c:v>0.73819999999999997</c:v>
                </c:pt>
                <c:pt idx="2826">
                  <c:v>0.73870000000000002</c:v>
                </c:pt>
                <c:pt idx="2827">
                  <c:v>0.73660000000000003</c:v>
                </c:pt>
                <c:pt idx="2828">
                  <c:v>0.73729999999999996</c:v>
                </c:pt>
                <c:pt idx="2829">
                  <c:v>0.73550000000000004</c:v>
                </c:pt>
                <c:pt idx="2830">
                  <c:v>0.73629999999999995</c:v>
                </c:pt>
                <c:pt idx="2831">
                  <c:v>0.73670000000000002</c:v>
                </c:pt>
                <c:pt idx="2832">
                  <c:v>0.73719999999999997</c:v>
                </c:pt>
                <c:pt idx="2833">
                  <c:v>0.73629999999999995</c:v>
                </c:pt>
                <c:pt idx="2834">
                  <c:v>0.73199999999999998</c:v>
                </c:pt>
                <c:pt idx="2835">
                  <c:v>0.73709999999999998</c:v>
                </c:pt>
                <c:pt idx="2836">
                  <c:v>0.73680000000000001</c:v>
                </c:pt>
                <c:pt idx="2837">
                  <c:v>0.73860000000000003</c:v>
                </c:pt>
                <c:pt idx="2838">
                  <c:v>0.74239999999999995</c:v>
                </c:pt>
                <c:pt idx="2839">
                  <c:v>0.74319999999999997</c:v>
                </c:pt>
                <c:pt idx="2840">
                  <c:v>0.74219999999999997</c:v>
                </c:pt>
                <c:pt idx="2841">
                  <c:v>0.74209999999999998</c:v>
                </c:pt>
                <c:pt idx="2842">
                  <c:v>0.7409</c:v>
                </c:pt>
                <c:pt idx="2843">
                  <c:v>0.74239999999999995</c:v>
                </c:pt>
                <c:pt idx="2844">
                  <c:v>0.74229999999999996</c:v>
                </c:pt>
                <c:pt idx="2845">
                  <c:v>0.74850000000000005</c:v>
                </c:pt>
                <c:pt idx="2846">
                  <c:v>0.75270000000000004</c:v>
                </c:pt>
                <c:pt idx="2847">
                  <c:v>0.75260000000000005</c:v>
                </c:pt>
                <c:pt idx="2848">
                  <c:v>0.755</c:v>
                </c:pt>
                <c:pt idx="2849">
                  <c:v>0.754</c:v>
                </c:pt>
                <c:pt idx="2850">
                  <c:v>0.753</c:v>
                </c:pt>
                <c:pt idx="2851">
                  <c:v>0.75180000000000002</c:v>
                </c:pt>
                <c:pt idx="2852">
                  <c:v>0.75039999999999996</c:v>
                </c:pt>
                <c:pt idx="2853">
                  <c:v>0.75290000000000001</c:v>
                </c:pt>
                <c:pt idx="2854">
                  <c:v>0.75349999999999995</c:v>
                </c:pt>
                <c:pt idx="2855">
                  <c:v>0.75819999999999999</c:v>
                </c:pt>
                <c:pt idx="2856">
                  <c:v>0.76439999999999997</c:v>
                </c:pt>
                <c:pt idx="2857">
                  <c:v>0.75880000000000003</c:v>
                </c:pt>
                <c:pt idx="2858">
                  <c:v>0.76139999999999997</c:v>
                </c:pt>
                <c:pt idx="2859">
                  <c:v>0.75939999999999996</c:v>
                </c:pt>
                <c:pt idx="2860">
                  <c:v>0.76170000000000004</c:v>
                </c:pt>
                <c:pt idx="2861">
                  <c:v>0.76259999999999994</c:v>
                </c:pt>
                <c:pt idx="2862">
                  <c:v>0.76739999999999997</c:v>
                </c:pt>
                <c:pt idx="2863">
                  <c:v>0.76829999999999998</c:v>
                </c:pt>
                <c:pt idx="2864">
                  <c:v>0.7671</c:v>
                </c:pt>
                <c:pt idx="2865">
                  <c:v>0.77180000000000004</c:v>
                </c:pt>
                <c:pt idx="2866">
                  <c:v>0.76859999999999995</c:v>
                </c:pt>
                <c:pt idx="2867">
                  <c:v>0.76970000000000005</c:v>
                </c:pt>
                <c:pt idx="2868">
                  <c:v>0.76900000000000002</c:v>
                </c:pt>
                <c:pt idx="2869">
                  <c:v>0.77239999999999998</c:v>
                </c:pt>
                <c:pt idx="2870">
                  <c:v>0.77259999999999995</c:v>
                </c:pt>
                <c:pt idx="2871">
                  <c:v>0.77569999999999995</c:v>
                </c:pt>
                <c:pt idx="2872">
                  <c:v>0.77780000000000005</c:v>
                </c:pt>
                <c:pt idx="2873">
                  <c:v>0.77769999999999995</c:v>
                </c:pt>
                <c:pt idx="2874">
                  <c:v>0.77729999999999999</c:v>
                </c:pt>
                <c:pt idx="2875">
                  <c:v>0.77629999999999999</c:v>
                </c:pt>
                <c:pt idx="2876">
                  <c:v>0.77580000000000005</c:v>
                </c:pt>
                <c:pt idx="2877">
                  <c:v>0.77649999999999997</c:v>
                </c:pt>
                <c:pt idx="2878">
                  <c:v>0.77610000000000001</c:v>
                </c:pt>
                <c:pt idx="2879">
                  <c:v>0.77580000000000005</c:v>
                </c:pt>
                <c:pt idx="2880">
                  <c:v>0.77580000000000005</c:v>
                </c:pt>
                <c:pt idx="2881">
                  <c:v>0.77580000000000005</c:v>
                </c:pt>
                <c:pt idx="2882">
                  <c:v>0.77680000000000005</c:v>
                </c:pt>
                <c:pt idx="2883">
                  <c:v>0.77690000000000003</c:v>
                </c:pt>
                <c:pt idx="2884">
                  <c:v>0.77680000000000005</c:v>
                </c:pt>
                <c:pt idx="2885">
                  <c:v>0.77680000000000005</c:v>
                </c:pt>
                <c:pt idx="2886">
                  <c:v>0.77610000000000001</c:v>
                </c:pt>
                <c:pt idx="2887">
                  <c:v>0.77039999999999997</c:v>
                </c:pt>
                <c:pt idx="2888">
                  <c:v>0.76929999999999998</c:v>
                </c:pt>
                <c:pt idx="2889">
                  <c:v>0.76990000000000003</c:v>
                </c:pt>
                <c:pt idx="2890">
                  <c:v>0.76580000000000004</c:v>
                </c:pt>
                <c:pt idx="2891">
                  <c:v>0.76429999999999998</c:v>
                </c:pt>
                <c:pt idx="2892">
                  <c:v>0.76700000000000002</c:v>
                </c:pt>
                <c:pt idx="2893">
                  <c:v>0.77059999999999995</c:v>
                </c:pt>
                <c:pt idx="2894">
                  <c:v>0.76129999999999998</c:v>
                </c:pt>
                <c:pt idx="2895">
                  <c:v>0.75929999999999997</c:v>
                </c:pt>
                <c:pt idx="2896">
                  <c:v>0.76160000000000005</c:v>
                </c:pt>
                <c:pt idx="2897">
                  <c:v>0.75960000000000005</c:v>
                </c:pt>
                <c:pt idx="2898">
                  <c:v>0.76129999999999998</c:v>
                </c:pt>
                <c:pt idx="2899">
                  <c:v>0.76739999999999997</c:v>
                </c:pt>
                <c:pt idx="2900">
                  <c:v>0.77010000000000001</c:v>
                </c:pt>
                <c:pt idx="2901">
                  <c:v>0.76980000000000004</c:v>
                </c:pt>
                <c:pt idx="2902">
                  <c:v>0.77110000000000001</c:v>
                </c:pt>
                <c:pt idx="2903">
                  <c:v>0.77110000000000001</c:v>
                </c:pt>
                <c:pt idx="2904">
                  <c:v>0.76249999999999996</c:v>
                </c:pt>
                <c:pt idx="2905">
                  <c:v>0.7601</c:v>
                </c:pt>
                <c:pt idx="2906">
                  <c:v>0.75829999999999997</c:v>
                </c:pt>
                <c:pt idx="2907">
                  <c:v>0.75819999999999999</c:v>
                </c:pt>
                <c:pt idx="2908">
                  <c:v>0.75849999999999995</c:v>
                </c:pt>
                <c:pt idx="2909">
                  <c:v>0.75900000000000001</c:v>
                </c:pt>
                <c:pt idx="2910">
                  <c:v>0.75280000000000002</c:v>
                </c:pt>
                <c:pt idx="2911">
                  <c:v>0.74550000000000005</c:v>
                </c:pt>
                <c:pt idx="2912">
                  <c:v>0.747</c:v>
                </c:pt>
                <c:pt idx="2913">
                  <c:v>0.7419</c:v>
                </c:pt>
                <c:pt idx="2914">
                  <c:v>0.74370000000000003</c:v>
                </c:pt>
                <c:pt idx="2915">
                  <c:v>0.747</c:v>
                </c:pt>
                <c:pt idx="2916">
                  <c:v>0.74260000000000004</c:v>
                </c:pt>
                <c:pt idx="2917">
                  <c:v>0.74660000000000004</c:v>
                </c:pt>
                <c:pt idx="2918">
                  <c:v>0.74590000000000001</c:v>
                </c:pt>
                <c:pt idx="2919">
                  <c:v>0.7379</c:v>
                </c:pt>
                <c:pt idx="2920">
                  <c:v>0.73770000000000002</c:v>
                </c:pt>
                <c:pt idx="2921">
                  <c:v>0.74180000000000001</c:v>
                </c:pt>
                <c:pt idx="2922">
                  <c:v>0.74350000000000005</c:v>
                </c:pt>
                <c:pt idx="2923">
                  <c:v>0.73919999999999997</c:v>
                </c:pt>
                <c:pt idx="2924">
                  <c:v>0.73760000000000003</c:v>
                </c:pt>
                <c:pt idx="2925">
                  <c:v>0.7399</c:v>
                </c:pt>
                <c:pt idx="2926">
                  <c:v>0.73950000000000005</c:v>
                </c:pt>
                <c:pt idx="2927">
                  <c:v>0.73640000000000005</c:v>
                </c:pt>
                <c:pt idx="2928">
                  <c:v>0.73509999999999998</c:v>
                </c:pt>
                <c:pt idx="2929">
                  <c:v>0.73729999999999996</c:v>
                </c:pt>
                <c:pt idx="2930">
                  <c:v>0.73370000000000002</c:v>
                </c:pt>
                <c:pt idx="2931">
                  <c:v>0.73870000000000002</c:v>
                </c:pt>
                <c:pt idx="2932">
                  <c:v>0.73860000000000003</c:v>
                </c:pt>
                <c:pt idx="2933">
                  <c:v>0.74099999999999999</c:v>
                </c:pt>
                <c:pt idx="2934">
                  <c:v>0.74129999999999996</c:v>
                </c:pt>
                <c:pt idx="2935">
                  <c:v>0.74550000000000005</c:v>
                </c:pt>
                <c:pt idx="2936">
                  <c:v>0.74590000000000001</c:v>
                </c:pt>
                <c:pt idx="2937">
                  <c:v>0.74650000000000005</c:v>
                </c:pt>
                <c:pt idx="2938">
                  <c:v>0.74660000000000004</c:v>
                </c:pt>
                <c:pt idx="2939">
                  <c:v>0.74180000000000001</c:v>
                </c:pt>
                <c:pt idx="2940">
                  <c:v>0.72929999999999995</c:v>
                </c:pt>
                <c:pt idx="2941">
                  <c:v>0.72550000000000003</c:v>
                </c:pt>
                <c:pt idx="2942">
                  <c:v>0.72809999999999997</c:v>
                </c:pt>
                <c:pt idx="2943">
                  <c:v>0.72260000000000002</c:v>
                </c:pt>
                <c:pt idx="2944">
                  <c:v>0.72650000000000003</c:v>
                </c:pt>
                <c:pt idx="2945">
                  <c:v>0.72750000000000004</c:v>
                </c:pt>
                <c:pt idx="2946">
                  <c:v>0.7268</c:v>
                </c:pt>
                <c:pt idx="2947">
                  <c:v>0.72709999999999997</c:v>
                </c:pt>
                <c:pt idx="2948">
                  <c:v>0.72629999999999995</c:v>
                </c:pt>
                <c:pt idx="2949">
                  <c:v>0.72799999999999998</c:v>
                </c:pt>
                <c:pt idx="2950">
                  <c:v>0.73429999999999995</c:v>
                </c:pt>
                <c:pt idx="2951">
                  <c:v>0.73240000000000005</c:v>
                </c:pt>
                <c:pt idx="2952">
                  <c:v>0.73870000000000002</c:v>
                </c:pt>
                <c:pt idx="2953">
                  <c:v>0.73929999999999996</c:v>
                </c:pt>
                <c:pt idx="2954">
                  <c:v>0.73709999999999998</c:v>
                </c:pt>
                <c:pt idx="2955">
                  <c:v>0.74019999999999997</c:v>
                </c:pt>
                <c:pt idx="2956">
                  <c:v>0.73909999999999998</c:v>
                </c:pt>
                <c:pt idx="2957">
                  <c:v>0.74229999999999996</c:v>
                </c:pt>
                <c:pt idx="2958">
                  <c:v>0.74199999999999999</c:v>
                </c:pt>
                <c:pt idx="2959">
                  <c:v>0.74199999999999999</c:v>
                </c:pt>
                <c:pt idx="2960">
                  <c:v>0.74199999999999999</c:v>
                </c:pt>
                <c:pt idx="2961">
                  <c:v>0.74560000000000004</c:v>
                </c:pt>
                <c:pt idx="2962">
                  <c:v>0.74070000000000003</c:v>
                </c:pt>
                <c:pt idx="2963">
                  <c:v>0.73570000000000002</c:v>
                </c:pt>
                <c:pt idx="2964">
                  <c:v>0.73629999999999995</c:v>
                </c:pt>
                <c:pt idx="2965">
                  <c:v>0.7248</c:v>
                </c:pt>
                <c:pt idx="2966">
                  <c:v>0.7248</c:v>
                </c:pt>
                <c:pt idx="2967">
                  <c:v>0.72760000000000002</c:v>
                </c:pt>
                <c:pt idx="2968">
                  <c:v>0.72709999999999997</c:v>
                </c:pt>
                <c:pt idx="2969">
                  <c:v>0.72989999999999999</c:v>
                </c:pt>
                <c:pt idx="2970">
                  <c:v>0.72819999999999996</c:v>
                </c:pt>
                <c:pt idx="2971">
                  <c:v>0.72850000000000004</c:v>
                </c:pt>
                <c:pt idx="2972">
                  <c:v>0.72950000000000004</c:v>
                </c:pt>
                <c:pt idx="2973">
                  <c:v>0.73480000000000001</c:v>
                </c:pt>
                <c:pt idx="2974">
                  <c:v>0.74260000000000004</c:v>
                </c:pt>
                <c:pt idx="2975">
                  <c:v>0.74109999999999998</c:v>
                </c:pt>
                <c:pt idx="2976">
                  <c:v>0.73819999999999997</c:v>
                </c:pt>
                <c:pt idx="2977">
                  <c:v>0.72860000000000003</c:v>
                </c:pt>
                <c:pt idx="2978">
                  <c:v>0.72950000000000004</c:v>
                </c:pt>
                <c:pt idx="2979">
                  <c:v>0.73499999999999999</c:v>
                </c:pt>
                <c:pt idx="2980">
                  <c:v>0.73680000000000001</c:v>
                </c:pt>
                <c:pt idx="2981">
                  <c:v>0.73229999999999995</c:v>
                </c:pt>
                <c:pt idx="2982">
                  <c:v>0.73140000000000005</c:v>
                </c:pt>
                <c:pt idx="2983">
                  <c:v>0.73029999999999995</c:v>
                </c:pt>
                <c:pt idx="2984">
                  <c:v>0.71960000000000002</c:v>
                </c:pt>
                <c:pt idx="2985">
                  <c:v>0.71950000000000003</c:v>
                </c:pt>
                <c:pt idx="2986">
                  <c:v>0.71870000000000001</c:v>
                </c:pt>
                <c:pt idx="2987">
                  <c:v>0.7198</c:v>
                </c:pt>
                <c:pt idx="2988">
                  <c:v>0.71819999999999995</c:v>
                </c:pt>
                <c:pt idx="2989">
                  <c:v>0.72289999999999999</c:v>
                </c:pt>
                <c:pt idx="2990">
                  <c:v>0.71970000000000001</c:v>
                </c:pt>
                <c:pt idx="2991">
                  <c:v>0.72119999999999995</c:v>
                </c:pt>
                <c:pt idx="2992">
                  <c:v>0.71379999999999999</c:v>
                </c:pt>
                <c:pt idx="2993">
                  <c:v>0.71250000000000002</c:v>
                </c:pt>
                <c:pt idx="2994">
                  <c:v>0.71599999999999997</c:v>
                </c:pt>
                <c:pt idx="2995">
                  <c:v>0.71430000000000005</c:v>
                </c:pt>
                <c:pt idx="2996">
                  <c:v>0.71430000000000005</c:v>
                </c:pt>
                <c:pt idx="2997">
                  <c:v>0.71930000000000005</c:v>
                </c:pt>
                <c:pt idx="2998">
                  <c:v>0.72</c:v>
                </c:pt>
                <c:pt idx="2999">
                  <c:v>0.72040000000000004</c:v>
                </c:pt>
                <c:pt idx="3000">
                  <c:v>0.72060000000000002</c:v>
                </c:pt>
                <c:pt idx="3001">
                  <c:v>0.71740000000000004</c:v>
                </c:pt>
                <c:pt idx="3002">
                  <c:v>0.72140000000000004</c:v>
                </c:pt>
                <c:pt idx="3003">
                  <c:v>0.72130000000000005</c:v>
                </c:pt>
                <c:pt idx="3004">
                  <c:v>0.72689999999999999</c:v>
                </c:pt>
                <c:pt idx="3005">
                  <c:v>0.72719999999999996</c:v>
                </c:pt>
                <c:pt idx="3006">
                  <c:v>0.72430000000000005</c:v>
                </c:pt>
                <c:pt idx="3007">
                  <c:v>0.72450000000000003</c:v>
                </c:pt>
                <c:pt idx="3008">
                  <c:v>0.72499999999999998</c:v>
                </c:pt>
                <c:pt idx="3009">
                  <c:v>0.7198</c:v>
                </c:pt>
                <c:pt idx="3010">
                  <c:v>0.72150000000000003</c:v>
                </c:pt>
                <c:pt idx="3011">
                  <c:v>0.71879999999999999</c:v>
                </c:pt>
                <c:pt idx="3012">
                  <c:v>0.71530000000000005</c:v>
                </c:pt>
                <c:pt idx="3013">
                  <c:v>0.71579999999999999</c:v>
                </c:pt>
                <c:pt idx="3014">
                  <c:v>0.70860000000000001</c:v>
                </c:pt>
                <c:pt idx="3015">
                  <c:v>0.71089999999999998</c:v>
                </c:pt>
                <c:pt idx="3016">
                  <c:v>0.70930000000000004</c:v>
                </c:pt>
                <c:pt idx="3017">
                  <c:v>0.71130000000000004</c:v>
                </c:pt>
                <c:pt idx="3018">
                  <c:v>0.71150000000000002</c:v>
                </c:pt>
                <c:pt idx="3019">
                  <c:v>0.71440000000000003</c:v>
                </c:pt>
                <c:pt idx="3020">
                  <c:v>0.71589999999999998</c:v>
                </c:pt>
                <c:pt idx="3021">
                  <c:v>0.71730000000000005</c:v>
                </c:pt>
                <c:pt idx="3022">
                  <c:v>0.7198</c:v>
                </c:pt>
                <c:pt idx="3023">
                  <c:v>0.7319</c:v>
                </c:pt>
                <c:pt idx="3024">
                  <c:v>0.73019999999999996</c:v>
                </c:pt>
                <c:pt idx="3025">
                  <c:v>0.73089999999999999</c:v>
                </c:pt>
                <c:pt idx="3026">
                  <c:v>0.73329999999999995</c:v>
                </c:pt>
                <c:pt idx="3027">
                  <c:v>0.7319</c:v>
                </c:pt>
                <c:pt idx="3028">
                  <c:v>0.73370000000000002</c:v>
                </c:pt>
                <c:pt idx="3029">
                  <c:v>0.73509999999999998</c:v>
                </c:pt>
                <c:pt idx="3030">
                  <c:v>0.7359</c:v>
                </c:pt>
                <c:pt idx="3031">
                  <c:v>0.73899999999999999</c:v>
                </c:pt>
                <c:pt idx="3032">
                  <c:v>0.74050000000000005</c:v>
                </c:pt>
                <c:pt idx="3033">
                  <c:v>0.73740000000000006</c:v>
                </c:pt>
                <c:pt idx="3034">
                  <c:v>0.73460000000000003</c:v>
                </c:pt>
                <c:pt idx="3035">
                  <c:v>0.7389</c:v>
                </c:pt>
                <c:pt idx="3036">
                  <c:v>0.74060000000000004</c:v>
                </c:pt>
                <c:pt idx="3037">
                  <c:v>0.73929999999999996</c:v>
                </c:pt>
                <c:pt idx="3038">
                  <c:v>0.73960000000000004</c:v>
                </c:pt>
                <c:pt idx="3039">
                  <c:v>0.73650000000000004</c:v>
                </c:pt>
                <c:pt idx="3040">
                  <c:v>0.74119999999999997</c:v>
                </c:pt>
                <c:pt idx="3041">
                  <c:v>0.74350000000000005</c:v>
                </c:pt>
                <c:pt idx="3042">
                  <c:v>0.74409999999999998</c:v>
                </c:pt>
                <c:pt idx="3043">
                  <c:v>0.74080000000000001</c:v>
                </c:pt>
                <c:pt idx="3044">
                  <c:v>0.74429999999999996</c:v>
                </c:pt>
                <c:pt idx="3045">
                  <c:v>0.74109999999999998</c:v>
                </c:pt>
                <c:pt idx="3046">
                  <c:v>0.74139999999999995</c:v>
                </c:pt>
                <c:pt idx="3047">
                  <c:v>0.73299999999999998</c:v>
                </c:pt>
                <c:pt idx="3048">
                  <c:v>0.73329999999999995</c:v>
                </c:pt>
                <c:pt idx="3049">
                  <c:v>0.73540000000000005</c:v>
                </c:pt>
                <c:pt idx="3050">
                  <c:v>0.73680000000000001</c:v>
                </c:pt>
                <c:pt idx="3051">
                  <c:v>0.73780000000000001</c:v>
                </c:pt>
                <c:pt idx="3052">
                  <c:v>0.73950000000000005</c:v>
                </c:pt>
                <c:pt idx="3053">
                  <c:v>0.73939999999999995</c:v>
                </c:pt>
                <c:pt idx="3054">
                  <c:v>0.74260000000000004</c:v>
                </c:pt>
                <c:pt idx="3055">
                  <c:v>0.74260000000000004</c:v>
                </c:pt>
                <c:pt idx="3056">
                  <c:v>0.74980000000000002</c:v>
                </c:pt>
                <c:pt idx="3057">
                  <c:v>0.75229999999999997</c:v>
                </c:pt>
                <c:pt idx="3058">
                  <c:v>0.75239999999999996</c:v>
                </c:pt>
                <c:pt idx="3059">
                  <c:v>0.74960000000000004</c:v>
                </c:pt>
                <c:pt idx="3060">
                  <c:v>0.75070000000000003</c:v>
                </c:pt>
                <c:pt idx="3061">
                  <c:v>0.75080000000000002</c:v>
                </c:pt>
                <c:pt idx="3062">
                  <c:v>0.75129999999999997</c:v>
                </c:pt>
                <c:pt idx="3063">
                  <c:v>0.75070000000000003</c:v>
                </c:pt>
                <c:pt idx="3064">
                  <c:v>0.75260000000000005</c:v>
                </c:pt>
                <c:pt idx="3065">
                  <c:v>0.752</c:v>
                </c:pt>
                <c:pt idx="3066">
                  <c:v>0.75760000000000005</c:v>
                </c:pt>
                <c:pt idx="3067">
                  <c:v>0.7651</c:v>
                </c:pt>
                <c:pt idx="3068">
                  <c:v>0.76019999999999999</c:v>
                </c:pt>
                <c:pt idx="3069">
                  <c:v>0.76100000000000001</c:v>
                </c:pt>
                <c:pt idx="3070">
                  <c:v>0.75580000000000003</c:v>
                </c:pt>
                <c:pt idx="3071">
                  <c:v>0.75770000000000004</c:v>
                </c:pt>
                <c:pt idx="3072">
                  <c:v>0.75729999999999997</c:v>
                </c:pt>
                <c:pt idx="3073">
                  <c:v>0.75600000000000001</c:v>
                </c:pt>
                <c:pt idx="3074">
                  <c:v>0.75039999999999996</c:v>
                </c:pt>
                <c:pt idx="3075">
                  <c:v>0.74870000000000003</c:v>
                </c:pt>
                <c:pt idx="3076">
                  <c:v>0.75209999999999999</c:v>
                </c:pt>
                <c:pt idx="3077">
                  <c:v>0.74960000000000004</c:v>
                </c:pt>
                <c:pt idx="3078">
                  <c:v>0.75360000000000005</c:v>
                </c:pt>
                <c:pt idx="3079">
                  <c:v>0.755</c:v>
                </c:pt>
                <c:pt idx="3080">
                  <c:v>0.76049999999999995</c:v>
                </c:pt>
                <c:pt idx="3081">
                  <c:v>0.76429999999999998</c:v>
                </c:pt>
                <c:pt idx="3082">
                  <c:v>0.76749999999999996</c:v>
                </c:pt>
                <c:pt idx="3083">
                  <c:v>0.76380000000000003</c:v>
                </c:pt>
                <c:pt idx="3084">
                  <c:v>0.75970000000000004</c:v>
                </c:pt>
                <c:pt idx="3085">
                  <c:v>0.76419999999999999</c:v>
                </c:pt>
                <c:pt idx="3086">
                  <c:v>0.75919999999999999</c:v>
                </c:pt>
                <c:pt idx="3087">
                  <c:v>0.76180000000000003</c:v>
                </c:pt>
                <c:pt idx="3088">
                  <c:v>0.76419999999999999</c:v>
                </c:pt>
                <c:pt idx="3089">
                  <c:v>0.76080000000000003</c:v>
                </c:pt>
                <c:pt idx="3090">
                  <c:v>0.75829999999999997</c:v>
                </c:pt>
                <c:pt idx="3091">
                  <c:v>0.7571</c:v>
                </c:pt>
                <c:pt idx="3092">
                  <c:v>0.75109999999999999</c:v>
                </c:pt>
                <c:pt idx="3093">
                  <c:v>0.75829999999999997</c:v>
                </c:pt>
                <c:pt idx="3094">
                  <c:v>0.75180000000000002</c:v>
                </c:pt>
                <c:pt idx="3095">
                  <c:v>0.74890000000000001</c:v>
                </c:pt>
                <c:pt idx="3096">
                  <c:v>0.74990000000000001</c:v>
                </c:pt>
                <c:pt idx="3097">
                  <c:v>0.74909999999999999</c:v>
                </c:pt>
                <c:pt idx="3098">
                  <c:v>0.75670000000000004</c:v>
                </c:pt>
                <c:pt idx="3099">
                  <c:v>0.75360000000000005</c:v>
                </c:pt>
                <c:pt idx="3100">
                  <c:v>0.75929999999999997</c:v>
                </c:pt>
                <c:pt idx="3101">
                  <c:v>0.75660000000000005</c:v>
                </c:pt>
                <c:pt idx="3102">
                  <c:v>0.76029999999999998</c:v>
                </c:pt>
                <c:pt idx="3103">
                  <c:v>0.75780000000000003</c:v>
                </c:pt>
                <c:pt idx="3104">
                  <c:v>0.75790000000000002</c:v>
                </c:pt>
                <c:pt idx="3105">
                  <c:v>0.75749999999999995</c:v>
                </c:pt>
                <c:pt idx="3106">
                  <c:v>0.75429999999999997</c:v>
                </c:pt>
                <c:pt idx="3107">
                  <c:v>0.75129999999999997</c:v>
                </c:pt>
                <c:pt idx="3108">
                  <c:v>0.74270000000000003</c:v>
                </c:pt>
                <c:pt idx="3109">
                  <c:v>0.73850000000000005</c:v>
                </c:pt>
                <c:pt idx="3110">
                  <c:v>0.73829999999999996</c:v>
                </c:pt>
                <c:pt idx="3111">
                  <c:v>0.73839999999999995</c:v>
                </c:pt>
                <c:pt idx="3112">
                  <c:v>0.73960000000000004</c:v>
                </c:pt>
                <c:pt idx="3113">
                  <c:v>0.7389</c:v>
                </c:pt>
                <c:pt idx="3114">
                  <c:v>0.74050000000000005</c:v>
                </c:pt>
                <c:pt idx="3115">
                  <c:v>0.74280000000000002</c:v>
                </c:pt>
                <c:pt idx="3116">
                  <c:v>0.74580000000000002</c:v>
                </c:pt>
                <c:pt idx="3117">
                  <c:v>0.74160000000000004</c:v>
                </c:pt>
                <c:pt idx="3118">
                  <c:v>0.74029999999999996</c:v>
                </c:pt>
                <c:pt idx="3119">
                  <c:v>0.73939999999999995</c:v>
                </c:pt>
                <c:pt idx="3120">
                  <c:v>0.74029999999999996</c:v>
                </c:pt>
                <c:pt idx="3121">
                  <c:v>0.74529999999999996</c:v>
                </c:pt>
                <c:pt idx="3122">
                  <c:v>0.75070000000000003</c:v>
                </c:pt>
                <c:pt idx="3123">
                  <c:v>0.74690000000000001</c:v>
                </c:pt>
                <c:pt idx="3124">
                  <c:v>0.74299999999999999</c:v>
                </c:pt>
                <c:pt idx="3125">
                  <c:v>0.74029999999999996</c:v>
                </c:pt>
                <c:pt idx="3126">
                  <c:v>0.73780000000000001</c:v>
                </c:pt>
                <c:pt idx="3127">
                  <c:v>0.74199999999999999</c:v>
                </c:pt>
                <c:pt idx="3128">
                  <c:v>0.74080000000000001</c:v>
                </c:pt>
                <c:pt idx="3129">
                  <c:v>0.7399</c:v>
                </c:pt>
                <c:pt idx="3130">
                  <c:v>0.73760000000000003</c:v>
                </c:pt>
                <c:pt idx="3131">
                  <c:v>0.73770000000000002</c:v>
                </c:pt>
                <c:pt idx="3132">
                  <c:v>0.74209999999999998</c:v>
                </c:pt>
                <c:pt idx="3133">
                  <c:v>0.74490000000000001</c:v>
                </c:pt>
                <c:pt idx="3134">
                  <c:v>0.74060000000000004</c:v>
                </c:pt>
                <c:pt idx="3135">
                  <c:v>0.74139999999999995</c:v>
                </c:pt>
                <c:pt idx="3136">
                  <c:v>0.74170000000000003</c:v>
                </c:pt>
                <c:pt idx="3137">
                  <c:v>0.74129999999999996</c:v>
                </c:pt>
                <c:pt idx="3138">
                  <c:v>0.74280000000000002</c:v>
                </c:pt>
                <c:pt idx="3139">
                  <c:v>0.7409</c:v>
                </c:pt>
                <c:pt idx="3140">
                  <c:v>0.7409</c:v>
                </c:pt>
                <c:pt idx="3141">
                  <c:v>0.7409</c:v>
                </c:pt>
                <c:pt idx="3142">
                  <c:v>0.74380000000000002</c:v>
                </c:pt>
                <c:pt idx="3143">
                  <c:v>0.74629999999999996</c:v>
                </c:pt>
                <c:pt idx="3144">
                  <c:v>0.745</c:v>
                </c:pt>
                <c:pt idx="3145">
                  <c:v>0.745</c:v>
                </c:pt>
                <c:pt idx="3146">
                  <c:v>0.74399999999999999</c:v>
                </c:pt>
                <c:pt idx="3147">
                  <c:v>0.74619999999999997</c:v>
                </c:pt>
                <c:pt idx="3148">
                  <c:v>0.745</c:v>
                </c:pt>
                <c:pt idx="3149">
                  <c:v>0.74080000000000001</c:v>
                </c:pt>
                <c:pt idx="3150">
                  <c:v>0.74719999999999998</c:v>
                </c:pt>
                <c:pt idx="3151">
                  <c:v>0.74619999999999997</c:v>
                </c:pt>
                <c:pt idx="3152">
                  <c:v>0.74529999999999996</c:v>
                </c:pt>
                <c:pt idx="3153">
                  <c:v>0.74580000000000002</c:v>
                </c:pt>
                <c:pt idx="3154">
                  <c:v>0.74399999999999999</c:v>
                </c:pt>
                <c:pt idx="3155">
                  <c:v>0.74460000000000004</c:v>
                </c:pt>
                <c:pt idx="3156">
                  <c:v>0.74470000000000003</c:v>
                </c:pt>
                <c:pt idx="3157">
                  <c:v>0.74329999999999996</c:v>
                </c:pt>
                <c:pt idx="3158">
                  <c:v>0.74119999999999997</c:v>
                </c:pt>
                <c:pt idx="3159">
                  <c:v>0.73929999999999996</c:v>
                </c:pt>
                <c:pt idx="3160">
                  <c:v>0.73460000000000003</c:v>
                </c:pt>
                <c:pt idx="3161">
                  <c:v>0.73360000000000003</c:v>
                </c:pt>
                <c:pt idx="3162">
                  <c:v>0.73270000000000002</c:v>
                </c:pt>
                <c:pt idx="3163">
                  <c:v>0.73680000000000001</c:v>
                </c:pt>
                <c:pt idx="3164">
                  <c:v>0.73680000000000001</c:v>
                </c:pt>
                <c:pt idx="3165">
                  <c:v>0.73939999999999995</c:v>
                </c:pt>
                <c:pt idx="3166">
                  <c:v>0.74219999999999997</c:v>
                </c:pt>
                <c:pt idx="3167">
                  <c:v>0.74470000000000003</c:v>
                </c:pt>
                <c:pt idx="3168">
                  <c:v>0.74580000000000002</c:v>
                </c:pt>
                <c:pt idx="3169">
                  <c:v>0.75029999999999997</c:v>
                </c:pt>
                <c:pt idx="3170">
                  <c:v>0.75780000000000003</c:v>
                </c:pt>
                <c:pt idx="3171">
                  <c:v>0.75560000000000005</c:v>
                </c:pt>
                <c:pt idx="3172">
                  <c:v>0.75280000000000002</c:v>
                </c:pt>
                <c:pt idx="3173">
                  <c:v>0.75460000000000005</c:v>
                </c:pt>
                <c:pt idx="3174">
                  <c:v>0.75629999999999997</c:v>
                </c:pt>
                <c:pt idx="3175">
                  <c:v>0.75639999999999996</c:v>
                </c:pt>
                <c:pt idx="3176">
                  <c:v>0.75570000000000004</c:v>
                </c:pt>
                <c:pt idx="3177">
                  <c:v>0.75409999999999999</c:v>
                </c:pt>
                <c:pt idx="3178">
                  <c:v>0.75480000000000003</c:v>
                </c:pt>
                <c:pt idx="3179">
                  <c:v>0.75539999999999996</c:v>
                </c:pt>
                <c:pt idx="3180">
                  <c:v>0.75760000000000005</c:v>
                </c:pt>
                <c:pt idx="3181">
                  <c:v>0.7571</c:v>
                </c:pt>
                <c:pt idx="3182">
                  <c:v>0.75439999999999996</c:v>
                </c:pt>
                <c:pt idx="3183">
                  <c:v>0.753</c:v>
                </c:pt>
                <c:pt idx="3184">
                  <c:v>0.75519999999999998</c:v>
                </c:pt>
                <c:pt idx="3185">
                  <c:v>0.75790000000000002</c:v>
                </c:pt>
                <c:pt idx="3186">
                  <c:v>0.75829999999999997</c:v>
                </c:pt>
                <c:pt idx="3187">
                  <c:v>0.75939999999999996</c:v>
                </c:pt>
                <c:pt idx="3188">
                  <c:v>0.76349999999999996</c:v>
                </c:pt>
                <c:pt idx="3189">
                  <c:v>0.76449999999999996</c:v>
                </c:pt>
                <c:pt idx="3190">
                  <c:v>0.76339999999999997</c:v>
                </c:pt>
                <c:pt idx="3191">
                  <c:v>0.75880000000000003</c:v>
                </c:pt>
                <c:pt idx="3192">
                  <c:v>0.76270000000000004</c:v>
                </c:pt>
                <c:pt idx="3193">
                  <c:v>0.7641</c:v>
                </c:pt>
                <c:pt idx="3194">
                  <c:v>0.76600000000000001</c:v>
                </c:pt>
                <c:pt idx="3195">
                  <c:v>0.76759999999999995</c:v>
                </c:pt>
                <c:pt idx="3196">
                  <c:v>0.76890000000000003</c:v>
                </c:pt>
                <c:pt idx="3197">
                  <c:v>0.77380000000000004</c:v>
                </c:pt>
                <c:pt idx="3198">
                  <c:v>0.77600000000000002</c:v>
                </c:pt>
                <c:pt idx="3199">
                  <c:v>0.77400000000000002</c:v>
                </c:pt>
                <c:pt idx="3200">
                  <c:v>0.77329999999999999</c:v>
                </c:pt>
                <c:pt idx="3201">
                  <c:v>0.77580000000000005</c:v>
                </c:pt>
                <c:pt idx="3202">
                  <c:v>0.77390000000000003</c:v>
                </c:pt>
                <c:pt idx="3203">
                  <c:v>0.7752</c:v>
                </c:pt>
                <c:pt idx="3204">
                  <c:v>0.77700000000000002</c:v>
                </c:pt>
                <c:pt idx="3205">
                  <c:v>0.77459999999999996</c:v>
                </c:pt>
                <c:pt idx="3206">
                  <c:v>0.7732</c:v>
                </c:pt>
                <c:pt idx="3207">
                  <c:v>0.7752</c:v>
                </c:pt>
                <c:pt idx="3208">
                  <c:v>0.78269999999999995</c:v>
                </c:pt>
                <c:pt idx="3209">
                  <c:v>0.77929999999999999</c:v>
                </c:pt>
                <c:pt idx="3210">
                  <c:v>0.78400000000000003</c:v>
                </c:pt>
                <c:pt idx="3211">
                  <c:v>0.78490000000000004</c:v>
                </c:pt>
                <c:pt idx="3212">
                  <c:v>0.78049999999999997</c:v>
                </c:pt>
                <c:pt idx="3213">
                  <c:v>0.78420000000000001</c:v>
                </c:pt>
                <c:pt idx="3214">
                  <c:v>0.78420000000000001</c:v>
                </c:pt>
                <c:pt idx="3215">
                  <c:v>0.78420000000000001</c:v>
                </c:pt>
                <c:pt idx="3216">
                  <c:v>0.7873</c:v>
                </c:pt>
                <c:pt idx="3217">
                  <c:v>0.78920000000000001</c:v>
                </c:pt>
                <c:pt idx="3218">
                  <c:v>0.79100000000000004</c:v>
                </c:pt>
                <c:pt idx="3219">
                  <c:v>0.79110000000000003</c:v>
                </c:pt>
                <c:pt idx="3220">
                  <c:v>0.79210000000000003</c:v>
                </c:pt>
                <c:pt idx="3221">
                  <c:v>0.78769999999999996</c:v>
                </c:pt>
                <c:pt idx="3222">
                  <c:v>0.78580000000000005</c:v>
                </c:pt>
                <c:pt idx="3223">
                  <c:v>0.7863</c:v>
                </c:pt>
                <c:pt idx="3224">
                  <c:v>0.78200000000000003</c:v>
                </c:pt>
                <c:pt idx="3225">
                  <c:v>0.78590000000000004</c:v>
                </c:pt>
                <c:pt idx="3226">
                  <c:v>0.78910000000000002</c:v>
                </c:pt>
                <c:pt idx="3227">
                  <c:v>0.78620000000000001</c:v>
                </c:pt>
                <c:pt idx="3228">
                  <c:v>0.78620000000000001</c:v>
                </c:pt>
                <c:pt idx="3229">
                  <c:v>0.79</c:v>
                </c:pt>
                <c:pt idx="3230">
                  <c:v>0.7873</c:v>
                </c:pt>
                <c:pt idx="3231">
                  <c:v>0.78539999999999999</c:v>
                </c:pt>
                <c:pt idx="3232">
                  <c:v>0.79</c:v>
                </c:pt>
                <c:pt idx="3233">
                  <c:v>0.7944</c:v>
                </c:pt>
                <c:pt idx="3234">
                  <c:v>0.79559999999999997</c:v>
                </c:pt>
                <c:pt idx="3235">
                  <c:v>0.79690000000000005</c:v>
                </c:pt>
                <c:pt idx="3236">
                  <c:v>0.7974</c:v>
                </c:pt>
                <c:pt idx="3237">
                  <c:v>0.8014</c:v>
                </c:pt>
                <c:pt idx="3238">
                  <c:v>0.79930000000000001</c:v>
                </c:pt>
                <c:pt idx="3239">
                  <c:v>0.80159999999999998</c:v>
                </c:pt>
                <c:pt idx="3240">
                  <c:v>0.79920000000000002</c:v>
                </c:pt>
                <c:pt idx="3241">
                  <c:v>0.80110000000000003</c:v>
                </c:pt>
                <c:pt idx="3242">
                  <c:v>0.80220000000000002</c:v>
                </c:pt>
                <c:pt idx="3243">
                  <c:v>0.80179999999999996</c:v>
                </c:pt>
                <c:pt idx="3244">
                  <c:v>0.80230000000000001</c:v>
                </c:pt>
                <c:pt idx="3245">
                  <c:v>0.79890000000000005</c:v>
                </c:pt>
                <c:pt idx="3246">
                  <c:v>0.79320000000000002</c:v>
                </c:pt>
                <c:pt idx="3247">
                  <c:v>0.79369999999999996</c:v>
                </c:pt>
                <c:pt idx="3248">
                  <c:v>0.79330000000000001</c:v>
                </c:pt>
                <c:pt idx="3249">
                  <c:v>0.79010000000000002</c:v>
                </c:pt>
                <c:pt idx="3250">
                  <c:v>0.79139999999999999</c:v>
                </c:pt>
                <c:pt idx="3251">
                  <c:v>0.79330000000000001</c:v>
                </c:pt>
                <c:pt idx="3252">
                  <c:v>0.79720000000000002</c:v>
                </c:pt>
                <c:pt idx="3253">
                  <c:v>0.79769999999999996</c:v>
                </c:pt>
                <c:pt idx="3254">
                  <c:v>0.79830000000000001</c:v>
                </c:pt>
                <c:pt idx="3255">
                  <c:v>0.80069999999999997</c:v>
                </c:pt>
                <c:pt idx="3256">
                  <c:v>0.79879999999999995</c:v>
                </c:pt>
                <c:pt idx="3257">
                  <c:v>0.79430000000000001</c:v>
                </c:pt>
                <c:pt idx="3258">
                  <c:v>0.79069999999999996</c:v>
                </c:pt>
                <c:pt idx="3259">
                  <c:v>0.78790000000000004</c:v>
                </c:pt>
                <c:pt idx="3260">
                  <c:v>0.78790000000000004</c:v>
                </c:pt>
                <c:pt idx="3261">
                  <c:v>0.79339999999999999</c:v>
                </c:pt>
                <c:pt idx="3262">
                  <c:v>0.7923</c:v>
                </c:pt>
                <c:pt idx="3263">
                  <c:v>0.79239999999999999</c:v>
                </c:pt>
                <c:pt idx="3264">
                  <c:v>0.78690000000000004</c:v>
                </c:pt>
                <c:pt idx="3265">
                  <c:v>0.79110000000000003</c:v>
                </c:pt>
                <c:pt idx="3266">
                  <c:v>0.79190000000000005</c:v>
                </c:pt>
                <c:pt idx="3267">
                  <c:v>0.78859999999999997</c:v>
                </c:pt>
                <c:pt idx="3268">
                  <c:v>0.78859999999999997</c:v>
                </c:pt>
                <c:pt idx="3269">
                  <c:v>0.78920000000000001</c:v>
                </c:pt>
                <c:pt idx="3270">
                  <c:v>0.78939999999999999</c:v>
                </c:pt>
                <c:pt idx="3271">
                  <c:v>0.79159999999999997</c:v>
                </c:pt>
                <c:pt idx="3272">
                  <c:v>0.79210000000000003</c:v>
                </c:pt>
                <c:pt idx="3273">
                  <c:v>0.79010000000000002</c:v>
                </c:pt>
                <c:pt idx="3274">
                  <c:v>0.78900000000000003</c:v>
                </c:pt>
                <c:pt idx="3275">
                  <c:v>0.78739999999999999</c:v>
                </c:pt>
                <c:pt idx="3276">
                  <c:v>0.7863</c:v>
                </c:pt>
                <c:pt idx="3277">
                  <c:v>0.7823</c:v>
                </c:pt>
                <c:pt idx="3278">
                  <c:v>0.78259999999999996</c:v>
                </c:pt>
                <c:pt idx="3279">
                  <c:v>0.78559999999999997</c:v>
                </c:pt>
                <c:pt idx="3280">
                  <c:v>0.79390000000000005</c:v>
                </c:pt>
                <c:pt idx="3281">
                  <c:v>0.79420000000000002</c:v>
                </c:pt>
                <c:pt idx="3282">
                  <c:v>0.7964</c:v>
                </c:pt>
                <c:pt idx="3283">
                  <c:v>0.79910000000000003</c:v>
                </c:pt>
                <c:pt idx="3284">
                  <c:v>0.79430000000000001</c:v>
                </c:pt>
                <c:pt idx="3285">
                  <c:v>0.79590000000000005</c:v>
                </c:pt>
                <c:pt idx="3286">
                  <c:v>0.79379999999999995</c:v>
                </c:pt>
                <c:pt idx="3287">
                  <c:v>0.78749999999999998</c:v>
                </c:pt>
                <c:pt idx="3288">
                  <c:v>0.78380000000000005</c:v>
                </c:pt>
                <c:pt idx="3289">
                  <c:v>0.79100000000000004</c:v>
                </c:pt>
                <c:pt idx="3290">
                  <c:v>0.7923</c:v>
                </c:pt>
                <c:pt idx="3291">
                  <c:v>0.78790000000000004</c:v>
                </c:pt>
                <c:pt idx="3292">
                  <c:v>0.79139999999999999</c:v>
                </c:pt>
                <c:pt idx="3293">
                  <c:v>0.79079999999999995</c:v>
                </c:pt>
                <c:pt idx="3294">
                  <c:v>0.78769999999999996</c:v>
                </c:pt>
                <c:pt idx="3295">
                  <c:v>0.7883</c:v>
                </c:pt>
                <c:pt idx="3296">
                  <c:v>0.78769999999999996</c:v>
                </c:pt>
                <c:pt idx="3297">
                  <c:v>0.77310000000000001</c:v>
                </c:pt>
                <c:pt idx="3298">
                  <c:v>0.77569999999999995</c:v>
                </c:pt>
                <c:pt idx="3299">
                  <c:v>0.77410000000000001</c:v>
                </c:pt>
                <c:pt idx="3300">
                  <c:v>0.77290000000000003</c:v>
                </c:pt>
                <c:pt idx="3301">
                  <c:v>0.77290000000000003</c:v>
                </c:pt>
                <c:pt idx="3302">
                  <c:v>0.77280000000000004</c:v>
                </c:pt>
                <c:pt idx="3303">
                  <c:v>0.77780000000000005</c:v>
                </c:pt>
                <c:pt idx="3304">
                  <c:v>0.77859999999999996</c:v>
                </c:pt>
                <c:pt idx="3305">
                  <c:v>0.77869999999999995</c:v>
                </c:pt>
                <c:pt idx="3306">
                  <c:v>0.77859999999999996</c:v>
                </c:pt>
                <c:pt idx="3307">
                  <c:v>0.77980000000000005</c:v>
                </c:pt>
                <c:pt idx="3308">
                  <c:v>0.78080000000000005</c:v>
                </c:pt>
                <c:pt idx="3309">
                  <c:v>0.78269999999999995</c:v>
                </c:pt>
                <c:pt idx="3310">
                  <c:v>0.78569999999999995</c:v>
                </c:pt>
                <c:pt idx="3311">
                  <c:v>0.78859999999999997</c:v>
                </c:pt>
                <c:pt idx="3312">
                  <c:v>0.79110000000000003</c:v>
                </c:pt>
                <c:pt idx="3313">
                  <c:v>0.79110000000000003</c:v>
                </c:pt>
                <c:pt idx="3314">
                  <c:v>0.79069999999999996</c:v>
                </c:pt>
                <c:pt idx="3315">
                  <c:v>0.79090000000000005</c:v>
                </c:pt>
                <c:pt idx="3316">
                  <c:v>0.78910000000000002</c:v>
                </c:pt>
                <c:pt idx="3317">
                  <c:v>0.79010000000000002</c:v>
                </c:pt>
                <c:pt idx="3318">
                  <c:v>0.79320000000000002</c:v>
                </c:pt>
                <c:pt idx="3319">
                  <c:v>0.79090000000000005</c:v>
                </c:pt>
                <c:pt idx="3320">
                  <c:v>0.78920000000000001</c:v>
                </c:pt>
                <c:pt idx="3321">
                  <c:v>0.79079999999999995</c:v>
                </c:pt>
                <c:pt idx="3322">
                  <c:v>0.79200000000000004</c:v>
                </c:pt>
                <c:pt idx="3323">
                  <c:v>0.7903</c:v>
                </c:pt>
                <c:pt idx="3324">
                  <c:v>0.7944</c:v>
                </c:pt>
                <c:pt idx="3325">
                  <c:v>0.80079999999999996</c:v>
                </c:pt>
                <c:pt idx="3326">
                  <c:v>0.79910000000000003</c:v>
                </c:pt>
                <c:pt idx="3327">
                  <c:v>0.79930000000000001</c:v>
                </c:pt>
                <c:pt idx="3328">
                  <c:v>0.79900000000000004</c:v>
                </c:pt>
                <c:pt idx="3329">
                  <c:v>0.79679999999999995</c:v>
                </c:pt>
                <c:pt idx="3330">
                  <c:v>0.79179999999999995</c:v>
                </c:pt>
                <c:pt idx="3331">
                  <c:v>0.78979999999999995</c:v>
                </c:pt>
                <c:pt idx="3332">
                  <c:v>0.7893</c:v>
                </c:pt>
                <c:pt idx="3333">
                  <c:v>0.78959999999999997</c:v>
                </c:pt>
                <c:pt idx="3334">
                  <c:v>0.79110000000000003</c:v>
                </c:pt>
                <c:pt idx="3335">
                  <c:v>0.79279999999999995</c:v>
                </c:pt>
                <c:pt idx="3336">
                  <c:v>0.79059999999999997</c:v>
                </c:pt>
                <c:pt idx="3337">
                  <c:v>0.78859999999999997</c:v>
                </c:pt>
                <c:pt idx="3338">
                  <c:v>0.79159999999999997</c:v>
                </c:pt>
                <c:pt idx="3339">
                  <c:v>0.7923</c:v>
                </c:pt>
                <c:pt idx="3340">
                  <c:v>0.79239999999999999</c:v>
                </c:pt>
                <c:pt idx="3341">
                  <c:v>0.79120000000000001</c:v>
                </c:pt>
                <c:pt idx="3342">
                  <c:v>0.79369999999999996</c:v>
                </c:pt>
                <c:pt idx="3343">
                  <c:v>0.79379999999999995</c:v>
                </c:pt>
                <c:pt idx="3344">
                  <c:v>0.78939999999999999</c:v>
                </c:pt>
                <c:pt idx="3345">
                  <c:v>0.78959999999999997</c:v>
                </c:pt>
                <c:pt idx="3346">
                  <c:v>0.78710000000000002</c:v>
                </c:pt>
                <c:pt idx="3347">
                  <c:v>0.78969999999999996</c:v>
                </c:pt>
                <c:pt idx="3348">
                  <c:v>0.78769999999999996</c:v>
                </c:pt>
                <c:pt idx="3349">
                  <c:v>0.7893</c:v>
                </c:pt>
                <c:pt idx="3350">
                  <c:v>0.79039999999999999</c:v>
                </c:pt>
                <c:pt idx="3351">
                  <c:v>0.7923</c:v>
                </c:pt>
                <c:pt idx="3352">
                  <c:v>0.79100000000000004</c:v>
                </c:pt>
                <c:pt idx="3353">
                  <c:v>0.79190000000000005</c:v>
                </c:pt>
                <c:pt idx="3354">
                  <c:v>0.79379999999999995</c:v>
                </c:pt>
                <c:pt idx="3355">
                  <c:v>0.7974</c:v>
                </c:pt>
                <c:pt idx="3356">
                  <c:v>0.79610000000000003</c:v>
                </c:pt>
                <c:pt idx="3357">
                  <c:v>0.79479999999999995</c:v>
                </c:pt>
                <c:pt idx="3358">
                  <c:v>0.79179999999999995</c:v>
                </c:pt>
                <c:pt idx="3359">
                  <c:v>0.79300000000000004</c:v>
                </c:pt>
                <c:pt idx="3360">
                  <c:v>0.79249999999999998</c:v>
                </c:pt>
                <c:pt idx="3361">
                  <c:v>0.79179999999999995</c:v>
                </c:pt>
                <c:pt idx="3362">
                  <c:v>0.79200000000000004</c:v>
                </c:pt>
                <c:pt idx="3363">
                  <c:v>0.79190000000000005</c:v>
                </c:pt>
                <c:pt idx="3364">
                  <c:v>0.78979999999999995</c:v>
                </c:pt>
                <c:pt idx="3365">
                  <c:v>0.78859999999999997</c:v>
                </c:pt>
                <c:pt idx="3366">
                  <c:v>0.78710000000000002</c:v>
                </c:pt>
                <c:pt idx="3367">
                  <c:v>0.79079999999999995</c:v>
                </c:pt>
                <c:pt idx="3368">
                  <c:v>0.78280000000000005</c:v>
                </c:pt>
                <c:pt idx="3369">
                  <c:v>0.78369999999999995</c:v>
                </c:pt>
                <c:pt idx="3370">
                  <c:v>0.78779999999999994</c:v>
                </c:pt>
                <c:pt idx="3371">
                  <c:v>0.78739999999999999</c:v>
                </c:pt>
                <c:pt idx="3372">
                  <c:v>0.78849999999999998</c:v>
                </c:pt>
                <c:pt idx="3373">
                  <c:v>0.79020000000000001</c:v>
                </c:pt>
                <c:pt idx="3374">
                  <c:v>0.79059999999999997</c:v>
                </c:pt>
                <c:pt idx="3375">
                  <c:v>0.79079999999999995</c:v>
                </c:pt>
                <c:pt idx="3376">
                  <c:v>0.7944</c:v>
                </c:pt>
                <c:pt idx="3377">
                  <c:v>0.79669999999999996</c:v>
                </c:pt>
                <c:pt idx="3378">
                  <c:v>0.80679999999999996</c:v>
                </c:pt>
                <c:pt idx="3379">
                  <c:v>0.80959999999999999</c:v>
                </c:pt>
                <c:pt idx="3380">
                  <c:v>0.81110000000000004</c:v>
                </c:pt>
                <c:pt idx="3381">
                  <c:v>0.81110000000000004</c:v>
                </c:pt>
                <c:pt idx="3382">
                  <c:v>0.81040000000000001</c:v>
                </c:pt>
                <c:pt idx="3383">
                  <c:v>0.81010000000000004</c:v>
                </c:pt>
                <c:pt idx="3384">
                  <c:v>0.81069999999999998</c:v>
                </c:pt>
                <c:pt idx="3385">
                  <c:v>0.82030000000000003</c:v>
                </c:pt>
                <c:pt idx="3386">
                  <c:v>0.81489999999999996</c:v>
                </c:pt>
                <c:pt idx="3387">
                  <c:v>0.79759999999999998</c:v>
                </c:pt>
                <c:pt idx="3388">
                  <c:v>0.79630000000000001</c:v>
                </c:pt>
                <c:pt idx="3389">
                  <c:v>0.79510000000000003</c:v>
                </c:pt>
                <c:pt idx="3390">
                  <c:v>0.7984</c:v>
                </c:pt>
                <c:pt idx="3391">
                  <c:v>0.80279999999999996</c:v>
                </c:pt>
                <c:pt idx="3392">
                  <c:v>0.79179999999999995</c:v>
                </c:pt>
                <c:pt idx="3393">
                  <c:v>0.79269999999999996</c:v>
                </c:pt>
                <c:pt idx="3394">
                  <c:v>0.79400000000000004</c:v>
                </c:pt>
                <c:pt idx="3395">
                  <c:v>0.7923</c:v>
                </c:pt>
                <c:pt idx="3396">
                  <c:v>0.79379999999999995</c:v>
                </c:pt>
                <c:pt idx="3397">
                  <c:v>0.79330000000000001</c:v>
                </c:pt>
                <c:pt idx="3398">
                  <c:v>0.79149999999999998</c:v>
                </c:pt>
                <c:pt idx="3399">
                  <c:v>0.79630000000000001</c:v>
                </c:pt>
                <c:pt idx="3400">
                  <c:v>0.79690000000000005</c:v>
                </c:pt>
                <c:pt idx="3401">
                  <c:v>0.79969999999999997</c:v>
                </c:pt>
                <c:pt idx="3402">
                  <c:v>0.79969999999999997</c:v>
                </c:pt>
                <c:pt idx="3403">
                  <c:v>0.79969999999999997</c:v>
                </c:pt>
                <c:pt idx="3404">
                  <c:v>0.79630000000000001</c:v>
                </c:pt>
                <c:pt idx="3405">
                  <c:v>0.79690000000000005</c:v>
                </c:pt>
                <c:pt idx="3406">
                  <c:v>0.79649999999999999</c:v>
                </c:pt>
                <c:pt idx="3407">
                  <c:v>0.79649999999999999</c:v>
                </c:pt>
                <c:pt idx="3408">
                  <c:v>0.7944</c:v>
                </c:pt>
                <c:pt idx="3409">
                  <c:v>0.79179999999999995</c:v>
                </c:pt>
                <c:pt idx="3410">
                  <c:v>0.79079999999999995</c:v>
                </c:pt>
                <c:pt idx="3411">
                  <c:v>0.79059999999999997</c:v>
                </c:pt>
                <c:pt idx="3412">
                  <c:v>0.78739999999999999</c:v>
                </c:pt>
                <c:pt idx="3413">
                  <c:v>0.78120000000000001</c:v>
                </c:pt>
                <c:pt idx="3414">
                  <c:v>0.77680000000000005</c:v>
                </c:pt>
                <c:pt idx="3415">
                  <c:v>0.78149999999999997</c:v>
                </c:pt>
                <c:pt idx="3416">
                  <c:v>0.77790000000000004</c:v>
                </c:pt>
                <c:pt idx="3417">
                  <c:v>0.77729999999999999</c:v>
                </c:pt>
                <c:pt idx="3418">
                  <c:v>0.77480000000000004</c:v>
                </c:pt>
                <c:pt idx="3419">
                  <c:v>0.77959999999999996</c:v>
                </c:pt>
                <c:pt idx="3420">
                  <c:v>0.78139999999999998</c:v>
                </c:pt>
                <c:pt idx="3421">
                  <c:v>0.77849999999999997</c:v>
                </c:pt>
                <c:pt idx="3422">
                  <c:v>0.77759999999999996</c:v>
                </c:pt>
                <c:pt idx="3423">
                  <c:v>0.77070000000000005</c:v>
                </c:pt>
                <c:pt idx="3424">
                  <c:v>0.77290000000000003</c:v>
                </c:pt>
                <c:pt idx="3425">
                  <c:v>0.77290000000000003</c:v>
                </c:pt>
                <c:pt idx="3426">
                  <c:v>0.77329999999999999</c:v>
                </c:pt>
                <c:pt idx="3427">
                  <c:v>0.76770000000000005</c:v>
                </c:pt>
                <c:pt idx="3428">
                  <c:v>0.77200000000000002</c:v>
                </c:pt>
                <c:pt idx="3429">
                  <c:v>0.76200000000000001</c:v>
                </c:pt>
                <c:pt idx="3430">
                  <c:v>0.76359999999999995</c:v>
                </c:pt>
                <c:pt idx="3431">
                  <c:v>0.76549999999999996</c:v>
                </c:pt>
                <c:pt idx="3432">
                  <c:v>0.76359999999999995</c:v>
                </c:pt>
                <c:pt idx="3433">
                  <c:v>0.76419999999999999</c:v>
                </c:pt>
                <c:pt idx="3434">
                  <c:v>0.76060000000000005</c:v>
                </c:pt>
                <c:pt idx="3435">
                  <c:v>0.76049999999999995</c:v>
                </c:pt>
                <c:pt idx="3436">
                  <c:v>0.75860000000000005</c:v>
                </c:pt>
                <c:pt idx="3437">
                  <c:v>0.75649999999999995</c:v>
                </c:pt>
                <c:pt idx="3438">
                  <c:v>0.76729999999999998</c:v>
                </c:pt>
                <c:pt idx="3439">
                  <c:v>0.76380000000000003</c:v>
                </c:pt>
                <c:pt idx="3440">
                  <c:v>0.7641</c:v>
                </c:pt>
                <c:pt idx="3441">
                  <c:v>0.76680000000000004</c:v>
                </c:pt>
                <c:pt idx="3442">
                  <c:v>0.76439999999999997</c:v>
                </c:pt>
                <c:pt idx="3443">
                  <c:v>0.76880000000000004</c:v>
                </c:pt>
                <c:pt idx="3444">
                  <c:v>0.77370000000000005</c:v>
                </c:pt>
                <c:pt idx="3445">
                  <c:v>0.77669999999999995</c:v>
                </c:pt>
                <c:pt idx="3446">
                  <c:v>0.77600000000000002</c:v>
                </c:pt>
                <c:pt idx="3447">
                  <c:v>0.77429999999999999</c:v>
                </c:pt>
                <c:pt idx="3448">
                  <c:v>0.77569999999999995</c:v>
                </c:pt>
                <c:pt idx="3449">
                  <c:v>0.77580000000000005</c:v>
                </c:pt>
                <c:pt idx="3450">
                  <c:v>0.78039999999999998</c:v>
                </c:pt>
                <c:pt idx="3451">
                  <c:v>0.79120000000000001</c:v>
                </c:pt>
                <c:pt idx="3452">
                  <c:v>0.78759999999999997</c:v>
                </c:pt>
                <c:pt idx="3453">
                  <c:v>0.7853</c:v>
                </c:pt>
                <c:pt idx="3454">
                  <c:v>0.78969999999999996</c:v>
                </c:pt>
                <c:pt idx="3455">
                  <c:v>0.78649999999999998</c:v>
                </c:pt>
                <c:pt idx="3456">
                  <c:v>0.78849999999999998</c:v>
                </c:pt>
                <c:pt idx="3457">
                  <c:v>0.79390000000000005</c:v>
                </c:pt>
                <c:pt idx="3458">
                  <c:v>0.7923</c:v>
                </c:pt>
                <c:pt idx="3459">
                  <c:v>0.79879999999999995</c:v>
                </c:pt>
                <c:pt idx="3460">
                  <c:v>0.79800000000000004</c:v>
                </c:pt>
                <c:pt idx="3461">
                  <c:v>0.7903</c:v>
                </c:pt>
                <c:pt idx="3462">
                  <c:v>0.78769999999999996</c:v>
                </c:pt>
                <c:pt idx="3463">
                  <c:v>0.78720000000000001</c:v>
                </c:pt>
                <c:pt idx="3464">
                  <c:v>0.78410000000000002</c:v>
                </c:pt>
                <c:pt idx="3465">
                  <c:v>0.7873</c:v>
                </c:pt>
                <c:pt idx="3466">
                  <c:v>0.78939999999999999</c:v>
                </c:pt>
                <c:pt idx="3467">
                  <c:v>0.78290000000000004</c:v>
                </c:pt>
                <c:pt idx="3468">
                  <c:v>0.78649999999999998</c:v>
                </c:pt>
                <c:pt idx="3469">
                  <c:v>0.78649999999999998</c:v>
                </c:pt>
                <c:pt idx="3470">
                  <c:v>0.78649999999999998</c:v>
                </c:pt>
                <c:pt idx="3471">
                  <c:v>0.78739999999999999</c:v>
                </c:pt>
                <c:pt idx="3472">
                  <c:v>0.78610000000000002</c:v>
                </c:pt>
                <c:pt idx="3473">
                  <c:v>0.78159999999999996</c:v>
                </c:pt>
                <c:pt idx="3474">
                  <c:v>0.77669999999999995</c:v>
                </c:pt>
                <c:pt idx="3475">
                  <c:v>0.77610000000000001</c:v>
                </c:pt>
                <c:pt idx="3476">
                  <c:v>0.77610000000000001</c:v>
                </c:pt>
                <c:pt idx="3477">
                  <c:v>0.78110000000000002</c:v>
                </c:pt>
                <c:pt idx="3478">
                  <c:v>0.78080000000000005</c:v>
                </c:pt>
                <c:pt idx="3479">
                  <c:v>0.78539999999999999</c:v>
                </c:pt>
                <c:pt idx="3480">
                  <c:v>0.78410000000000002</c:v>
                </c:pt>
                <c:pt idx="3481">
                  <c:v>0.77690000000000003</c:v>
                </c:pt>
                <c:pt idx="3482">
                  <c:v>0.77549999999999997</c:v>
                </c:pt>
                <c:pt idx="3483">
                  <c:v>0.77349999999999997</c:v>
                </c:pt>
                <c:pt idx="3484">
                  <c:v>0.7752</c:v>
                </c:pt>
                <c:pt idx="3485">
                  <c:v>0.77629999999999999</c:v>
                </c:pt>
                <c:pt idx="3486">
                  <c:v>0.77569999999999995</c:v>
                </c:pt>
                <c:pt idx="3487">
                  <c:v>0.77749999999999997</c:v>
                </c:pt>
                <c:pt idx="3488">
                  <c:v>0.77500000000000002</c:v>
                </c:pt>
                <c:pt idx="3489">
                  <c:v>0.77500000000000002</c:v>
                </c:pt>
                <c:pt idx="3490">
                  <c:v>0.77680000000000005</c:v>
                </c:pt>
                <c:pt idx="3491">
                  <c:v>0.77949999999999997</c:v>
                </c:pt>
                <c:pt idx="3492">
                  <c:v>0.78110000000000002</c:v>
                </c:pt>
                <c:pt idx="3493">
                  <c:v>0.78559999999999997</c:v>
                </c:pt>
                <c:pt idx="3494">
                  <c:v>0.78349999999999997</c:v>
                </c:pt>
                <c:pt idx="3495">
                  <c:v>0.78280000000000005</c:v>
                </c:pt>
                <c:pt idx="3496">
                  <c:v>0.78080000000000005</c:v>
                </c:pt>
                <c:pt idx="3497">
                  <c:v>0.77669999999999995</c:v>
                </c:pt>
                <c:pt idx="3498">
                  <c:v>0.77759999999999996</c:v>
                </c:pt>
                <c:pt idx="3499">
                  <c:v>0.7782</c:v>
                </c:pt>
                <c:pt idx="3500">
                  <c:v>0.7782</c:v>
                </c:pt>
                <c:pt idx="3501">
                  <c:v>0.78159999999999996</c:v>
                </c:pt>
                <c:pt idx="3502">
                  <c:v>0.77780000000000005</c:v>
                </c:pt>
                <c:pt idx="3503">
                  <c:v>0.77669999999999995</c:v>
                </c:pt>
                <c:pt idx="3504">
                  <c:v>0.77690000000000003</c:v>
                </c:pt>
                <c:pt idx="3505">
                  <c:v>0.7752</c:v>
                </c:pt>
                <c:pt idx="3506">
                  <c:v>0.77380000000000004</c:v>
                </c:pt>
                <c:pt idx="3507">
                  <c:v>0.77659999999999996</c:v>
                </c:pt>
                <c:pt idx="3508">
                  <c:v>0.78369999999999995</c:v>
                </c:pt>
                <c:pt idx="3509">
                  <c:v>0.76770000000000005</c:v>
                </c:pt>
                <c:pt idx="3510">
                  <c:v>0.76400000000000001</c:v>
                </c:pt>
                <c:pt idx="3511">
                  <c:v>0.76559999999999995</c:v>
                </c:pt>
                <c:pt idx="3512">
                  <c:v>0.7651</c:v>
                </c:pt>
                <c:pt idx="3513">
                  <c:v>0.76649999999999996</c:v>
                </c:pt>
                <c:pt idx="3514">
                  <c:v>0.76129999999999998</c:v>
                </c:pt>
                <c:pt idx="3515">
                  <c:v>0.75800000000000001</c:v>
                </c:pt>
                <c:pt idx="3516">
                  <c:v>0.75900000000000001</c:v>
                </c:pt>
                <c:pt idx="3517">
                  <c:v>0.75980000000000003</c:v>
                </c:pt>
                <c:pt idx="3518">
                  <c:v>0.75749999999999995</c:v>
                </c:pt>
                <c:pt idx="3519">
                  <c:v>0.75970000000000004</c:v>
                </c:pt>
                <c:pt idx="3520">
                  <c:v>0.75970000000000004</c:v>
                </c:pt>
                <c:pt idx="3521">
                  <c:v>0.76129999999999998</c:v>
                </c:pt>
                <c:pt idx="3522">
                  <c:v>0.75990000000000002</c:v>
                </c:pt>
                <c:pt idx="3523">
                  <c:v>0.75219999999999998</c:v>
                </c:pt>
                <c:pt idx="3524">
                  <c:v>0.75239999999999996</c:v>
                </c:pt>
                <c:pt idx="3525">
                  <c:v>0.75109999999999999</c:v>
                </c:pt>
                <c:pt idx="3526">
                  <c:v>0.74770000000000003</c:v>
                </c:pt>
                <c:pt idx="3527">
                  <c:v>0.75139999999999996</c:v>
                </c:pt>
                <c:pt idx="3528">
                  <c:v>0.748</c:v>
                </c:pt>
                <c:pt idx="3529">
                  <c:v>0.751</c:v>
                </c:pt>
                <c:pt idx="3530">
                  <c:v>0.75139999999999996</c:v>
                </c:pt>
                <c:pt idx="3531">
                  <c:v>0.75180000000000002</c:v>
                </c:pt>
                <c:pt idx="3532">
                  <c:v>0.75060000000000004</c:v>
                </c:pt>
                <c:pt idx="3533">
                  <c:v>0.75090000000000001</c:v>
                </c:pt>
                <c:pt idx="3534">
                  <c:v>0.74950000000000006</c:v>
                </c:pt>
                <c:pt idx="3535">
                  <c:v>0.74550000000000005</c:v>
                </c:pt>
                <c:pt idx="3536">
                  <c:v>0.75309999999999999</c:v>
                </c:pt>
                <c:pt idx="3537">
                  <c:v>0.755</c:v>
                </c:pt>
                <c:pt idx="3538">
                  <c:v>0.75319999999999998</c:v>
                </c:pt>
                <c:pt idx="3539">
                  <c:v>0.75229999999999997</c:v>
                </c:pt>
                <c:pt idx="3540">
                  <c:v>0.746</c:v>
                </c:pt>
                <c:pt idx="3541">
                  <c:v>0.74209999999999998</c:v>
                </c:pt>
                <c:pt idx="3542">
                  <c:v>0.74529999999999996</c:v>
                </c:pt>
                <c:pt idx="3543">
                  <c:v>0.7429</c:v>
                </c:pt>
                <c:pt idx="3544">
                  <c:v>0.74450000000000005</c:v>
                </c:pt>
                <c:pt idx="3545">
                  <c:v>0.7379</c:v>
                </c:pt>
                <c:pt idx="3546">
                  <c:v>0.73560000000000003</c:v>
                </c:pt>
                <c:pt idx="3547">
                  <c:v>0.73360000000000003</c:v>
                </c:pt>
                <c:pt idx="3548">
                  <c:v>0.73760000000000003</c:v>
                </c:pt>
                <c:pt idx="3549">
                  <c:v>0.73860000000000003</c:v>
                </c:pt>
                <c:pt idx="3550">
                  <c:v>0.7409</c:v>
                </c:pt>
                <c:pt idx="3551">
                  <c:v>0.74070000000000003</c:v>
                </c:pt>
                <c:pt idx="3552">
                  <c:v>0.7379</c:v>
                </c:pt>
                <c:pt idx="3553">
                  <c:v>0.7349</c:v>
                </c:pt>
                <c:pt idx="3554">
                  <c:v>0.74050000000000005</c:v>
                </c:pt>
                <c:pt idx="3555">
                  <c:v>0.73729999999999996</c:v>
                </c:pt>
                <c:pt idx="3556">
                  <c:v>0.73729999999999996</c:v>
                </c:pt>
                <c:pt idx="3557">
                  <c:v>0.74560000000000004</c:v>
                </c:pt>
                <c:pt idx="3558">
                  <c:v>0.74519999999999997</c:v>
                </c:pt>
                <c:pt idx="3559">
                  <c:v>0.74460000000000004</c:v>
                </c:pt>
                <c:pt idx="3560">
                  <c:v>0.73919999999999997</c:v>
                </c:pt>
                <c:pt idx="3561">
                  <c:v>0.73950000000000005</c:v>
                </c:pt>
                <c:pt idx="3562">
                  <c:v>0.73560000000000003</c:v>
                </c:pt>
                <c:pt idx="3563">
                  <c:v>0.73580000000000001</c:v>
                </c:pt>
                <c:pt idx="3564">
                  <c:v>0.73129999999999995</c:v>
                </c:pt>
                <c:pt idx="3565">
                  <c:v>0.73619999999999997</c:v>
                </c:pt>
                <c:pt idx="3566">
                  <c:v>0.73819999999999997</c:v>
                </c:pt>
                <c:pt idx="3567">
                  <c:v>0.745</c:v>
                </c:pt>
                <c:pt idx="3568">
                  <c:v>0.74360000000000004</c:v>
                </c:pt>
                <c:pt idx="3569">
                  <c:v>0.74380000000000002</c:v>
                </c:pt>
                <c:pt idx="3570">
                  <c:v>0.74229999999999996</c:v>
                </c:pt>
                <c:pt idx="3571">
                  <c:v>0.7369</c:v>
                </c:pt>
                <c:pt idx="3572">
                  <c:v>0.74339999999999995</c:v>
                </c:pt>
                <c:pt idx="3573">
                  <c:v>0.745</c:v>
                </c:pt>
                <c:pt idx="3574">
                  <c:v>0.748</c:v>
                </c:pt>
                <c:pt idx="3575">
                  <c:v>0.74739999999999995</c:v>
                </c:pt>
                <c:pt idx="3576">
                  <c:v>0.74680000000000002</c:v>
                </c:pt>
                <c:pt idx="3577">
                  <c:v>0.74760000000000004</c:v>
                </c:pt>
                <c:pt idx="3578">
                  <c:v>0.74109999999999998</c:v>
                </c:pt>
                <c:pt idx="3579">
                  <c:v>0.73440000000000005</c:v>
                </c:pt>
                <c:pt idx="3580">
                  <c:v>0.73150000000000004</c:v>
                </c:pt>
                <c:pt idx="3581">
                  <c:v>0.72729999999999995</c:v>
                </c:pt>
                <c:pt idx="3582">
                  <c:v>0.72719999999999996</c:v>
                </c:pt>
                <c:pt idx="3583">
                  <c:v>0.73129999999999995</c:v>
                </c:pt>
                <c:pt idx="3584">
                  <c:v>0.73260000000000003</c:v>
                </c:pt>
                <c:pt idx="3585">
                  <c:v>0.73029999999999995</c:v>
                </c:pt>
                <c:pt idx="3586">
                  <c:v>0.72860000000000003</c:v>
                </c:pt>
                <c:pt idx="3587">
                  <c:v>0.72670000000000001</c:v>
                </c:pt>
                <c:pt idx="3588">
                  <c:v>0.72</c:v>
                </c:pt>
                <c:pt idx="3589">
                  <c:v>0.7218</c:v>
                </c:pt>
                <c:pt idx="3590">
                  <c:v>0.72299999999999998</c:v>
                </c:pt>
                <c:pt idx="3591">
                  <c:v>0.71730000000000005</c:v>
                </c:pt>
                <c:pt idx="3592">
                  <c:v>0.71950000000000003</c:v>
                </c:pt>
                <c:pt idx="3593">
                  <c:v>0.71660000000000001</c:v>
                </c:pt>
                <c:pt idx="3594">
                  <c:v>0.72009999999999996</c:v>
                </c:pt>
                <c:pt idx="3595">
                  <c:v>0.72009999999999996</c:v>
                </c:pt>
                <c:pt idx="3596">
                  <c:v>0.72040000000000004</c:v>
                </c:pt>
                <c:pt idx="3597">
                  <c:v>0.7198</c:v>
                </c:pt>
                <c:pt idx="3598">
                  <c:v>0.72409999999999997</c:v>
                </c:pt>
                <c:pt idx="3599">
                  <c:v>0.72489999999999999</c:v>
                </c:pt>
                <c:pt idx="3600">
                  <c:v>0.71830000000000005</c:v>
                </c:pt>
                <c:pt idx="3601">
                  <c:v>0.7198</c:v>
                </c:pt>
                <c:pt idx="3602">
                  <c:v>0.72709999999999997</c:v>
                </c:pt>
                <c:pt idx="3603">
                  <c:v>0.72809999999999997</c:v>
                </c:pt>
                <c:pt idx="3604">
                  <c:v>0.72850000000000004</c:v>
                </c:pt>
                <c:pt idx="3605">
                  <c:v>0.72789999999999999</c:v>
                </c:pt>
                <c:pt idx="3606">
                  <c:v>0.72299999999999998</c:v>
                </c:pt>
                <c:pt idx="3607">
                  <c:v>0.72509999999999997</c:v>
                </c:pt>
                <c:pt idx="3608">
                  <c:v>0.73740000000000006</c:v>
                </c:pt>
                <c:pt idx="3609">
                  <c:v>0.73529999999999995</c:v>
                </c:pt>
                <c:pt idx="3610">
                  <c:v>0.73909999999999998</c:v>
                </c:pt>
                <c:pt idx="3611">
                  <c:v>0.73839999999999995</c:v>
                </c:pt>
                <c:pt idx="3612">
                  <c:v>0.73450000000000004</c:v>
                </c:pt>
                <c:pt idx="3613">
                  <c:v>0.73809999999999998</c:v>
                </c:pt>
                <c:pt idx="3614">
                  <c:v>0.73450000000000004</c:v>
                </c:pt>
                <c:pt idx="3615">
                  <c:v>0.73060000000000003</c:v>
                </c:pt>
                <c:pt idx="3616">
                  <c:v>0.72889999999999999</c:v>
                </c:pt>
                <c:pt idx="3617">
                  <c:v>0.71230000000000004</c:v>
                </c:pt>
                <c:pt idx="3618">
                  <c:v>0.7077</c:v>
                </c:pt>
                <c:pt idx="3619">
                  <c:v>0.7056</c:v>
                </c:pt>
                <c:pt idx="3620">
                  <c:v>0.6865</c:v>
                </c:pt>
                <c:pt idx="3621">
                  <c:v>0.69410000000000005</c:v>
                </c:pt>
                <c:pt idx="3622">
                  <c:v>0.7036</c:v>
                </c:pt>
                <c:pt idx="3623">
                  <c:v>0.6986</c:v>
                </c:pt>
                <c:pt idx="3624">
                  <c:v>0.7036</c:v>
                </c:pt>
                <c:pt idx="3625">
                  <c:v>0.71279999999999999</c:v>
                </c:pt>
                <c:pt idx="3626">
                  <c:v>0.70920000000000005</c:v>
                </c:pt>
                <c:pt idx="3627">
                  <c:v>0.70509999999999995</c:v>
                </c:pt>
                <c:pt idx="3628">
                  <c:v>0.69840000000000002</c:v>
                </c:pt>
                <c:pt idx="3629">
                  <c:v>0.69599999999999995</c:v>
                </c:pt>
                <c:pt idx="3630">
                  <c:v>0.69610000000000005</c:v>
                </c:pt>
                <c:pt idx="3631">
                  <c:v>0.6986</c:v>
                </c:pt>
                <c:pt idx="3632">
                  <c:v>0.69710000000000005</c:v>
                </c:pt>
                <c:pt idx="3633">
                  <c:v>0.69420000000000004</c:v>
                </c:pt>
                <c:pt idx="3634">
                  <c:v>0.69730000000000003</c:v>
                </c:pt>
                <c:pt idx="3635">
                  <c:v>0.70209999999999995</c:v>
                </c:pt>
                <c:pt idx="3636">
                  <c:v>0.69710000000000005</c:v>
                </c:pt>
                <c:pt idx="3637">
                  <c:v>0.6946</c:v>
                </c:pt>
                <c:pt idx="3638">
                  <c:v>0.68759999999999999</c:v>
                </c:pt>
                <c:pt idx="3639">
                  <c:v>0.69369999999999998</c:v>
                </c:pt>
                <c:pt idx="3640">
                  <c:v>0.69399999999999995</c:v>
                </c:pt>
                <c:pt idx="3641">
                  <c:v>0.68830000000000002</c:v>
                </c:pt>
                <c:pt idx="3642">
                  <c:v>0.68489999999999995</c:v>
                </c:pt>
                <c:pt idx="3643">
                  <c:v>0.68059999999999998</c:v>
                </c:pt>
                <c:pt idx="3644">
                  <c:v>0.68030000000000002</c:v>
                </c:pt>
                <c:pt idx="3645">
                  <c:v>0.67900000000000005</c:v>
                </c:pt>
                <c:pt idx="3646">
                  <c:v>0.67769999999999997</c:v>
                </c:pt>
                <c:pt idx="3647">
                  <c:v>0.67569999999999997</c:v>
                </c:pt>
                <c:pt idx="3648">
                  <c:v>0.67359999999999998</c:v>
                </c:pt>
                <c:pt idx="3649">
                  <c:v>0.67320000000000002</c:v>
                </c:pt>
                <c:pt idx="3650">
                  <c:v>0.67110000000000003</c:v>
                </c:pt>
                <c:pt idx="3651">
                  <c:v>0.67120000000000002</c:v>
                </c:pt>
                <c:pt idx="3652">
                  <c:v>0.66600000000000004</c:v>
                </c:pt>
                <c:pt idx="3653">
                  <c:v>0.66720000000000002</c:v>
                </c:pt>
                <c:pt idx="3654">
                  <c:v>0.66180000000000005</c:v>
                </c:pt>
                <c:pt idx="3655">
                  <c:v>0.65890000000000004</c:v>
                </c:pt>
                <c:pt idx="3656">
                  <c:v>0.64959999999999996</c:v>
                </c:pt>
                <c:pt idx="3657">
                  <c:v>0.65739999999999998</c:v>
                </c:pt>
                <c:pt idx="3658">
                  <c:v>0.65859999999999996</c:v>
                </c:pt>
                <c:pt idx="3659">
                  <c:v>0.65059999999999996</c:v>
                </c:pt>
                <c:pt idx="3660">
                  <c:v>0.6522</c:v>
                </c:pt>
                <c:pt idx="3661">
                  <c:v>0.65329999999999999</c:v>
                </c:pt>
                <c:pt idx="3662">
                  <c:v>0.65549999999999997</c:v>
                </c:pt>
                <c:pt idx="3663">
                  <c:v>0.65549999999999997</c:v>
                </c:pt>
                <c:pt idx="3664">
                  <c:v>0.65549999999999997</c:v>
                </c:pt>
                <c:pt idx="3665">
                  <c:v>0.65749999999999997</c:v>
                </c:pt>
                <c:pt idx="3666">
                  <c:v>0.65429999999999999</c:v>
                </c:pt>
                <c:pt idx="3667">
                  <c:v>0.65269999999999995</c:v>
                </c:pt>
                <c:pt idx="3668">
                  <c:v>0.65269999999999995</c:v>
                </c:pt>
                <c:pt idx="3669">
                  <c:v>0.65059999999999996</c:v>
                </c:pt>
                <c:pt idx="3670">
                  <c:v>0.64929999999999999</c:v>
                </c:pt>
                <c:pt idx="3671">
                  <c:v>0.63429999999999997</c:v>
                </c:pt>
                <c:pt idx="3672">
                  <c:v>0.63360000000000005</c:v>
                </c:pt>
                <c:pt idx="3673">
                  <c:v>0.63639999999999997</c:v>
                </c:pt>
                <c:pt idx="3674">
                  <c:v>0.64149999999999996</c:v>
                </c:pt>
                <c:pt idx="3675">
                  <c:v>0.64159999999999995</c:v>
                </c:pt>
                <c:pt idx="3676">
                  <c:v>0.63959999999999995</c:v>
                </c:pt>
                <c:pt idx="3677">
                  <c:v>0.64990000000000003</c:v>
                </c:pt>
                <c:pt idx="3678">
                  <c:v>0.65139999999999998</c:v>
                </c:pt>
                <c:pt idx="3679">
                  <c:v>0.65659999999999996</c:v>
                </c:pt>
                <c:pt idx="3680">
                  <c:v>0.66569999999999996</c:v>
                </c:pt>
                <c:pt idx="3681">
                  <c:v>0.66369999999999996</c:v>
                </c:pt>
                <c:pt idx="3682">
                  <c:v>0.66210000000000002</c:v>
                </c:pt>
                <c:pt idx="3683">
                  <c:v>0.65680000000000005</c:v>
                </c:pt>
                <c:pt idx="3684">
                  <c:v>0.65800000000000003</c:v>
                </c:pt>
                <c:pt idx="3685">
                  <c:v>0.65800000000000003</c:v>
                </c:pt>
                <c:pt idx="3686">
                  <c:v>0.67230000000000001</c:v>
                </c:pt>
                <c:pt idx="3687">
                  <c:v>0.67849999999999999</c:v>
                </c:pt>
                <c:pt idx="3688">
                  <c:v>0.67390000000000005</c:v>
                </c:pt>
                <c:pt idx="3689">
                  <c:v>0.66930000000000001</c:v>
                </c:pt>
                <c:pt idx="3690">
                  <c:v>0.6825</c:v>
                </c:pt>
                <c:pt idx="3691">
                  <c:v>0.68440000000000001</c:v>
                </c:pt>
                <c:pt idx="3692">
                  <c:v>0.68020000000000003</c:v>
                </c:pt>
                <c:pt idx="3693">
                  <c:v>0.6784</c:v>
                </c:pt>
                <c:pt idx="3694">
                  <c:v>0.67530000000000001</c:v>
                </c:pt>
                <c:pt idx="3695">
                  <c:v>0.67159999999999997</c:v>
                </c:pt>
                <c:pt idx="3696">
                  <c:v>0.6744</c:v>
                </c:pt>
                <c:pt idx="3697">
                  <c:v>0.68230000000000002</c:v>
                </c:pt>
                <c:pt idx="3698">
                  <c:v>0.67779999999999996</c:v>
                </c:pt>
                <c:pt idx="3699">
                  <c:v>0.67300000000000004</c:v>
                </c:pt>
                <c:pt idx="3700">
                  <c:v>0.66659999999999997</c:v>
                </c:pt>
                <c:pt idx="3701">
                  <c:v>0.66410000000000002</c:v>
                </c:pt>
                <c:pt idx="3702">
                  <c:v>0.67069999999999996</c:v>
                </c:pt>
                <c:pt idx="3703">
                  <c:v>0.67269999999999996</c:v>
                </c:pt>
                <c:pt idx="3704">
                  <c:v>0.67510000000000003</c:v>
                </c:pt>
                <c:pt idx="3705">
                  <c:v>0.66559999999999997</c:v>
                </c:pt>
                <c:pt idx="3706">
                  <c:v>0.66539999999999999</c:v>
                </c:pt>
                <c:pt idx="3707">
                  <c:v>0.6633</c:v>
                </c:pt>
                <c:pt idx="3708">
                  <c:v>0.66900000000000004</c:v>
                </c:pt>
                <c:pt idx="3709">
                  <c:v>0.67449999999999999</c:v>
                </c:pt>
                <c:pt idx="3710">
                  <c:v>0.68030000000000002</c:v>
                </c:pt>
                <c:pt idx="3711">
                  <c:v>0.68330000000000002</c:v>
                </c:pt>
                <c:pt idx="3712">
                  <c:v>0.6784</c:v>
                </c:pt>
                <c:pt idx="3713">
                  <c:v>0.67430000000000001</c:v>
                </c:pt>
                <c:pt idx="3714">
                  <c:v>0.66700000000000004</c:v>
                </c:pt>
                <c:pt idx="3715">
                  <c:v>0.6663</c:v>
                </c:pt>
                <c:pt idx="3716">
                  <c:v>0.66869999999999996</c:v>
                </c:pt>
                <c:pt idx="3717">
                  <c:v>0.6694</c:v>
                </c:pt>
                <c:pt idx="3718">
                  <c:v>0.66669999999999996</c:v>
                </c:pt>
                <c:pt idx="3719">
                  <c:v>0.67259999999999998</c:v>
                </c:pt>
                <c:pt idx="3720">
                  <c:v>0.67220000000000002</c:v>
                </c:pt>
                <c:pt idx="3721">
                  <c:v>0.66969999999999996</c:v>
                </c:pt>
                <c:pt idx="3722">
                  <c:v>0.66520000000000001</c:v>
                </c:pt>
                <c:pt idx="3723">
                  <c:v>0.66310000000000002</c:v>
                </c:pt>
                <c:pt idx="3724">
                  <c:v>0.66279999999999994</c:v>
                </c:pt>
                <c:pt idx="3725">
                  <c:v>0.66320000000000001</c:v>
                </c:pt>
                <c:pt idx="3726">
                  <c:v>0.66969999999999996</c:v>
                </c:pt>
                <c:pt idx="3727">
                  <c:v>0.66890000000000005</c:v>
                </c:pt>
                <c:pt idx="3728">
                  <c:v>0.67049999999999998</c:v>
                </c:pt>
                <c:pt idx="3729">
                  <c:v>0.67369999999999997</c:v>
                </c:pt>
                <c:pt idx="3730">
                  <c:v>0.66839999999999999</c:v>
                </c:pt>
                <c:pt idx="3731">
                  <c:v>0.66339999999999999</c:v>
                </c:pt>
                <c:pt idx="3732">
                  <c:v>0.66169999999999995</c:v>
                </c:pt>
                <c:pt idx="3733">
                  <c:v>0.65769999999999995</c:v>
                </c:pt>
                <c:pt idx="3734">
                  <c:v>0.65480000000000005</c:v>
                </c:pt>
                <c:pt idx="3735">
                  <c:v>0.65880000000000005</c:v>
                </c:pt>
                <c:pt idx="3736">
                  <c:v>0.65720000000000001</c:v>
                </c:pt>
                <c:pt idx="3737">
                  <c:v>0.65880000000000005</c:v>
                </c:pt>
                <c:pt idx="3738">
                  <c:v>0.65880000000000005</c:v>
                </c:pt>
                <c:pt idx="3739">
                  <c:v>0.65880000000000005</c:v>
                </c:pt>
                <c:pt idx="3740">
                  <c:v>0.65880000000000005</c:v>
                </c:pt>
                <c:pt idx="3741">
                  <c:v>0.64859999999999995</c:v>
                </c:pt>
                <c:pt idx="3742">
                  <c:v>0.6482</c:v>
                </c:pt>
                <c:pt idx="3743">
                  <c:v>0.65049999999999997</c:v>
                </c:pt>
                <c:pt idx="3744">
                  <c:v>0.65449999999999997</c:v>
                </c:pt>
                <c:pt idx="3745">
                  <c:v>0.64670000000000005</c:v>
                </c:pt>
                <c:pt idx="3746">
                  <c:v>0.6482</c:v>
                </c:pt>
                <c:pt idx="3747">
                  <c:v>0.65200000000000002</c:v>
                </c:pt>
                <c:pt idx="3748">
                  <c:v>0.65139999999999998</c:v>
                </c:pt>
                <c:pt idx="3749">
                  <c:v>0.65200000000000002</c:v>
                </c:pt>
                <c:pt idx="3750">
                  <c:v>0.64680000000000004</c:v>
                </c:pt>
                <c:pt idx="3751">
                  <c:v>0.64459999999999995</c:v>
                </c:pt>
                <c:pt idx="3752">
                  <c:v>0.64659999999999995</c:v>
                </c:pt>
                <c:pt idx="3753">
                  <c:v>0.64990000000000003</c:v>
                </c:pt>
                <c:pt idx="3754">
                  <c:v>0.65429999999999999</c:v>
                </c:pt>
                <c:pt idx="3755">
                  <c:v>0.64549999999999996</c:v>
                </c:pt>
                <c:pt idx="3756">
                  <c:v>0.64129999999999998</c:v>
                </c:pt>
                <c:pt idx="3757">
                  <c:v>0.64159999999999995</c:v>
                </c:pt>
                <c:pt idx="3758">
                  <c:v>0.63580000000000003</c:v>
                </c:pt>
                <c:pt idx="3759">
                  <c:v>0.63800000000000001</c:v>
                </c:pt>
                <c:pt idx="3760">
                  <c:v>0.63349999999999995</c:v>
                </c:pt>
                <c:pt idx="3761">
                  <c:v>0.6351</c:v>
                </c:pt>
                <c:pt idx="3762">
                  <c:v>0.63260000000000005</c:v>
                </c:pt>
                <c:pt idx="3763">
                  <c:v>0.627</c:v>
                </c:pt>
                <c:pt idx="3764">
                  <c:v>0.62390000000000001</c:v>
                </c:pt>
                <c:pt idx="3765">
                  <c:v>0.62260000000000004</c:v>
                </c:pt>
                <c:pt idx="3766">
                  <c:v>0.62590000000000001</c:v>
                </c:pt>
                <c:pt idx="3767">
                  <c:v>0.62350000000000005</c:v>
                </c:pt>
                <c:pt idx="3768">
                  <c:v>0.62880000000000003</c:v>
                </c:pt>
                <c:pt idx="3769">
                  <c:v>0.63070000000000004</c:v>
                </c:pt>
                <c:pt idx="3770">
                  <c:v>0.626</c:v>
                </c:pt>
                <c:pt idx="3771">
                  <c:v>0.62380000000000002</c:v>
                </c:pt>
                <c:pt idx="3772">
                  <c:v>0.62029999999999996</c:v>
                </c:pt>
                <c:pt idx="3773">
                  <c:v>0.62229999999999996</c:v>
                </c:pt>
                <c:pt idx="3774">
                  <c:v>0.62360000000000004</c:v>
                </c:pt>
                <c:pt idx="3775">
                  <c:v>0.61929999999999996</c:v>
                </c:pt>
                <c:pt idx="3776">
                  <c:v>0.61229999999999996</c:v>
                </c:pt>
                <c:pt idx="3777">
                  <c:v>0.6139</c:v>
                </c:pt>
                <c:pt idx="3778">
                  <c:v>0.61170000000000002</c:v>
                </c:pt>
                <c:pt idx="3779">
                  <c:v>0.60650000000000004</c:v>
                </c:pt>
                <c:pt idx="3780">
                  <c:v>0.60650000000000004</c:v>
                </c:pt>
                <c:pt idx="3781">
                  <c:v>0.5968</c:v>
                </c:pt>
                <c:pt idx="3782">
                  <c:v>0.58450000000000002</c:v>
                </c:pt>
                <c:pt idx="3783">
                  <c:v>0.58889999999999998</c:v>
                </c:pt>
                <c:pt idx="3784">
                  <c:v>0.5897</c:v>
                </c:pt>
                <c:pt idx="3785">
                  <c:v>0.58650000000000002</c:v>
                </c:pt>
                <c:pt idx="3786">
                  <c:v>0.58579999999999999</c:v>
                </c:pt>
                <c:pt idx="3787">
                  <c:v>0.59209999999999996</c:v>
                </c:pt>
                <c:pt idx="3788">
                  <c:v>0.61250000000000004</c:v>
                </c:pt>
                <c:pt idx="3789">
                  <c:v>0.61129999999999995</c:v>
                </c:pt>
                <c:pt idx="3790">
                  <c:v>0.60940000000000005</c:v>
                </c:pt>
                <c:pt idx="3791">
                  <c:v>0.60919999999999996</c:v>
                </c:pt>
                <c:pt idx="3792">
                  <c:v>0.60509999999999997</c:v>
                </c:pt>
                <c:pt idx="3793">
                  <c:v>0.60229999999999995</c:v>
                </c:pt>
                <c:pt idx="3794">
                  <c:v>0.60629999999999995</c:v>
                </c:pt>
                <c:pt idx="3795">
                  <c:v>0.6048</c:v>
                </c:pt>
                <c:pt idx="3796">
                  <c:v>0.61350000000000005</c:v>
                </c:pt>
                <c:pt idx="3797">
                  <c:v>0.62029999999999996</c:v>
                </c:pt>
                <c:pt idx="3798">
                  <c:v>0.61709999999999998</c:v>
                </c:pt>
                <c:pt idx="3799">
                  <c:v>0.61650000000000005</c:v>
                </c:pt>
                <c:pt idx="3800">
                  <c:v>0.61529999999999996</c:v>
                </c:pt>
                <c:pt idx="3801">
                  <c:v>0.6159</c:v>
                </c:pt>
                <c:pt idx="3802">
                  <c:v>0.62070000000000003</c:v>
                </c:pt>
                <c:pt idx="3803">
                  <c:v>0.61409999999999998</c:v>
                </c:pt>
                <c:pt idx="3804">
                  <c:v>0.61429999999999996</c:v>
                </c:pt>
                <c:pt idx="3805">
                  <c:v>0.6069</c:v>
                </c:pt>
                <c:pt idx="3806">
                  <c:v>0.6179</c:v>
                </c:pt>
                <c:pt idx="3807">
                  <c:v>0.62170000000000003</c:v>
                </c:pt>
                <c:pt idx="3808">
                  <c:v>0.62549999999999994</c:v>
                </c:pt>
                <c:pt idx="3809">
                  <c:v>0.63080000000000003</c:v>
                </c:pt>
                <c:pt idx="3810">
                  <c:v>0.626</c:v>
                </c:pt>
                <c:pt idx="3811">
                  <c:v>0.62880000000000003</c:v>
                </c:pt>
                <c:pt idx="3812">
                  <c:v>0.624</c:v>
                </c:pt>
                <c:pt idx="3813">
                  <c:v>0.61929999999999996</c:v>
                </c:pt>
                <c:pt idx="3814">
                  <c:v>0.62180000000000002</c:v>
                </c:pt>
                <c:pt idx="3815">
                  <c:v>0.61360000000000003</c:v>
                </c:pt>
                <c:pt idx="3816">
                  <c:v>0.61140000000000005</c:v>
                </c:pt>
                <c:pt idx="3817">
                  <c:v>0.61209999999999998</c:v>
                </c:pt>
                <c:pt idx="3818">
                  <c:v>0.61280000000000001</c:v>
                </c:pt>
                <c:pt idx="3819">
                  <c:v>0.61129999999999995</c:v>
                </c:pt>
                <c:pt idx="3820">
                  <c:v>0.60529999999999995</c:v>
                </c:pt>
                <c:pt idx="3821">
                  <c:v>0.60599999999999998</c:v>
                </c:pt>
                <c:pt idx="3822">
                  <c:v>0.60599999999999998</c:v>
                </c:pt>
                <c:pt idx="3823">
                  <c:v>0.6069</c:v>
                </c:pt>
                <c:pt idx="3824">
                  <c:v>0.60099999999999998</c:v>
                </c:pt>
                <c:pt idx="3825">
                  <c:v>0.59909999999999997</c:v>
                </c:pt>
                <c:pt idx="3826">
                  <c:v>0.59619999999999995</c:v>
                </c:pt>
                <c:pt idx="3827">
                  <c:v>0.59750000000000003</c:v>
                </c:pt>
                <c:pt idx="3828">
                  <c:v>0.5907</c:v>
                </c:pt>
                <c:pt idx="3829">
                  <c:v>0.59740000000000004</c:v>
                </c:pt>
                <c:pt idx="3830">
                  <c:v>0.59209999999999996</c:v>
                </c:pt>
                <c:pt idx="3831">
                  <c:v>0.59009999999999996</c:v>
                </c:pt>
                <c:pt idx="3832">
                  <c:v>0.59540000000000004</c:v>
                </c:pt>
                <c:pt idx="3833">
                  <c:v>0.59219999999999995</c:v>
                </c:pt>
                <c:pt idx="3834">
                  <c:v>0.58799999999999997</c:v>
                </c:pt>
                <c:pt idx="3835">
                  <c:v>0.58169999999999999</c:v>
                </c:pt>
                <c:pt idx="3836">
                  <c:v>0.58030000000000004</c:v>
                </c:pt>
                <c:pt idx="3837">
                  <c:v>0.57509999999999994</c:v>
                </c:pt>
                <c:pt idx="3838">
                  <c:v>0.56210000000000004</c:v>
                </c:pt>
                <c:pt idx="3839">
                  <c:v>0.56379999999999997</c:v>
                </c:pt>
                <c:pt idx="3840">
                  <c:v>0.56910000000000005</c:v>
                </c:pt>
                <c:pt idx="3841">
                  <c:v>0.57020000000000004</c:v>
                </c:pt>
                <c:pt idx="3842">
                  <c:v>0.5827</c:v>
                </c:pt>
                <c:pt idx="3843">
                  <c:v>0.58360000000000001</c:v>
                </c:pt>
                <c:pt idx="3844">
                  <c:v>0.58919999999999995</c:v>
                </c:pt>
                <c:pt idx="3845">
                  <c:v>0.59199999999999997</c:v>
                </c:pt>
                <c:pt idx="3846">
                  <c:v>0.59289999999999998</c:v>
                </c:pt>
                <c:pt idx="3847">
                  <c:v>0.59030000000000005</c:v>
                </c:pt>
                <c:pt idx="3848">
                  <c:v>0.58779999999999999</c:v>
                </c:pt>
                <c:pt idx="3849">
                  <c:v>0.59750000000000003</c:v>
                </c:pt>
                <c:pt idx="3850">
                  <c:v>0.59899999999999998</c:v>
                </c:pt>
                <c:pt idx="3851">
                  <c:v>0.59450000000000003</c:v>
                </c:pt>
                <c:pt idx="3852">
                  <c:v>0.59660000000000002</c:v>
                </c:pt>
                <c:pt idx="3853">
                  <c:v>0.59109999999999996</c:v>
                </c:pt>
                <c:pt idx="3854">
                  <c:v>0.59</c:v>
                </c:pt>
                <c:pt idx="3855">
                  <c:v>0.58650000000000002</c:v>
                </c:pt>
                <c:pt idx="3856">
                  <c:v>0.58460000000000001</c:v>
                </c:pt>
                <c:pt idx="3857">
                  <c:v>0.57969999999999999</c:v>
                </c:pt>
                <c:pt idx="3858">
                  <c:v>0.58169999999999999</c:v>
                </c:pt>
                <c:pt idx="3859">
                  <c:v>0.58699999999999997</c:v>
                </c:pt>
                <c:pt idx="3860">
                  <c:v>0.58879999999999999</c:v>
                </c:pt>
                <c:pt idx="3861">
                  <c:v>0.59530000000000005</c:v>
                </c:pt>
                <c:pt idx="3862">
                  <c:v>0.59450000000000003</c:v>
                </c:pt>
                <c:pt idx="3863">
                  <c:v>0.59430000000000005</c:v>
                </c:pt>
                <c:pt idx="3864">
                  <c:v>0.59199999999999997</c:v>
                </c:pt>
                <c:pt idx="3865">
                  <c:v>0.59850000000000003</c:v>
                </c:pt>
                <c:pt idx="3866">
                  <c:v>0.58379999999999999</c:v>
                </c:pt>
                <c:pt idx="3867">
                  <c:v>0.59909999999999997</c:v>
                </c:pt>
                <c:pt idx="3868">
                  <c:v>0.61450000000000005</c:v>
                </c:pt>
                <c:pt idx="3869">
                  <c:v>0.61780000000000002</c:v>
                </c:pt>
                <c:pt idx="3870">
                  <c:v>0.62639999999999996</c:v>
                </c:pt>
                <c:pt idx="3871">
                  <c:v>0.623</c:v>
                </c:pt>
                <c:pt idx="3872">
                  <c:v>0.62860000000000005</c:v>
                </c:pt>
                <c:pt idx="3873">
                  <c:v>0.63529999999999998</c:v>
                </c:pt>
                <c:pt idx="3874">
                  <c:v>0.63790000000000002</c:v>
                </c:pt>
                <c:pt idx="3875">
                  <c:v>0.6351</c:v>
                </c:pt>
                <c:pt idx="3876">
                  <c:v>0.63280000000000003</c:v>
                </c:pt>
                <c:pt idx="3877">
                  <c:v>0.63149999999999995</c:v>
                </c:pt>
                <c:pt idx="3878">
                  <c:v>0.62390000000000001</c:v>
                </c:pt>
                <c:pt idx="3879">
                  <c:v>0.62519999999999998</c:v>
                </c:pt>
                <c:pt idx="3880">
                  <c:v>0.61839999999999995</c:v>
                </c:pt>
                <c:pt idx="3881">
                  <c:v>0.6159</c:v>
                </c:pt>
                <c:pt idx="3882">
                  <c:v>0.61560000000000004</c:v>
                </c:pt>
                <c:pt idx="3883">
                  <c:v>0.61839999999999995</c:v>
                </c:pt>
                <c:pt idx="3884">
                  <c:v>0.62629999999999997</c:v>
                </c:pt>
                <c:pt idx="3885">
                  <c:v>0.62590000000000001</c:v>
                </c:pt>
                <c:pt idx="3886">
                  <c:v>0.62370000000000003</c:v>
                </c:pt>
                <c:pt idx="3887">
                  <c:v>0.63080000000000003</c:v>
                </c:pt>
                <c:pt idx="3888">
                  <c:v>0.63139999999999996</c:v>
                </c:pt>
                <c:pt idx="3889">
                  <c:v>0.63049999999999995</c:v>
                </c:pt>
                <c:pt idx="3890">
                  <c:v>0.63439999999999996</c:v>
                </c:pt>
                <c:pt idx="3891">
                  <c:v>0.62939999999999996</c:v>
                </c:pt>
                <c:pt idx="3892">
                  <c:v>0.62929999999999997</c:v>
                </c:pt>
                <c:pt idx="3893">
                  <c:v>0.63129999999999997</c:v>
                </c:pt>
                <c:pt idx="3894">
                  <c:v>0.63600000000000001</c:v>
                </c:pt>
                <c:pt idx="3895">
                  <c:v>0.63780000000000003</c:v>
                </c:pt>
                <c:pt idx="3896">
                  <c:v>0.63170000000000004</c:v>
                </c:pt>
                <c:pt idx="3897">
                  <c:v>0.63080000000000003</c:v>
                </c:pt>
                <c:pt idx="3898">
                  <c:v>0.64380000000000004</c:v>
                </c:pt>
                <c:pt idx="3899">
                  <c:v>0.64359999999999995</c:v>
                </c:pt>
                <c:pt idx="3900">
                  <c:v>0.64100000000000001</c:v>
                </c:pt>
                <c:pt idx="3901">
                  <c:v>0.63919999999999999</c:v>
                </c:pt>
                <c:pt idx="3902">
                  <c:v>0.64200000000000002</c:v>
                </c:pt>
                <c:pt idx="3903">
                  <c:v>0.63790000000000002</c:v>
                </c:pt>
                <c:pt idx="3904">
                  <c:v>0.63580000000000003</c:v>
                </c:pt>
                <c:pt idx="3905">
                  <c:v>0.63229999999999997</c:v>
                </c:pt>
                <c:pt idx="3906">
                  <c:v>0.63070000000000004</c:v>
                </c:pt>
                <c:pt idx="3907">
                  <c:v>0.63470000000000004</c:v>
                </c:pt>
                <c:pt idx="3908">
                  <c:v>0.62549999999999994</c:v>
                </c:pt>
                <c:pt idx="3909">
                  <c:v>0.62460000000000004</c:v>
                </c:pt>
                <c:pt idx="3910">
                  <c:v>0.61739999999999995</c:v>
                </c:pt>
                <c:pt idx="3911">
                  <c:v>0.61850000000000005</c:v>
                </c:pt>
                <c:pt idx="3912">
                  <c:v>0.61399999999999999</c:v>
                </c:pt>
                <c:pt idx="3913">
                  <c:v>0.61770000000000003</c:v>
                </c:pt>
                <c:pt idx="3914">
                  <c:v>0.62380000000000002</c:v>
                </c:pt>
                <c:pt idx="3915">
                  <c:v>0.61850000000000005</c:v>
                </c:pt>
                <c:pt idx="3916">
                  <c:v>0.62070000000000003</c:v>
                </c:pt>
                <c:pt idx="3917">
                  <c:v>0.62339999999999995</c:v>
                </c:pt>
                <c:pt idx="3918">
                  <c:v>0.62409999999999999</c:v>
                </c:pt>
                <c:pt idx="3919">
                  <c:v>0.61899999999999999</c:v>
                </c:pt>
                <c:pt idx="3920">
                  <c:v>0.61929999999999996</c:v>
                </c:pt>
                <c:pt idx="3921">
                  <c:v>0.61550000000000005</c:v>
                </c:pt>
                <c:pt idx="3922">
                  <c:v>0.61160000000000003</c:v>
                </c:pt>
                <c:pt idx="3923">
                  <c:v>0.60980000000000001</c:v>
                </c:pt>
                <c:pt idx="3924">
                  <c:v>0.60980000000000001</c:v>
                </c:pt>
                <c:pt idx="3925">
                  <c:v>0.60980000000000001</c:v>
                </c:pt>
                <c:pt idx="3926">
                  <c:v>0.61029999999999995</c:v>
                </c:pt>
                <c:pt idx="3927">
                  <c:v>0.61009999999999998</c:v>
                </c:pt>
                <c:pt idx="3928">
                  <c:v>0.6139</c:v>
                </c:pt>
                <c:pt idx="3929">
                  <c:v>0.6139</c:v>
                </c:pt>
                <c:pt idx="3930">
                  <c:v>0.61380000000000001</c:v>
                </c:pt>
                <c:pt idx="3931">
                  <c:v>0.62419999999999998</c:v>
                </c:pt>
                <c:pt idx="3932">
                  <c:v>0.62009999999999998</c:v>
                </c:pt>
                <c:pt idx="3933">
                  <c:v>0.63149999999999995</c:v>
                </c:pt>
                <c:pt idx="3934">
                  <c:v>0.63429999999999997</c:v>
                </c:pt>
                <c:pt idx="3935">
                  <c:v>0.63429999999999997</c:v>
                </c:pt>
                <c:pt idx="3936">
                  <c:v>0.63870000000000005</c:v>
                </c:pt>
                <c:pt idx="3937">
                  <c:v>0.63560000000000005</c:v>
                </c:pt>
                <c:pt idx="3938">
                  <c:v>0.63129999999999997</c:v>
                </c:pt>
                <c:pt idx="3939">
                  <c:v>0.63160000000000005</c:v>
                </c:pt>
                <c:pt idx="3940">
                  <c:v>0.63670000000000004</c:v>
                </c:pt>
                <c:pt idx="3941">
                  <c:v>0.63449999999999995</c:v>
                </c:pt>
                <c:pt idx="3942">
                  <c:v>0.63890000000000002</c:v>
                </c:pt>
                <c:pt idx="3943">
                  <c:v>0.63839999999999997</c:v>
                </c:pt>
                <c:pt idx="3944">
                  <c:v>0.63929999999999998</c:v>
                </c:pt>
                <c:pt idx="3945">
                  <c:v>0.6321</c:v>
                </c:pt>
                <c:pt idx="3946">
                  <c:v>0.6321</c:v>
                </c:pt>
                <c:pt idx="3947">
                  <c:v>0.63060000000000005</c:v>
                </c:pt>
                <c:pt idx="3948">
                  <c:v>0.62629999999999997</c:v>
                </c:pt>
                <c:pt idx="3949">
                  <c:v>0.62860000000000005</c:v>
                </c:pt>
                <c:pt idx="3950">
                  <c:v>0.63149999999999995</c:v>
                </c:pt>
                <c:pt idx="3951">
                  <c:v>0.63739999999999997</c:v>
                </c:pt>
                <c:pt idx="3952">
                  <c:v>0.63980000000000004</c:v>
                </c:pt>
                <c:pt idx="3953">
                  <c:v>0.63870000000000005</c:v>
                </c:pt>
                <c:pt idx="3954">
                  <c:v>0.65080000000000005</c:v>
                </c:pt>
                <c:pt idx="3955">
                  <c:v>0.65249999999999997</c:v>
                </c:pt>
                <c:pt idx="3956">
                  <c:v>0.64749999999999996</c:v>
                </c:pt>
                <c:pt idx="3957">
                  <c:v>0.64500000000000002</c:v>
                </c:pt>
                <c:pt idx="3958">
                  <c:v>0.64600000000000002</c:v>
                </c:pt>
                <c:pt idx="3959">
                  <c:v>0.64590000000000003</c:v>
                </c:pt>
                <c:pt idx="3960">
                  <c:v>0.64780000000000004</c:v>
                </c:pt>
                <c:pt idx="3961">
                  <c:v>0.64190000000000003</c:v>
                </c:pt>
                <c:pt idx="3962">
                  <c:v>0.63529999999999998</c:v>
                </c:pt>
                <c:pt idx="3963">
                  <c:v>0.63580000000000003</c:v>
                </c:pt>
                <c:pt idx="3964">
                  <c:v>0.63619999999999999</c:v>
                </c:pt>
                <c:pt idx="3965">
                  <c:v>0.63829999999999998</c:v>
                </c:pt>
                <c:pt idx="3966">
                  <c:v>0.63880000000000003</c:v>
                </c:pt>
                <c:pt idx="3967">
                  <c:v>0.63829999999999998</c:v>
                </c:pt>
                <c:pt idx="3968">
                  <c:v>0.62870000000000004</c:v>
                </c:pt>
                <c:pt idx="3969">
                  <c:v>0.62250000000000005</c:v>
                </c:pt>
                <c:pt idx="3970">
                  <c:v>0.61880000000000002</c:v>
                </c:pt>
                <c:pt idx="3971">
                  <c:v>0.62060000000000004</c:v>
                </c:pt>
                <c:pt idx="3972">
                  <c:v>0.62519999999999998</c:v>
                </c:pt>
                <c:pt idx="3973">
                  <c:v>0.62080000000000002</c:v>
                </c:pt>
                <c:pt idx="3974">
                  <c:v>0.62749999999999995</c:v>
                </c:pt>
                <c:pt idx="3975">
                  <c:v>0.62780000000000002</c:v>
                </c:pt>
                <c:pt idx="3976">
                  <c:v>0.63160000000000005</c:v>
                </c:pt>
                <c:pt idx="3977">
                  <c:v>0.63429999999999997</c:v>
                </c:pt>
                <c:pt idx="3978">
                  <c:v>0.63690000000000002</c:v>
                </c:pt>
                <c:pt idx="3979">
                  <c:v>0.63490000000000002</c:v>
                </c:pt>
                <c:pt idx="3980">
                  <c:v>0.63360000000000005</c:v>
                </c:pt>
                <c:pt idx="3981">
                  <c:v>0.62670000000000003</c:v>
                </c:pt>
                <c:pt idx="3982">
                  <c:v>0.62519999999999998</c:v>
                </c:pt>
                <c:pt idx="3983">
                  <c:v>0.62819999999999998</c:v>
                </c:pt>
                <c:pt idx="3984">
                  <c:v>0.62749999999999995</c:v>
                </c:pt>
                <c:pt idx="3985">
                  <c:v>0.63039999999999996</c:v>
                </c:pt>
                <c:pt idx="3986">
                  <c:v>0.63670000000000004</c:v>
                </c:pt>
                <c:pt idx="3987">
                  <c:v>0.63870000000000005</c:v>
                </c:pt>
                <c:pt idx="3988">
                  <c:v>0.63649999999999995</c:v>
                </c:pt>
                <c:pt idx="3989">
                  <c:v>0.63780000000000003</c:v>
                </c:pt>
                <c:pt idx="3990">
                  <c:v>0.63329999999999997</c:v>
                </c:pt>
                <c:pt idx="3991">
                  <c:v>0.62849999999999995</c:v>
                </c:pt>
                <c:pt idx="3992">
                  <c:v>0.62929999999999997</c:v>
                </c:pt>
                <c:pt idx="3993">
                  <c:v>0.63549999999999995</c:v>
                </c:pt>
                <c:pt idx="3994">
                  <c:v>0.63549999999999995</c:v>
                </c:pt>
                <c:pt idx="3995">
                  <c:v>0.63549999999999995</c:v>
                </c:pt>
                <c:pt idx="3996">
                  <c:v>0.63129999999999997</c:v>
                </c:pt>
                <c:pt idx="3997">
                  <c:v>0.63</c:v>
                </c:pt>
                <c:pt idx="3998">
                  <c:v>0.62350000000000005</c:v>
                </c:pt>
                <c:pt idx="3999">
                  <c:v>0.62849999999999995</c:v>
                </c:pt>
                <c:pt idx="4000">
                  <c:v>0.63549999999999995</c:v>
                </c:pt>
                <c:pt idx="4001">
                  <c:v>0.63480000000000003</c:v>
                </c:pt>
                <c:pt idx="4002">
                  <c:v>0.63649999999999995</c:v>
                </c:pt>
                <c:pt idx="4003">
                  <c:v>0.63429999999999997</c:v>
                </c:pt>
                <c:pt idx="4004">
                  <c:v>0.64229999999999998</c:v>
                </c:pt>
                <c:pt idx="4005">
                  <c:v>0.64880000000000004</c:v>
                </c:pt>
                <c:pt idx="4006">
                  <c:v>0.65029999999999999</c:v>
                </c:pt>
                <c:pt idx="4007">
                  <c:v>0.64949999999999997</c:v>
                </c:pt>
                <c:pt idx="4008">
                  <c:v>0.64600000000000002</c:v>
                </c:pt>
                <c:pt idx="4009">
                  <c:v>0.65429999999999999</c:v>
                </c:pt>
                <c:pt idx="4010">
                  <c:v>0.65429999999999999</c:v>
                </c:pt>
                <c:pt idx="4011">
                  <c:v>0.64870000000000005</c:v>
                </c:pt>
                <c:pt idx="4012">
                  <c:v>0.65180000000000005</c:v>
                </c:pt>
                <c:pt idx="4013">
                  <c:v>0.65349999999999997</c:v>
                </c:pt>
                <c:pt idx="4014">
                  <c:v>0.65980000000000005</c:v>
                </c:pt>
                <c:pt idx="4015">
                  <c:v>0.66139999999999999</c:v>
                </c:pt>
                <c:pt idx="4016">
                  <c:v>0.66149999999999998</c:v>
                </c:pt>
                <c:pt idx="4017">
                  <c:v>0.65900000000000003</c:v>
                </c:pt>
                <c:pt idx="4018">
                  <c:v>0.67110000000000003</c:v>
                </c:pt>
                <c:pt idx="4019">
                  <c:v>0.67300000000000004</c:v>
                </c:pt>
                <c:pt idx="4020">
                  <c:v>0.66920000000000002</c:v>
                </c:pt>
                <c:pt idx="4021">
                  <c:v>0.66600000000000004</c:v>
                </c:pt>
                <c:pt idx="4022">
                  <c:v>0.67130000000000001</c:v>
                </c:pt>
                <c:pt idx="4023">
                  <c:v>0.66459999999999997</c:v>
                </c:pt>
                <c:pt idx="4024">
                  <c:v>0.66779999999999995</c:v>
                </c:pt>
                <c:pt idx="4025">
                  <c:v>0.66310000000000002</c:v>
                </c:pt>
                <c:pt idx="4026">
                  <c:v>0.67379999999999995</c:v>
                </c:pt>
                <c:pt idx="4027">
                  <c:v>0.66279999999999994</c:v>
                </c:pt>
                <c:pt idx="4028">
                  <c:v>0.66</c:v>
                </c:pt>
                <c:pt idx="4029">
                  <c:v>0.66259999999999997</c:v>
                </c:pt>
                <c:pt idx="4030">
                  <c:v>0.65659999999999996</c:v>
                </c:pt>
                <c:pt idx="4031">
                  <c:v>0.65949999999999998</c:v>
                </c:pt>
                <c:pt idx="4032">
                  <c:v>0.64880000000000004</c:v>
                </c:pt>
                <c:pt idx="4033">
                  <c:v>0.65100000000000002</c:v>
                </c:pt>
                <c:pt idx="4034">
                  <c:v>0.65259999999999996</c:v>
                </c:pt>
                <c:pt idx="4035">
                  <c:v>0.64910000000000001</c:v>
                </c:pt>
                <c:pt idx="4036">
                  <c:v>0.64580000000000004</c:v>
                </c:pt>
                <c:pt idx="4037">
                  <c:v>0.64419999999999999</c:v>
                </c:pt>
                <c:pt idx="4038">
                  <c:v>0.64200000000000002</c:v>
                </c:pt>
                <c:pt idx="4039">
                  <c:v>0.65029999999999999</c:v>
                </c:pt>
                <c:pt idx="4040">
                  <c:v>0.65710000000000002</c:v>
                </c:pt>
                <c:pt idx="4041">
                  <c:v>0.65900000000000003</c:v>
                </c:pt>
                <c:pt idx="4042">
                  <c:v>0.6573</c:v>
                </c:pt>
                <c:pt idx="4043">
                  <c:v>0.65900000000000003</c:v>
                </c:pt>
                <c:pt idx="4044">
                  <c:v>0.66349999999999998</c:v>
                </c:pt>
                <c:pt idx="4045">
                  <c:v>0.66349999999999998</c:v>
                </c:pt>
                <c:pt idx="4046">
                  <c:v>0.65949999999999998</c:v>
                </c:pt>
                <c:pt idx="4047">
                  <c:v>0.65790000000000004</c:v>
                </c:pt>
                <c:pt idx="4048">
                  <c:v>0.6593</c:v>
                </c:pt>
                <c:pt idx="4049">
                  <c:v>0.65329999999999999</c:v>
                </c:pt>
                <c:pt idx="4050">
                  <c:v>0.65329999999999999</c:v>
                </c:pt>
                <c:pt idx="4051">
                  <c:v>0.65080000000000005</c:v>
                </c:pt>
                <c:pt idx="4052">
                  <c:v>0.65600000000000003</c:v>
                </c:pt>
                <c:pt idx="4053">
                  <c:v>0.6583</c:v>
                </c:pt>
                <c:pt idx="4054">
                  <c:v>0.66180000000000005</c:v>
                </c:pt>
                <c:pt idx="4055">
                  <c:v>0.66049999999999998</c:v>
                </c:pt>
                <c:pt idx="4056">
                  <c:v>0.65820000000000001</c:v>
                </c:pt>
                <c:pt idx="4057">
                  <c:v>0.65959999999999996</c:v>
                </c:pt>
                <c:pt idx="4058">
                  <c:v>0.66859999999999997</c:v>
                </c:pt>
                <c:pt idx="4059">
                  <c:v>0.66700000000000004</c:v>
                </c:pt>
                <c:pt idx="4060">
                  <c:v>0.66620000000000001</c:v>
                </c:pt>
                <c:pt idx="4061">
                  <c:v>0.67069999999999996</c:v>
                </c:pt>
                <c:pt idx="4062">
                  <c:v>0.66249999999999998</c:v>
                </c:pt>
                <c:pt idx="4063">
                  <c:v>0.66869999999999996</c:v>
                </c:pt>
                <c:pt idx="4064">
                  <c:v>0.66349999999999998</c:v>
                </c:pt>
                <c:pt idx="4065">
                  <c:v>0.66590000000000005</c:v>
                </c:pt>
                <c:pt idx="4066">
                  <c:v>0.66359999999999997</c:v>
                </c:pt>
                <c:pt idx="4067">
                  <c:v>0.66049999999999998</c:v>
                </c:pt>
                <c:pt idx="4068">
                  <c:v>0.65869999999999995</c:v>
                </c:pt>
                <c:pt idx="4069">
                  <c:v>0.6603</c:v>
                </c:pt>
                <c:pt idx="4070">
                  <c:v>0.6593</c:v>
                </c:pt>
                <c:pt idx="4071">
                  <c:v>0.65190000000000003</c:v>
                </c:pt>
                <c:pt idx="4072">
                  <c:v>0.64810000000000001</c:v>
                </c:pt>
                <c:pt idx="4073">
                  <c:v>0.64880000000000004</c:v>
                </c:pt>
                <c:pt idx="4074">
                  <c:v>0.64780000000000004</c:v>
                </c:pt>
                <c:pt idx="4075">
                  <c:v>0.65149999999999997</c:v>
                </c:pt>
                <c:pt idx="4076">
                  <c:v>0.6462</c:v>
                </c:pt>
                <c:pt idx="4077">
                  <c:v>0.64490000000000003</c:v>
                </c:pt>
                <c:pt idx="4078">
                  <c:v>0.64429999999999998</c:v>
                </c:pt>
                <c:pt idx="4079">
                  <c:v>0.65200000000000002</c:v>
                </c:pt>
                <c:pt idx="4080">
                  <c:v>0.65200000000000002</c:v>
                </c:pt>
                <c:pt idx="4081">
                  <c:v>0.65129999999999999</c:v>
                </c:pt>
                <c:pt idx="4082">
                  <c:v>0.65569999999999995</c:v>
                </c:pt>
                <c:pt idx="4083">
                  <c:v>0.6573</c:v>
                </c:pt>
                <c:pt idx="4084">
                  <c:v>0.65439999999999998</c:v>
                </c:pt>
                <c:pt idx="4085">
                  <c:v>0.65180000000000005</c:v>
                </c:pt>
                <c:pt idx="4086">
                  <c:v>0.65329999999999999</c:v>
                </c:pt>
                <c:pt idx="4087">
                  <c:v>0.65039999999999998</c:v>
                </c:pt>
                <c:pt idx="4088">
                  <c:v>0.65100000000000002</c:v>
                </c:pt>
                <c:pt idx="4089">
                  <c:v>0.65180000000000005</c:v>
                </c:pt>
                <c:pt idx="4090">
                  <c:v>0.65339999999999998</c:v>
                </c:pt>
                <c:pt idx="4091">
                  <c:v>0.64949999999999997</c:v>
                </c:pt>
                <c:pt idx="4092">
                  <c:v>0.64710000000000001</c:v>
                </c:pt>
                <c:pt idx="4093">
                  <c:v>0.63680000000000003</c:v>
                </c:pt>
                <c:pt idx="4094">
                  <c:v>0.63829999999999998</c:v>
                </c:pt>
                <c:pt idx="4095">
                  <c:v>0.63800000000000001</c:v>
                </c:pt>
                <c:pt idx="4096">
                  <c:v>0.63729999999999998</c:v>
                </c:pt>
                <c:pt idx="4097">
                  <c:v>0.63360000000000005</c:v>
                </c:pt>
                <c:pt idx="4098">
                  <c:v>0.63180000000000003</c:v>
                </c:pt>
                <c:pt idx="4099">
                  <c:v>0.63190000000000002</c:v>
                </c:pt>
                <c:pt idx="4100">
                  <c:v>0.6321</c:v>
                </c:pt>
                <c:pt idx="4101">
                  <c:v>0.63790000000000002</c:v>
                </c:pt>
                <c:pt idx="4102">
                  <c:v>0.6381</c:v>
                </c:pt>
                <c:pt idx="4103">
                  <c:v>0.63980000000000004</c:v>
                </c:pt>
                <c:pt idx="4104">
                  <c:v>0.64510000000000001</c:v>
                </c:pt>
                <c:pt idx="4105">
                  <c:v>0.64410000000000001</c:v>
                </c:pt>
                <c:pt idx="4106">
                  <c:v>0.64559999999999995</c:v>
                </c:pt>
                <c:pt idx="4107">
                  <c:v>0.65</c:v>
                </c:pt>
                <c:pt idx="4108">
                  <c:v>0.64900000000000002</c:v>
                </c:pt>
                <c:pt idx="4109">
                  <c:v>0.65080000000000005</c:v>
                </c:pt>
                <c:pt idx="4110">
                  <c:v>0.65539999999999998</c:v>
                </c:pt>
                <c:pt idx="4111">
                  <c:v>0.65539999999999998</c:v>
                </c:pt>
                <c:pt idx="4112">
                  <c:v>0.65180000000000005</c:v>
                </c:pt>
                <c:pt idx="4113">
                  <c:v>0.64880000000000004</c:v>
                </c:pt>
                <c:pt idx="4114">
                  <c:v>0.65049999999999997</c:v>
                </c:pt>
                <c:pt idx="4115">
                  <c:v>0.64390000000000003</c:v>
                </c:pt>
                <c:pt idx="4116">
                  <c:v>0.64590000000000003</c:v>
                </c:pt>
                <c:pt idx="4117">
                  <c:v>0.65</c:v>
                </c:pt>
                <c:pt idx="4118">
                  <c:v>0.64900000000000002</c:v>
                </c:pt>
                <c:pt idx="4119">
                  <c:v>0.65</c:v>
                </c:pt>
                <c:pt idx="4120">
                  <c:v>0.65510000000000002</c:v>
                </c:pt>
                <c:pt idx="4121">
                  <c:v>0.65029999999999999</c:v>
                </c:pt>
                <c:pt idx="4122">
                  <c:v>0.65439999999999998</c:v>
                </c:pt>
                <c:pt idx="4123">
                  <c:v>0.65359999999999996</c:v>
                </c:pt>
                <c:pt idx="4124">
                  <c:v>0.6522</c:v>
                </c:pt>
                <c:pt idx="4125">
                  <c:v>0.6522</c:v>
                </c:pt>
                <c:pt idx="4126">
                  <c:v>0.66200000000000003</c:v>
                </c:pt>
                <c:pt idx="4127">
                  <c:v>0.66120000000000001</c:v>
                </c:pt>
                <c:pt idx="4128">
                  <c:v>0.66169999999999995</c:v>
                </c:pt>
                <c:pt idx="4129">
                  <c:v>0.65629999999999999</c:v>
                </c:pt>
                <c:pt idx="4130">
                  <c:v>0.65380000000000005</c:v>
                </c:pt>
                <c:pt idx="4131">
                  <c:v>0.65180000000000005</c:v>
                </c:pt>
                <c:pt idx="4132">
                  <c:v>0.65610000000000002</c:v>
                </c:pt>
                <c:pt idx="4133">
                  <c:v>0.65049999999999997</c:v>
                </c:pt>
                <c:pt idx="4134">
                  <c:v>0.65069999999999995</c:v>
                </c:pt>
                <c:pt idx="4135">
                  <c:v>0.64400000000000002</c:v>
                </c:pt>
                <c:pt idx="4136">
                  <c:v>0.64580000000000004</c:v>
                </c:pt>
                <c:pt idx="4137">
                  <c:v>0.64880000000000004</c:v>
                </c:pt>
                <c:pt idx="4138">
                  <c:v>0.64800000000000002</c:v>
                </c:pt>
                <c:pt idx="4139">
                  <c:v>0.65010000000000001</c:v>
                </c:pt>
                <c:pt idx="4140">
                  <c:v>0.64859999999999995</c:v>
                </c:pt>
                <c:pt idx="4141">
                  <c:v>0.65249999999999997</c:v>
                </c:pt>
                <c:pt idx="4142">
                  <c:v>0.64710000000000001</c:v>
                </c:pt>
                <c:pt idx="4143">
                  <c:v>0.64339999999999997</c:v>
                </c:pt>
                <c:pt idx="4144">
                  <c:v>0.64459999999999995</c:v>
                </c:pt>
                <c:pt idx="4145">
                  <c:v>0.63670000000000004</c:v>
                </c:pt>
                <c:pt idx="4146">
                  <c:v>0.63919999999999999</c:v>
                </c:pt>
                <c:pt idx="4147">
                  <c:v>0.64449999999999996</c:v>
                </c:pt>
                <c:pt idx="4148">
                  <c:v>0.64270000000000005</c:v>
                </c:pt>
                <c:pt idx="4149">
                  <c:v>0.6371</c:v>
                </c:pt>
                <c:pt idx="4150">
                  <c:v>0.63990000000000002</c:v>
                </c:pt>
                <c:pt idx="4151">
                  <c:v>0.63700000000000001</c:v>
                </c:pt>
                <c:pt idx="4152">
                  <c:v>0.63870000000000005</c:v>
                </c:pt>
                <c:pt idx="4153">
                  <c:v>0.64229999999999998</c:v>
                </c:pt>
                <c:pt idx="4154">
                  <c:v>0.64259999999999995</c:v>
                </c:pt>
                <c:pt idx="4155">
                  <c:v>0.64659999999999995</c:v>
                </c:pt>
                <c:pt idx="4156">
                  <c:v>0.64480000000000004</c:v>
                </c:pt>
                <c:pt idx="4157">
                  <c:v>0.64290000000000003</c:v>
                </c:pt>
                <c:pt idx="4158">
                  <c:v>0.6401</c:v>
                </c:pt>
                <c:pt idx="4159">
                  <c:v>0.63829999999999998</c:v>
                </c:pt>
                <c:pt idx="4160">
                  <c:v>0.63939999999999997</c:v>
                </c:pt>
                <c:pt idx="4161">
                  <c:v>0.63670000000000004</c:v>
                </c:pt>
                <c:pt idx="4162">
                  <c:v>0.63560000000000005</c:v>
                </c:pt>
                <c:pt idx="4163">
                  <c:v>0.63280000000000003</c:v>
                </c:pt>
                <c:pt idx="4164">
                  <c:v>0.63819999999999999</c:v>
                </c:pt>
                <c:pt idx="4165">
                  <c:v>0.6361</c:v>
                </c:pt>
                <c:pt idx="4166">
                  <c:v>0.63759999999999994</c:v>
                </c:pt>
                <c:pt idx="4167">
                  <c:v>0.63649999999999995</c:v>
                </c:pt>
                <c:pt idx="4168">
                  <c:v>0.63529999999999998</c:v>
                </c:pt>
                <c:pt idx="4169">
                  <c:v>0.63229999999999997</c:v>
                </c:pt>
                <c:pt idx="4170">
                  <c:v>0.63329999999999997</c:v>
                </c:pt>
                <c:pt idx="4171">
                  <c:v>0.63449999999999995</c:v>
                </c:pt>
                <c:pt idx="4172">
                  <c:v>0.63649999999999995</c:v>
                </c:pt>
                <c:pt idx="4173">
                  <c:v>0.63849999999999996</c:v>
                </c:pt>
                <c:pt idx="4174">
                  <c:v>0.63570000000000004</c:v>
                </c:pt>
                <c:pt idx="4175">
                  <c:v>0.63570000000000004</c:v>
                </c:pt>
                <c:pt idx="4176">
                  <c:v>0.63580000000000003</c:v>
                </c:pt>
                <c:pt idx="4177">
                  <c:v>0.63529999999999998</c:v>
                </c:pt>
                <c:pt idx="4178">
                  <c:v>0.6371</c:v>
                </c:pt>
                <c:pt idx="4179">
                  <c:v>0.6431</c:v>
                </c:pt>
                <c:pt idx="4180">
                  <c:v>0.64139999999999997</c:v>
                </c:pt>
                <c:pt idx="4181">
                  <c:v>0.64270000000000005</c:v>
                </c:pt>
                <c:pt idx="4182">
                  <c:v>0.64700000000000002</c:v>
                </c:pt>
                <c:pt idx="4183">
                  <c:v>0.64470000000000005</c:v>
                </c:pt>
                <c:pt idx="4184">
                  <c:v>0.64370000000000005</c:v>
                </c:pt>
                <c:pt idx="4185">
                  <c:v>0.64370000000000005</c:v>
                </c:pt>
                <c:pt idx="4186">
                  <c:v>0.64370000000000005</c:v>
                </c:pt>
                <c:pt idx="4187">
                  <c:v>0.64629999999999999</c:v>
                </c:pt>
                <c:pt idx="4188">
                  <c:v>0.65329999999999999</c:v>
                </c:pt>
                <c:pt idx="4189">
                  <c:v>0.65380000000000005</c:v>
                </c:pt>
                <c:pt idx="4190">
                  <c:v>0.65380000000000005</c:v>
                </c:pt>
                <c:pt idx="4191">
                  <c:v>0.6583</c:v>
                </c:pt>
                <c:pt idx="4192">
                  <c:v>0.65580000000000005</c:v>
                </c:pt>
                <c:pt idx="4193">
                  <c:v>0.65820000000000001</c:v>
                </c:pt>
                <c:pt idx="4194">
                  <c:v>0.65390000000000004</c:v>
                </c:pt>
                <c:pt idx="4195">
                  <c:v>0.65559999999999996</c:v>
                </c:pt>
                <c:pt idx="4196">
                  <c:v>0.65580000000000005</c:v>
                </c:pt>
                <c:pt idx="4197">
                  <c:v>0.6583</c:v>
                </c:pt>
                <c:pt idx="4198">
                  <c:v>0.66290000000000004</c:v>
                </c:pt>
                <c:pt idx="4199">
                  <c:v>0.66639999999999999</c:v>
                </c:pt>
                <c:pt idx="4200">
                  <c:v>0.66539999999999999</c:v>
                </c:pt>
                <c:pt idx="4201">
                  <c:v>0.6633</c:v>
                </c:pt>
                <c:pt idx="4202">
                  <c:v>0.66439999999999999</c:v>
                </c:pt>
                <c:pt idx="4203">
                  <c:v>0.66339999999999999</c:v>
                </c:pt>
                <c:pt idx="4204">
                  <c:v>0.6653</c:v>
                </c:pt>
                <c:pt idx="4205">
                  <c:v>0.65629999999999999</c:v>
                </c:pt>
                <c:pt idx="4206">
                  <c:v>0.65580000000000005</c:v>
                </c:pt>
                <c:pt idx="4207">
                  <c:v>0.65580000000000005</c:v>
                </c:pt>
                <c:pt idx="4208">
                  <c:v>0.65229999999999999</c:v>
                </c:pt>
                <c:pt idx="4209">
                  <c:v>0.65110000000000001</c:v>
                </c:pt>
                <c:pt idx="4210">
                  <c:v>0.63819999999999999</c:v>
                </c:pt>
                <c:pt idx="4211">
                  <c:v>0.63580000000000003</c:v>
                </c:pt>
                <c:pt idx="4212">
                  <c:v>0.63949999999999996</c:v>
                </c:pt>
                <c:pt idx="4213">
                  <c:v>0.63429999999999997</c:v>
                </c:pt>
                <c:pt idx="4214">
                  <c:v>0.63329999999999997</c:v>
                </c:pt>
                <c:pt idx="4215">
                  <c:v>0.63880000000000003</c:v>
                </c:pt>
                <c:pt idx="4216">
                  <c:v>0.63580000000000003</c:v>
                </c:pt>
                <c:pt idx="4217">
                  <c:v>0.63319999999999999</c:v>
                </c:pt>
                <c:pt idx="4218">
                  <c:v>0.63480000000000003</c:v>
                </c:pt>
                <c:pt idx="4219">
                  <c:v>0.62860000000000005</c:v>
                </c:pt>
                <c:pt idx="4220">
                  <c:v>0.63280000000000003</c:v>
                </c:pt>
                <c:pt idx="4221">
                  <c:v>0.62629999999999997</c:v>
                </c:pt>
                <c:pt idx="4222">
                  <c:v>0.63229999999999997</c:v>
                </c:pt>
                <c:pt idx="4223">
                  <c:v>0.63049999999999995</c:v>
                </c:pt>
                <c:pt idx="4224">
                  <c:v>0.63280000000000003</c:v>
                </c:pt>
                <c:pt idx="4225">
                  <c:v>0.62770000000000004</c:v>
                </c:pt>
                <c:pt idx="4226">
                  <c:v>0.62609999999999999</c:v>
                </c:pt>
                <c:pt idx="4227">
                  <c:v>0.62180000000000002</c:v>
                </c:pt>
                <c:pt idx="4228">
                  <c:v>0.62129999999999996</c:v>
                </c:pt>
                <c:pt idx="4229">
                  <c:v>0.6179</c:v>
                </c:pt>
                <c:pt idx="4230">
                  <c:v>0.61360000000000003</c:v>
                </c:pt>
                <c:pt idx="4231">
                  <c:v>0.61429999999999996</c:v>
                </c:pt>
                <c:pt idx="4232">
                  <c:v>0.60740000000000005</c:v>
                </c:pt>
                <c:pt idx="4233">
                  <c:v>0.60740000000000005</c:v>
                </c:pt>
                <c:pt idx="4234">
                  <c:v>0.60919999999999996</c:v>
                </c:pt>
                <c:pt idx="4235">
                  <c:v>0.6048</c:v>
                </c:pt>
                <c:pt idx="4236">
                  <c:v>0.6018</c:v>
                </c:pt>
                <c:pt idx="4237">
                  <c:v>0.60350000000000004</c:v>
                </c:pt>
                <c:pt idx="4238">
                  <c:v>0.61299999999999999</c:v>
                </c:pt>
                <c:pt idx="4239">
                  <c:v>0.61580000000000001</c:v>
                </c:pt>
                <c:pt idx="4240">
                  <c:v>0.61240000000000006</c:v>
                </c:pt>
                <c:pt idx="4241">
                  <c:v>0.6169</c:v>
                </c:pt>
                <c:pt idx="4242">
                  <c:v>0.61240000000000006</c:v>
                </c:pt>
                <c:pt idx="4243">
                  <c:v>0.61460000000000004</c:v>
                </c:pt>
                <c:pt idx="4244">
                  <c:v>0.61070000000000002</c:v>
                </c:pt>
                <c:pt idx="4245">
                  <c:v>0.60599999999999998</c:v>
                </c:pt>
                <c:pt idx="4246">
                  <c:v>0.60960000000000003</c:v>
                </c:pt>
                <c:pt idx="4247">
                  <c:v>0.60880000000000001</c:v>
                </c:pt>
                <c:pt idx="4248">
                  <c:v>0.60399999999999998</c:v>
                </c:pt>
                <c:pt idx="4249">
                  <c:v>0.60729999999999995</c:v>
                </c:pt>
                <c:pt idx="4250">
                  <c:v>0.61260000000000003</c:v>
                </c:pt>
                <c:pt idx="4251">
                  <c:v>0.61429999999999996</c:v>
                </c:pt>
                <c:pt idx="4252">
                  <c:v>0.61160000000000003</c:v>
                </c:pt>
                <c:pt idx="4253">
                  <c:v>0.61150000000000004</c:v>
                </c:pt>
                <c:pt idx="4254">
                  <c:v>0.60550000000000004</c:v>
                </c:pt>
                <c:pt idx="4255">
                  <c:v>0.60709999999999997</c:v>
                </c:pt>
                <c:pt idx="4256">
                  <c:v>0.60299999999999998</c:v>
                </c:pt>
                <c:pt idx="4257">
                  <c:v>0.60529999999999995</c:v>
                </c:pt>
                <c:pt idx="4258">
                  <c:v>0.60570000000000002</c:v>
                </c:pt>
                <c:pt idx="4259">
                  <c:v>0.5998</c:v>
                </c:pt>
                <c:pt idx="4260">
                  <c:v>0.59770000000000001</c:v>
                </c:pt>
                <c:pt idx="4261">
                  <c:v>0.59499999999999997</c:v>
                </c:pt>
                <c:pt idx="4262">
                  <c:v>0.59650000000000003</c:v>
                </c:pt>
                <c:pt idx="4263">
                  <c:v>0.59860000000000002</c:v>
                </c:pt>
                <c:pt idx="4264">
                  <c:v>0.59770000000000001</c:v>
                </c:pt>
                <c:pt idx="4265">
                  <c:v>0.6028</c:v>
                </c:pt>
                <c:pt idx="4266">
                  <c:v>0.59499999999999997</c:v>
                </c:pt>
                <c:pt idx="4267">
                  <c:v>0.59719999999999995</c:v>
                </c:pt>
                <c:pt idx="4268">
                  <c:v>0.59640000000000004</c:v>
                </c:pt>
                <c:pt idx="4269">
                  <c:v>0.59640000000000004</c:v>
                </c:pt>
                <c:pt idx="4270">
                  <c:v>0.59640000000000004</c:v>
                </c:pt>
                <c:pt idx="4271">
                  <c:v>0.59640000000000004</c:v>
                </c:pt>
                <c:pt idx="4272">
                  <c:v>0.5887</c:v>
                </c:pt>
                <c:pt idx="4273">
                  <c:v>0.59019999999999995</c:v>
                </c:pt>
                <c:pt idx="4274">
                  <c:v>0.59089999999999998</c:v>
                </c:pt>
                <c:pt idx="4275">
                  <c:v>0.58079999999999998</c:v>
                </c:pt>
                <c:pt idx="4276">
                  <c:v>0.58450000000000002</c:v>
                </c:pt>
                <c:pt idx="4277">
                  <c:v>0.59</c:v>
                </c:pt>
                <c:pt idx="4278">
                  <c:v>0.58850000000000002</c:v>
                </c:pt>
                <c:pt idx="4279">
                  <c:v>0.59360000000000002</c:v>
                </c:pt>
                <c:pt idx="4280">
                  <c:v>0.58709999999999996</c:v>
                </c:pt>
                <c:pt idx="4281">
                  <c:v>0.58150000000000002</c:v>
                </c:pt>
                <c:pt idx="4282">
                  <c:v>0.58240000000000003</c:v>
                </c:pt>
                <c:pt idx="4283">
                  <c:v>0.57799999999999996</c:v>
                </c:pt>
                <c:pt idx="4284">
                  <c:v>0.57999999999999996</c:v>
                </c:pt>
                <c:pt idx="4285">
                  <c:v>0.57740000000000002</c:v>
                </c:pt>
                <c:pt idx="4286">
                  <c:v>0.57650000000000001</c:v>
                </c:pt>
                <c:pt idx="4287">
                  <c:v>0.56999999999999995</c:v>
                </c:pt>
                <c:pt idx="4288">
                  <c:v>0.57050000000000001</c:v>
                </c:pt>
                <c:pt idx="4289">
                  <c:v>0.57450000000000001</c:v>
                </c:pt>
                <c:pt idx="4290">
                  <c:v>0.57279999999999998</c:v>
                </c:pt>
                <c:pt idx="4291">
                  <c:v>0.57679999999999998</c:v>
                </c:pt>
                <c:pt idx="4292">
                  <c:v>0.57099999999999995</c:v>
                </c:pt>
                <c:pt idx="4293">
                  <c:v>0.57320000000000004</c:v>
                </c:pt>
                <c:pt idx="4294">
                  <c:v>0.57050000000000001</c:v>
                </c:pt>
                <c:pt idx="4295">
                  <c:v>0.57430000000000003</c:v>
                </c:pt>
                <c:pt idx="4296">
                  <c:v>0.57699999999999996</c:v>
                </c:pt>
                <c:pt idx="4297">
                  <c:v>0.57350000000000001</c:v>
                </c:pt>
                <c:pt idx="4298">
                  <c:v>0.57399999999999995</c:v>
                </c:pt>
                <c:pt idx="4299">
                  <c:v>0.57150000000000001</c:v>
                </c:pt>
                <c:pt idx="4300">
                  <c:v>0.58099999999999996</c:v>
                </c:pt>
                <c:pt idx="4301">
                  <c:v>0.58109999999999995</c:v>
                </c:pt>
                <c:pt idx="4302">
                  <c:v>0.58850000000000002</c:v>
                </c:pt>
                <c:pt idx="4303">
                  <c:v>0.58950000000000002</c:v>
                </c:pt>
                <c:pt idx="4304">
                  <c:v>0.58699999999999997</c:v>
                </c:pt>
                <c:pt idx="4305">
                  <c:v>0.58699999999999997</c:v>
                </c:pt>
                <c:pt idx="4306">
                  <c:v>0.59089999999999998</c:v>
                </c:pt>
                <c:pt idx="4307">
                  <c:v>0.60170000000000001</c:v>
                </c:pt>
                <c:pt idx="4308">
                  <c:v>0.60040000000000004</c:v>
                </c:pt>
                <c:pt idx="4309">
                  <c:v>0.60719999999999996</c:v>
                </c:pt>
                <c:pt idx="4310">
                  <c:v>0.6038</c:v>
                </c:pt>
                <c:pt idx="4311">
                  <c:v>0.60540000000000005</c:v>
                </c:pt>
                <c:pt idx="4312">
                  <c:v>0.5998</c:v>
                </c:pt>
                <c:pt idx="4313">
                  <c:v>0.6018</c:v>
                </c:pt>
                <c:pt idx="4314">
                  <c:v>0.59560000000000002</c:v>
                </c:pt>
                <c:pt idx="4315">
                  <c:v>0.59309999999999996</c:v>
                </c:pt>
                <c:pt idx="4316">
                  <c:v>0.60099999999999998</c:v>
                </c:pt>
                <c:pt idx="4317">
                  <c:v>0.60029999999999994</c:v>
                </c:pt>
                <c:pt idx="4318">
                  <c:v>0.60189999999999999</c:v>
                </c:pt>
                <c:pt idx="4319">
                  <c:v>0.59860000000000002</c:v>
                </c:pt>
                <c:pt idx="4320">
                  <c:v>0.60129999999999995</c:v>
                </c:pt>
                <c:pt idx="4321">
                  <c:v>0.59850000000000003</c:v>
                </c:pt>
                <c:pt idx="4322">
                  <c:v>0.59530000000000005</c:v>
                </c:pt>
                <c:pt idx="4323">
                  <c:v>0.59079999999999999</c:v>
                </c:pt>
                <c:pt idx="4324">
                  <c:v>0.58730000000000004</c:v>
                </c:pt>
                <c:pt idx="4325">
                  <c:v>0.59389999999999998</c:v>
                </c:pt>
                <c:pt idx="4326">
                  <c:v>0.59150000000000003</c:v>
                </c:pt>
                <c:pt idx="4327">
                  <c:v>0.58899999999999997</c:v>
                </c:pt>
                <c:pt idx="4328">
                  <c:v>0.59009999999999996</c:v>
                </c:pt>
                <c:pt idx="4329">
                  <c:v>0.58550000000000002</c:v>
                </c:pt>
                <c:pt idx="4330">
                  <c:v>0.58560000000000001</c:v>
                </c:pt>
                <c:pt idx="4331">
                  <c:v>0.58430000000000004</c:v>
                </c:pt>
                <c:pt idx="4332">
                  <c:v>0.58179999999999998</c:v>
                </c:pt>
                <c:pt idx="4333">
                  <c:v>0.57709999999999995</c:v>
                </c:pt>
                <c:pt idx="4334">
                  <c:v>0.58379999999999999</c:v>
                </c:pt>
                <c:pt idx="4335">
                  <c:v>0.58799999999999997</c:v>
                </c:pt>
                <c:pt idx="4336">
                  <c:v>0.5857</c:v>
                </c:pt>
                <c:pt idx="4337">
                  <c:v>0.58730000000000004</c:v>
                </c:pt>
                <c:pt idx="4338">
                  <c:v>0.59209999999999996</c:v>
                </c:pt>
                <c:pt idx="4339">
                  <c:v>0.5917</c:v>
                </c:pt>
                <c:pt idx="4340">
                  <c:v>0.58220000000000005</c:v>
                </c:pt>
                <c:pt idx="4341">
                  <c:v>0.5806</c:v>
                </c:pt>
                <c:pt idx="4342">
                  <c:v>0.58309999999999995</c:v>
                </c:pt>
                <c:pt idx="4343">
                  <c:v>0.58650000000000002</c:v>
                </c:pt>
                <c:pt idx="4344">
                  <c:v>0.5847</c:v>
                </c:pt>
                <c:pt idx="4345">
                  <c:v>0.5847</c:v>
                </c:pt>
                <c:pt idx="4346">
                  <c:v>0.58720000000000006</c:v>
                </c:pt>
                <c:pt idx="4347">
                  <c:v>0.58279999999999998</c:v>
                </c:pt>
                <c:pt idx="4348">
                  <c:v>0.58150000000000002</c:v>
                </c:pt>
                <c:pt idx="4349">
                  <c:v>0.58230000000000004</c:v>
                </c:pt>
                <c:pt idx="4350">
                  <c:v>0.57969999999999999</c:v>
                </c:pt>
                <c:pt idx="4351">
                  <c:v>0.58330000000000004</c:v>
                </c:pt>
                <c:pt idx="4352">
                  <c:v>0.58750000000000002</c:v>
                </c:pt>
                <c:pt idx="4353">
                  <c:v>0.59079999999999999</c:v>
                </c:pt>
                <c:pt idx="4354">
                  <c:v>0.59330000000000005</c:v>
                </c:pt>
                <c:pt idx="4355">
                  <c:v>0.58989999999999998</c:v>
                </c:pt>
                <c:pt idx="4356">
                  <c:v>0.59</c:v>
                </c:pt>
                <c:pt idx="4357">
                  <c:v>0.57050000000000001</c:v>
                </c:pt>
                <c:pt idx="4358">
                  <c:v>0.57279999999999998</c:v>
                </c:pt>
                <c:pt idx="4359">
                  <c:v>0.57150000000000001</c:v>
                </c:pt>
                <c:pt idx="4360">
                  <c:v>0.57340000000000002</c:v>
                </c:pt>
                <c:pt idx="4361">
                  <c:v>0.57440000000000002</c:v>
                </c:pt>
                <c:pt idx="4362">
                  <c:v>0.57130000000000003</c:v>
                </c:pt>
                <c:pt idx="4363">
                  <c:v>0.57479999999999998</c:v>
                </c:pt>
                <c:pt idx="4364">
                  <c:v>0.57479999999999998</c:v>
                </c:pt>
                <c:pt idx="4365">
                  <c:v>0.57679999999999998</c:v>
                </c:pt>
                <c:pt idx="4366">
                  <c:v>0.57350000000000001</c:v>
                </c:pt>
                <c:pt idx="4367">
                  <c:v>0.56679999999999997</c:v>
                </c:pt>
                <c:pt idx="4368">
                  <c:v>0.56389999999999996</c:v>
                </c:pt>
                <c:pt idx="4369">
                  <c:v>0.55930000000000002</c:v>
                </c:pt>
                <c:pt idx="4370">
                  <c:v>0.5585</c:v>
                </c:pt>
                <c:pt idx="4371">
                  <c:v>0.55730000000000002</c:v>
                </c:pt>
                <c:pt idx="4372">
                  <c:v>0.55469999999999997</c:v>
                </c:pt>
                <c:pt idx="4373">
                  <c:v>0.54979999999999996</c:v>
                </c:pt>
                <c:pt idx="4374">
                  <c:v>0.55010000000000003</c:v>
                </c:pt>
                <c:pt idx="4375">
                  <c:v>0.54330000000000001</c:v>
                </c:pt>
                <c:pt idx="4376">
                  <c:v>0.54349999999999998</c:v>
                </c:pt>
                <c:pt idx="4377">
                  <c:v>0.5403</c:v>
                </c:pt>
                <c:pt idx="4378">
                  <c:v>0.53859999999999997</c:v>
                </c:pt>
                <c:pt idx="4379">
                  <c:v>0.5464</c:v>
                </c:pt>
                <c:pt idx="4380">
                  <c:v>0.54649999999999999</c:v>
                </c:pt>
                <c:pt idx="4381">
                  <c:v>0.55030000000000001</c:v>
                </c:pt>
                <c:pt idx="4382">
                  <c:v>0.54879999999999995</c:v>
                </c:pt>
                <c:pt idx="4383">
                  <c:v>0.54979999999999996</c:v>
                </c:pt>
                <c:pt idx="4384">
                  <c:v>0.54330000000000001</c:v>
                </c:pt>
                <c:pt idx="4385">
                  <c:v>0.54330000000000001</c:v>
                </c:pt>
                <c:pt idx="4386">
                  <c:v>0.54400000000000004</c:v>
                </c:pt>
                <c:pt idx="4387">
                  <c:v>0.5363</c:v>
                </c:pt>
                <c:pt idx="4388">
                  <c:v>0.53600000000000003</c:v>
                </c:pt>
                <c:pt idx="4389">
                  <c:v>0.53149999999999997</c:v>
                </c:pt>
                <c:pt idx="4390">
                  <c:v>0.5343</c:v>
                </c:pt>
                <c:pt idx="4391">
                  <c:v>0.53039999999999998</c:v>
                </c:pt>
                <c:pt idx="4392">
                  <c:v>0.53369999999999995</c:v>
                </c:pt>
                <c:pt idx="4393">
                  <c:v>0.53069999999999995</c:v>
                </c:pt>
                <c:pt idx="4394">
                  <c:v>0.52980000000000005</c:v>
                </c:pt>
                <c:pt idx="4395">
                  <c:v>0.52749999999999997</c:v>
                </c:pt>
                <c:pt idx="4396">
                  <c:v>0.52139999999999997</c:v>
                </c:pt>
                <c:pt idx="4397">
                  <c:v>0.52029999999999998</c:v>
                </c:pt>
                <c:pt idx="4398">
                  <c:v>0.5181</c:v>
                </c:pt>
                <c:pt idx="4399">
                  <c:v>0.52769999999999995</c:v>
                </c:pt>
                <c:pt idx="4400">
                  <c:v>0.52790000000000004</c:v>
                </c:pt>
                <c:pt idx="4401">
                  <c:v>0.52680000000000005</c:v>
                </c:pt>
                <c:pt idx="4402">
                  <c:v>0.5272</c:v>
                </c:pt>
                <c:pt idx="4403">
                  <c:v>0.51900000000000002</c:v>
                </c:pt>
                <c:pt idx="4404">
                  <c:v>0.51949999999999996</c:v>
                </c:pt>
                <c:pt idx="4405">
                  <c:v>0.52490000000000003</c:v>
                </c:pt>
                <c:pt idx="4406">
                  <c:v>0.51480000000000004</c:v>
                </c:pt>
                <c:pt idx="4407">
                  <c:v>0.52049999999999996</c:v>
                </c:pt>
                <c:pt idx="4408">
                  <c:v>0.51849999999999996</c:v>
                </c:pt>
                <c:pt idx="4409">
                  <c:v>0.52349999999999997</c:v>
                </c:pt>
                <c:pt idx="4410">
                  <c:v>0.52690000000000003</c:v>
                </c:pt>
                <c:pt idx="4411">
                  <c:v>0.52690000000000003</c:v>
                </c:pt>
                <c:pt idx="4412">
                  <c:v>0.53080000000000005</c:v>
                </c:pt>
                <c:pt idx="4413">
                  <c:v>0.52339999999999998</c:v>
                </c:pt>
                <c:pt idx="4414">
                  <c:v>0.52800000000000002</c:v>
                </c:pt>
                <c:pt idx="4415">
                  <c:v>0.52070000000000005</c:v>
                </c:pt>
                <c:pt idx="4416">
                  <c:v>0.52170000000000005</c:v>
                </c:pt>
                <c:pt idx="4417">
                  <c:v>0.52149999999999996</c:v>
                </c:pt>
                <c:pt idx="4418">
                  <c:v>0.52090000000000003</c:v>
                </c:pt>
                <c:pt idx="4419">
                  <c:v>0.52129999999999999</c:v>
                </c:pt>
                <c:pt idx="4420">
                  <c:v>0.51919999999999999</c:v>
                </c:pt>
                <c:pt idx="4421">
                  <c:v>0.51319999999999999</c:v>
                </c:pt>
                <c:pt idx="4422">
                  <c:v>0.51249999999999996</c:v>
                </c:pt>
                <c:pt idx="4423">
                  <c:v>0.52480000000000004</c:v>
                </c:pt>
                <c:pt idx="4424">
                  <c:v>0.52080000000000004</c:v>
                </c:pt>
                <c:pt idx="4425">
                  <c:v>0.52110000000000001</c:v>
                </c:pt>
                <c:pt idx="4426">
                  <c:v>0.52529999999999999</c:v>
                </c:pt>
                <c:pt idx="4427">
                  <c:v>0.52569999999999995</c:v>
                </c:pt>
                <c:pt idx="4428">
                  <c:v>0.52270000000000005</c:v>
                </c:pt>
                <c:pt idx="4429">
                  <c:v>0.53680000000000005</c:v>
                </c:pt>
                <c:pt idx="4430">
                  <c:v>0.54169999999999996</c:v>
                </c:pt>
                <c:pt idx="4431">
                  <c:v>0.54330000000000001</c:v>
                </c:pt>
                <c:pt idx="4432">
                  <c:v>0.54510000000000003</c:v>
                </c:pt>
                <c:pt idx="4433">
                  <c:v>0.54930000000000001</c:v>
                </c:pt>
                <c:pt idx="4434">
                  <c:v>0.5454</c:v>
                </c:pt>
                <c:pt idx="4435">
                  <c:v>0.54320000000000002</c:v>
                </c:pt>
                <c:pt idx="4436">
                  <c:v>0.53959999999999997</c:v>
                </c:pt>
                <c:pt idx="4437">
                  <c:v>0.54200000000000004</c:v>
                </c:pt>
                <c:pt idx="4438">
                  <c:v>0.54039999999999999</c:v>
                </c:pt>
                <c:pt idx="4439">
                  <c:v>0.54579999999999995</c:v>
                </c:pt>
                <c:pt idx="4440">
                  <c:v>0.54530000000000001</c:v>
                </c:pt>
                <c:pt idx="4441">
                  <c:v>0.54259999999999997</c:v>
                </c:pt>
                <c:pt idx="4442">
                  <c:v>0.54779999999999995</c:v>
                </c:pt>
                <c:pt idx="4443">
                  <c:v>0.55279999999999996</c:v>
                </c:pt>
                <c:pt idx="4444">
                  <c:v>0.55579999999999996</c:v>
                </c:pt>
                <c:pt idx="4445">
                  <c:v>0.55579999999999996</c:v>
                </c:pt>
                <c:pt idx="4446">
                  <c:v>0.55579999999999996</c:v>
                </c:pt>
                <c:pt idx="4447">
                  <c:v>0.55920000000000003</c:v>
                </c:pt>
                <c:pt idx="4448">
                  <c:v>0.55679999999999996</c:v>
                </c:pt>
                <c:pt idx="4449">
                  <c:v>0.55400000000000005</c:v>
                </c:pt>
                <c:pt idx="4450">
                  <c:v>0.55400000000000005</c:v>
                </c:pt>
                <c:pt idx="4451">
                  <c:v>0.55779999999999996</c:v>
                </c:pt>
                <c:pt idx="4452">
                  <c:v>0.56469999999999998</c:v>
                </c:pt>
                <c:pt idx="4453">
                  <c:v>0.55700000000000005</c:v>
                </c:pt>
                <c:pt idx="4454">
                  <c:v>0.57140000000000002</c:v>
                </c:pt>
                <c:pt idx="4455">
                  <c:v>0.56950000000000001</c:v>
                </c:pt>
                <c:pt idx="4456">
                  <c:v>0.56430000000000002</c:v>
                </c:pt>
                <c:pt idx="4457">
                  <c:v>0.55669999999999997</c:v>
                </c:pt>
                <c:pt idx="4458">
                  <c:v>0.55489999999999995</c:v>
                </c:pt>
                <c:pt idx="4459">
                  <c:v>0.56200000000000006</c:v>
                </c:pt>
                <c:pt idx="4460">
                  <c:v>0.5524</c:v>
                </c:pt>
                <c:pt idx="4461">
                  <c:v>0.55649999999999999</c:v>
                </c:pt>
                <c:pt idx="4462">
                  <c:v>0.55489999999999995</c:v>
                </c:pt>
                <c:pt idx="4463">
                  <c:v>0.55510000000000004</c:v>
                </c:pt>
                <c:pt idx="4464">
                  <c:v>0.56169999999999998</c:v>
                </c:pt>
                <c:pt idx="4465">
                  <c:v>0.55710000000000004</c:v>
                </c:pt>
                <c:pt idx="4466">
                  <c:v>0.55679999999999996</c:v>
                </c:pt>
                <c:pt idx="4467">
                  <c:v>0.55300000000000005</c:v>
                </c:pt>
                <c:pt idx="4468">
                  <c:v>0.54379999999999995</c:v>
                </c:pt>
                <c:pt idx="4469">
                  <c:v>0.54379999999999995</c:v>
                </c:pt>
                <c:pt idx="4470">
                  <c:v>0.54390000000000005</c:v>
                </c:pt>
                <c:pt idx="4471">
                  <c:v>0.5423</c:v>
                </c:pt>
                <c:pt idx="4472">
                  <c:v>0.54659999999999997</c:v>
                </c:pt>
                <c:pt idx="4473">
                  <c:v>0.55179999999999996</c:v>
                </c:pt>
                <c:pt idx="4474">
                  <c:v>0.55389999999999995</c:v>
                </c:pt>
                <c:pt idx="4475">
                  <c:v>0.55179999999999996</c:v>
                </c:pt>
                <c:pt idx="4476">
                  <c:v>0.55079999999999996</c:v>
                </c:pt>
                <c:pt idx="4477">
                  <c:v>0.54920000000000002</c:v>
                </c:pt>
                <c:pt idx="4478">
                  <c:v>0.54339999999999999</c:v>
                </c:pt>
                <c:pt idx="4479">
                  <c:v>0.53649999999999998</c:v>
                </c:pt>
                <c:pt idx="4480">
                  <c:v>0.53769999999999996</c:v>
                </c:pt>
                <c:pt idx="4481">
                  <c:v>0.5373</c:v>
                </c:pt>
                <c:pt idx="4482">
                  <c:v>0.53110000000000002</c:v>
                </c:pt>
                <c:pt idx="4483">
                  <c:v>0.52710000000000001</c:v>
                </c:pt>
                <c:pt idx="4484">
                  <c:v>0.52639999999999998</c:v>
                </c:pt>
                <c:pt idx="4485">
                  <c:v>0.52880000000000005</c:v>
                </c:pt>
                <c:pt idx="4486">
                  <c:v>0.53029999999999999</c:v>
                </c:pt>
                <c:pt idx="4487">
                  <c:v>0.52329999999999999</c:v>
                </c:pt>
                <c:pt idx="4488">
                  <c:v>0.52490000000000003</c:v>
                </c:pt>
                <c:pt idx="4489">
                  <c:v>0.52239999999999998</c:v>
                </c:pt>
                <c:pt idx="4490">
                  <c:v>0.52710000000000001</c:v>
                </c:pt>
                <c:pt idx="4491">
                  <c:v>0.52359999999999995</c:v>
                </c:pt>
                <c:pt idx="4492">
                  <c:v>0.52500000000000002</c:v>
                </c:pt>
                <c:pt idx="4493">
                  <c:v>0.52729999999999999</c:v>
                </c:pt>
                <c:pt idx="4494">
                  <c:v>0.52710000000000001</c:v>
                </c:pt>
                <c:pt idx="4495">
                  <c:v>0.52639999999999998</c:v>
                </c:pt>
                <c:pt idx="4496">
                  <c:v>0.52180000000000004</c:v>
                </c:pt>
                <c:pt idx="4497">
                  <c:v>0.51329999999999998</c:v>
                </c:pt>
                <c:pt idx="4498">
                  <c:v>0.50929999999999997</c:v>
                </c:pt>
                <c:pt idx="4499">
                  <c:v>0.5121</c:v>
                </c:pt>
                <c:pt idx="4500">
                  <c:v>0.50839999999999996</c:v>
                </c:pt>
                <c:pt idx="4501">
                  <c:v>0.50760000000000005</c:v>
                </c:pt>
                <c:pt idx="4502">
                  <c:v>0.50270000000000004</c:v>
                </c:pt>
                <c:pt idx="4503">
                  <c:v>0.49559999999999998</c:v>
                </c:pt>
                <c:pt idx="4504">
                  <c:v>0.49440000000000001</c:v>
                </c:pt>
                <c:pt idx="4505">
                  <c:v>0.49780000000000002</c:v>
                </c:pt>
                <c:pt idx="4506">
                  <c:v>0.50049999999999994</c:v>
                </c:pt>
                <c:pt idx="4507">
                  <c:v>0.50139999999999996</c:v>
                </c:pt>
                <c:pt idx="4508">
                  <c:v>0.49270000000000003</c:v>
                </c:pt>
                <c:pt idx="4509">
                  <c:v>0.4945</c:v>
                </c:pt>
                <c:pt idx="4510">
                  <c:v>0.49259999999999998</c:v>
                </c:pt>
                <c:pt idx="4511">
                  <c:v>0.49880000000000002</c:v>
                </c:pt>
                <c:pt idx="4512">
                  <c:v>0.49940000000000001</c:v>
                </c:pt>
                <c:pt idx="4513">
                  <c:v>0.49340000000000001</c:v>
                </c:pt>
                <c:pt idx="4514">
                  <c:v>0.48899999999999999</c:v>
                </c:pt>
                <c:pt idx="4515">
                  <c:v>0.48570000000000002</c:v>
                </c:pt>
                <c:pt idx="4516">
                  <c:v>0.48330000000000001</c:v>
                </c:pt>
                <c:pt idx="4517">
                  <c:v>0.4874</c:v>
                </c:pt>
                <c:pt idx="4518">
                  <c:v>0.49230000000000002</c:v>
                </c:pt>
                <c:pt idx="4519">
                  <c:v>0.49309999999999998</c:v>
                </c:pt>
                <c:pt idx="4520">
                  <c:v>0.49469999999999997</c:v>
                </c:pt>
                <c:pt idx="4521">
                  <c:v>0.49430000000000002</c:v>
                </c:pt>
                <c:pt idx="4522">
                  <c:v>0.499</c:v>
                </c:pt>
                <c:pt idx="4523">
                  <c:v>0.50490000000000002</c:v>
                </c:pt>
                <c:pt idx="4524">
                  <c:v>0.50490000000000002</c:v>
                </c:pt>
                <c:pt idx="4525">
                  <c:v>0.50490000000000002</c:v>
                </c:pt>
                <c:pt idx="4526">
                  <c:v>0.51119999999999999</c:v>
                </c:pt>
                <c:pt idx="4527">
                  <c:v>0.50080000000000002</c:v>
                </c:pt>
                <c:pt idx="4528">
                  <c:v>0.50339999999999996</c:v>
                </c:pt>
                <c:pt idx="4529">
                  <c:v>0.51549999999999996</c:v>
                </c:pt>
                <c:pt idx="4530">
                  <c:v>0.50480000000000003</c:v>
                </c:pt>
                <c:pt idx="4531">
                  <c:v>0.50680000000000003</c:v>
                </c:pt>
                <c:pt idx="4532">
                  <c:v>0.50680000000000003</c:v>
                </c:pt>
                <c:pt idx="4533">
                  <c:v>0.50670000000000004</c:v>
                </c:pt>
                <c:pt idx="4534">
                  <c:v>0.51129999999999998</c:v>
                </c:pt>
                <c:pt idx="4535">
                  <c:v>0.50880000000000003</c:v>
                </c:pt>
                <c:pt idx="4536">
                  <c:v>0.51270000000000004</c:v>
                </c:pt>
                <c:pt idx="4537">
                  <c:v>0.5202</c:v>
                </c:pt>
                <c:pt idx="4538">
                  <c:v>0.51990000000000003</c:v>
                </c:pt>
                <c:pt idx="4539">
                  <c:v>0.51749999999999996</c:v>
                </c:pt>
                <c:pt idx="4540">
                  <c:v>0.51839999999999997</c:v>
                </c:pt>
                <c:pt idx="4541">
                  <c:v>0.51839999999999997</c:v>
                </c:pt>
                <c:pt idx="4542">
                  <c:v>0.51980000000000004</c:v>
                </c:pt>
                <c:pt idx="4543">
                  <c:v>0.52310000000000001</c:v>
                </c:pt>
                <c:pt idx="4544">
                  <c:v>0.52439999999999998</c:v>
                </c:pt>
                <c:pt idx="4545">
                  <c:v>0.51870000000000005</c:v>
                </c:pt>
                <c:pt idx="4546">
                  <c:v>0.51880000000000004</c:v>
                </c:pt>
                <c:pt idx="4547">
                  <c:v>0.52059999999999995</c:v>
                </c:pt>
                <c:pt idx="4548">
                  <c:v>0.52480000000000004</c:v>
                </c:pt>
                <c:pt idx="4549">
                  <c:v>0.52710000000000001</c:v>
                </c:pt>
                <c:pt idx="4550">
                  <c:v>0.52939999999999998</c:v>
                </c:pt>
                <c:pt idx="4551">
                  <c:v>0.52669999999999995</c:v>
                </c:pt>
                <c:pt idx="4552">
                  <c:v>0.51929999999999998</c:v>
                </c:pt>
                <c:pt idx="4553">
                  <c:v>0.51290000000000002</c:v>
                </c:pt>
                <c:pt idx="4554">
                  <c:v>0.52159999999999995</c:v>
                </c:pt>
                <c:pt idx="4555">
                  <c:v>0.52029999999999998</c:v>
                </c:pt>
                <c:pt idx="4556">
                  <c:v>0.5171</c:v>
                </c:pt>
                <c:pt idx="4557">
                  <c:v>0.52</c:v>
                </c:pt>
                <c:pt idx="4558">
                  <c:v>0.51</c:v>
                </c:pt>
                <c:pt idx="4559">
                  <c:v>0.50639999999999996</c:v>
                </c:pt>
                <c:pt idx="4560">
                  <c:v>0.50849999999999995</c:v>
                </c:pt>
                <c:pt idx="4561">
                  <c:v>0.50649999999999995</c:v>
                </c:pt>
                <c:pt idx="4562">
                  <c:v>0.51570000000000005</c:v>
                </c:pt>
                <c:pt idx="4563">
                  <c:v>0.51590000000000003</c:v>
                </c:pt>
                <c:pt idx="4564">
                  <c:v>0.52149999999999996</c:v>
                </c:pt>
                <c:pt idx="4565">
                  <c:v>0.52149999999999996</c:v>
                </c:pt>
                <c:pt idx="4566">
                  <c:v>0.52129999999999999</c:v>
                </c:pt>
                <c:pt idx="4567">
                  <c:v>0.52739999999999998</c:v>
                </c:pt>
                <c:pt idx="4568">
                  <c:v>0.52700000000000002</c:v>
                </c:pt>
                <c:pt idx="4569">
                  <c:v>0.52359999999999995</c:v>
                </c:pt>
                <c:pt idx="4570">
                  <c:v>0.52669999999999995</c:v>
                </c:pt>
                <c:pt idx="4571">
                  <c:v>0.52129999999999999</c:v>
                </c:pt>
                <c:pt idx="4572">
                  <c:v>0.51910000000000001</c:v>
                </c:pt>
                <c:pt idx="4573">
                  <c:v>0.51990000000000003</c:v>
                </c:pt>
                <c:pt idx="4574">
                  <c:v>0.51690000000000003</c:v>
                </c:pt>
                <c:pt idx="4575">
                  <c:v>0.51759999999999995</c:v>
                </c:pt>
                <c:pt idx="4576">
                  <c:v>0.51780000000000004</c:v>
                </c:pt>
                <c:pt idx="4577">
                  <c:v>0.52029999999999998</c:v>
                </c:pt>
                <c:pt idx="4578">
                  <c:v>0.51800000000000002</c:v>
                </c:pt>
                <c:pt idx="4579">
                  <c:v>0.50749999999999995</c:v>
                </c:pt>
                <c:pt idx="4580">
                  <c:v>0.50960000000000005</c:v>
                </c:pt>
                <c:pt idx="4581">
                  <c:v>0.51449999999999996</c:v>
                </c:pt>
                <c:pt idx="4582">
                  <c:v>0.51890000000000003</c:v>
                </c:pt>
                <c:pt idx="4583">
                  <c:v>0.51770000000000005</c:v>
                </c:pt>
                <c:pt idx="4584">
                  <c:v>0.51160000000000005</c:v>
                </c:pt>
                <c:pt idx="4585">
                  <c:v>0.50829999999999997</c:v>
                </c:pt>
                <c:pt idx="4586">
                  <c:v>0.51</c:v>
                </c:pt>
                <c:pt idx="4587">
                  <c:v>0.51</c:v>
                </c:pt>
                <c:pt idx="4588">
                  <c:v>0.50570000000000004</c:v>
                </c:pt>
                <c:pt idx="4589">
                  <c:v>0.50619999999999998</c:v>
                </c:pt>
                <c:pt idx="4590">
                  <c:v>0.50929999999999997</c:v>
                </c:pt>
                <c:pt idx="4591">
                  <c:v>0.50700000000000001</c:v>
                </c:pt>
                <c:pt idx="4592">
                  <c:v>0.51019999999999999</c:v>
                </c:pt>
                <c:pt idx="4593">
                  <c:v>0.5151</c:v>
                </c:pt>
                <c:pt idx="4594">
                  <c:v>0.51380000000000003</c:v>
                </c:pt>
                <c:pt idx="4595">
                  <c:v>0.50800000000000001</c:v>
                </c:pt>
                <c:pt idx="4596">
                  <c:v>0.50919999999999999</c:v>
                </c:pt>
                <c:pt idx="4597">
                  <c:v>0.50880000000000003</c:v>
                </c:pt>
                <c:pt idx="4598">
                  <c:v>0.51039999999999996</c:v>
                </c:pt>
                <c:pt idx="4599">
                  <c:v>0.50870000000000004</c:v>
                </c:pt>
                <c:pt idx="4600">
                  <c:v>0.50580000000000003</c:v>
                </c:pt>
                <c:pt idx="4601">
                  <c:v>0.50409999999999999</c:v>
                </c:pt>
                <c:pt idx="4602">
                  <c:v>0.51100000000000001</c:v>
                </c:pt>
                <c:pt idx="4603">
                  <c:v>0.51880000000000004</c:v>
                </c:pt>
                <c:pt idx="4604">
                  <c:v>0.51780000000000004</c:v>
                </c:pt>
                <c:pt idx="4605">
                  <c:v>0.51780000000000004</c:v>
                </c:pt>
                <c:pt idx="4606">
                  <c:v>0.51600000000000001</c:v>
                </c:pt>
                <c:pt idx="4607">
                  <c:v>0.51619999999999999</c:v>
                </c:pt>
                <c:pt idx="4608">
                  <c:v>0.51649999999999996</c:v>
                </c:pt>
                <c:pt idx="4609">
                  <c:v>0.51559999999999995</c:v>
                </c:pt>
                <c:pt idx="4610">
                  <c:v>0.51680000000000004</c:v>
                </c:pt>
                <c:pt idx="4611">
                  <c:v>0.51649999999999996</c:v>
                </c:pt>
                <c:pt idx="4612">
                  <c:v>0.52370000000000005</c:v>
                </c:pt>
                <c:pt idx="4613">
                  <c:v>0.52910000000000001</c:v>
                </c:pt>
                <c:pt idx="4614">
                  <c:v>0.52439999999999998</c:v>
                </c:pt>
                <c:pt idx="4615">
                  <c:v>0.5353</c:v>
                </c:pt>
                <c:pt idx="4616">
                  <c:v>0.5343</c:v>
                </c:pt>
                <c:pt idx="4617">
                  <c:v>0.53720000000000001</c:v>
                </c:pt>
                <c:pt idx="4618">
                  <c:v>0.53559999999999997</c:v>
                </c:pt>
                <c:pt idx="4619">
                  <c:v>0.53449999999999998</c:v>
                </c:pt>
                <c:pt idx="4620">
                  <c:v>0.53100000000000003</c:v>
                </c:pt>
                <c:pt idx="4621">
                  <c:v>0.52649999999999997</c:v>
                </c:pt>
                <c:pt idx="4622">
                  <c:v>0.53100000000000003</c:v>
                </c:pt>
                <c:pt idx="4623">
                  <c:v>0.53029999999999999</c:v>
                </c:pt>
                <c:pt idx="4624">
                  <c:v>0.53420000000000001</c:v>
                </c:pt>
                <c:pt idx="4625">
                  <c:v>0.52680000000000005</c:v>
                </c:pt>
                <c:pt idx="4626">
                  <c:v>0.52480000000000004</c:v>
                </c:pt>
                <c:pt idx="4627">
                  <c:v>0.51890000000000003</c:v>
                </c:pt>
                <c:pt idx="4628">
                  <c:v>0.52059999999999995</c:v>
                </c:pt>
                <c:pt idx="4629">
                  <c:v>0.51780000000000004</c:v>
                </c:pt>
                <c:pt idx="4630">
                  <c:v>0.5141</c:v>
                </c:pt>
                <c:pt idx="4631">
                  <c:v>0.51449999999999996</c:v>
                </c:pt>
                <c:pt idx="4632">
                  <c:v>0.52059999999999995</c:v>
                </c:pt>
                <c:pt idx="4633">
                  <c:v>0.51700000000000002</c:v>
                </c:pt>
                <c:pt idx="4634">
                  <c:v>0.5151</c:v>
                </c:pt>
                <c:pt idx="4635">
                  <c:v>0.51229999999999998</c:v>
                </c:pt>
                <c:pt idx="4636">
                  <c:v>0.4955</c:v>
                </c:pt>
                <c:pt idx="4637">
                  <c:v>0.49049999999999999</c:v>
                </c:pt>
                <c:pt idx="4638">
                  <c:v>0.49330000000000002</c:v>
                </c:pt>
                <c:pt idx="4639">
                  <c:v>0.49099999999999999</c:v>
                </c:pt>
                <c:pt idx="4640">
                  <c:v>0.48780000000000001</c:v>
                </c:pt>
                <c:pt idx="4641">
                  <c:v>0.49249999999999999</c:v>
                </c:pt>
                <c:pt idx="4642">
                  <c:v>0.49320000000000003</c:v>
                </c:pt>
                <c:pt idx="4643">
                  <c:v>0.48649999999999999</c:v>
                </c:pt>
                <c:pt idx="4644">
                  <c:v>0.49230000000000002</c:v>
                </c:pt>
                <c:pt idx="4645">
                  <c:v>0.49230000000000002</c:v>
                </c:pt>
                <c:pt idx="4646">
                  <c:v>0.49440000000000001</c:v>
                </c:pt>
                <c:pt idx="4647">
                  <c:v>0.49809999999999999</c:v>
                </c:pt>
                <c:pt idx="4648">
                  <c:v>0.499</c:v>
                </c:pt>
                <c:pt idx="4649">
                  <c:v>0.50170000000000003</c:v>
                </c:pt>
                <c:pt idx="4650">
                  <c:v>0.50600000000000001</c:v>
                </c:pt>
                <c:pt idx="4651">
                  <c:v>0.50690000000000002</c:v>
                </c:pt>
                <c:pt idx="4652">
                  <c:v>0.50160000000000005</c:v>
                </c:pt>
                <c:pt idx="4653">
                  <c:v>0.49780000000000002</c:v>
                </c:pt>
                <c:pt idx="4654">
                  <c:v>0.50139999999999996</c:v>
                </c:pt>
                <c:pt idx="4655">
                  <c:v>0.51639999999999997</c:v>
                </c:pt>
                <c:pt idx="4656">
                  <c:v>0.51329999999999998</c:v>
                </c:pt>
                <c:pt idx="4657">
                  <c:v>0.51580000000000004</c:v>
                </c:pt>
                <c:pt idx="4658">
                  <c:v>0.50890000000000002</c:v>
                </c:pt>
                <c:pt idx="4659">
                  <c:v>0.50639999999999996</c:v>
                </c:pt>
                <c:pt idx="4660">
                  <c:v>0.50949999999999995</c:v>
                </c:pt>
                <c:pt idx="4661">
                  <c:v>0.50990000000000002</c:v>
                </c:pt>
                <c:pt idx="4662">
                  <c:v>0.50660000000000005</c:v>
                </c:pt>
                <c:pt idx="4663">
                  <c:v>0.50860000000000005</c:v>
                </c:pt>
                <c:pt idx="4664">
                  <c:v>0.50339999999999996</c:v>
                </c:pt>
                <c:pt idx="4665">
                  <c:v>0.50139999999999996</c:v>
                </c:pt>
                <c:pt idx="4666">
                  <c:v>0.50690000000000002</c:v>
                </c:pt>
                <c:pt idx="4667">
                  <c:v>0.50529999999999997</c:v>
                </c:pt>
                <c:pt idx="4668">
                  <c:v>0.50570000000000004</c:v>
                </c:pt>
                <c:pt idx="4669">
                  <c:v>0.50900000000000001</c:v>
                </c:pt>
                <c:pt idx="4670">
                  <c:v>0.50849999999999995</c:v>
                </c:pt>
                <c:pt idx="4671">
                  <c:v>0.51060000000000005</c:v>
                </c:pt>
                <c:pt idx="4672">
                  <c:v>0.51380000000000003</c:v>
                </c:pt>
                <c:pt idx="4673">
                  <c:v>0.51600000000000001</c:v>
                </c:pt>
                <c:pt idx="4674">
                  <c:v>0.51319999999999999</c:v>
                </c:pt>
                <c:pt idx="4675">
                  <c:v>0.51839999999999997</c:v>
                </c:pt>
                <c:pt idx="4676">
                  <c:v>0.52029999999999998</c:v>
                </c:pt>
                <c:pt idx="4677">
                  <c:v>0.52180000000000004</c:v>
                </c:pt>
                <c:pt idx="4678">
                  <c:v>0.51780000000000004</c:v>
                </c:pt>
                <c:pt idx="4679">
                  <c:v>0.51939999999999997</c:v>
                </c:pt>
                <c:pt idx="4680">
                  <c:v>0.5222</c:v>
                </c:pt>
                <c:pt idx="4681">
                  <c:v>0.52039999999999997</c:v>
                </c:pt>
                <c:pt idx="4682">
                  <c:v>0.51719999999999999</c:v>
                </c:pt>
                <c:pt idx="4683">
                  <c:v>0.51659999999999995</c:v>
                </c:pt>
                <c:pt idx="4684">
                  <c:v>0.5181</c:v>
                </c:pt>
                <c:pt idx="4685">
                  <c:v>0.51719999999999999</c:v>
                </c:pt>
                <c:pt idx="4686">
                  <c:v>0.52039999999999997</c:v>
                </c:pt>
                <c:pt idx="4687">
                  <c:v>0.52270000000000005</c:v>
                </c:pt>
                <c:pt idx="4688">
                  <c:v>0.52129999999999999</c:v>
                </c:pt>
                <c:pt idx="4689">
                  <c:v>0.52</c:v>
                </c:pt>
                <c:pt idx="4690">
                  <c:v>0.52159999999999995</c:v>
                </c:pt>
                <c:pt idx="4691">
                  <c:v>0.51600000000000001</c:v>
                </c:pt>
                <c:pt idx="4692">
                  <c:v>0.51470000000000005</c:v>
                </c:pt>
                <c:pt idx="4693">
                  <c:v>0.51700000000000002</c:v>
                </c:pt>
                <c:pt idx="4694">
                  <c:v>0.51929999999999998</c:v>
                </c:pt>
                <c:pt idx="4695">
                  <c:v>0.51580000000000004</c:v>
                </c:pt>
                <c:pt idx="4696">
                  <c:v>0.51470000000000005</c:v>
                </c:pt>
                <c:pt idx="4697">
                  <c:v>0.51880000000000004</c:v>
                </c:pt>
                <c:pt idx="4698">
                  <c:v>0.51949999999999996</c:v>
                </c:pt>
                <c:pt idx="4699">
                  <c:v>0.51800000000000002</c:v>
                </c:pt>
                <c:pt idx="4700">
                  <c:v>0.51790000000000003</c:v>
                </c:pt>
                <c:pt idx="4701">
                  <c:v>0.51780000000000004</c:v>
                </c:pt>
                <c:pt idx="4702">
                  <c:v>0.51470000000000005</c:v>
                </c:pt>
                <c:pt idx="4703">
                  <c:v>0.5101</c:v>
                </c:pt>
                <c:pt idx="4704">
                  <c:v>0.50660000000000005</c:v>
                </c:pt>
                <c:pt idx="4705">
                  <c:v>0.5091</c:v>
                </c:pt>
                <c:pt idx="4706">
                  <c:v>0.5091</c:v>
                </c:pt>
                <c:pt idx="4707">
                  <c:v>0.5091</c:v>
                </c:pt>
                <c:pt idx="4708">
                  <c:v>0.50800000000000001</c:v>
                </c:pt>
                <c:pt idx="4709">
                  <c:v>0.50760000000000005</c:v>
                </c:pt>
                <c:pt idx="4710">
                  <c:v>0.51060000000000005</c:v>
                </c:pt>
                <c:pt idx="4711">
                  <c:v>0.51060000000000005</c:v>
                </c:pt>
                <c:pt idx="4712">
                  <c:v>0.51100000000000001</c:v>
                </c:pt>
                <c:pt idx="4713">
                  <c:v>0.51629999999999998</c:v>
                </c:pt>
                <c:pt idx="4714">
                  <c:v>0.5161</c:v>
                </c:pt>
                <c:pt idx="4715">
                  <c:v>0.51890000000000003</c:v>
                </c:pt>
                <c:pt idx="4716">
                  <c:v>0.51849999999999996</c:v>
                </c:pt>
                <c:pt idx="4717">
                  <c:v>0.52329999999999999</c:v>
                </c:pt>
                <c:pt idx="4718">
                  <c:v>0.52370000000000005</c:v>
                </c:pt>
                <c:pt idx="4719">
                  <c:v>0.52159999999999995</c:v>
                </c:pt>
                <c:pt idx="4720">
                  <c:v>0.51829999999999998</c:v>
                </c:pt>
                <c:pt idx="4721">
                  <c:v>0.51819999999999999</c:v>
                </c:pt>
                <c:pt idx="4722">
                  <c:v>0.51629999999999998</c:v>
                </c:pt>
                <c:pt idx="4723">
                  <c:v>0.51239999999999997</c:v>
                </c:pt>
                <c:pt idx="4724">
                  <c:v>0.51500000000000001</c:v>
                </c:pt>
                <c:pt idx="4725">
                  <c:v>0.51559999999999995</c:v>
                </c:pt>
                <c:pt idx="4726">
                  <c:v>0.51910000000000001</c:v>
                </c:pt>
                <c:pt idx="4727">
                  <c:v>0.5212</c:v>
                </c:pt>
                <c:pt idx="4728">
                  <c:v>0.51790000000000003</c:v>
                </c:pt>
                <c:pt idx="4729">
                  <c:v>0.51939999999999997</c:v>
                </c:pt>
                <c:pt idx="4730">
                  <c:v>0.51939999999999997</c:v>
                </c:pt>
                <c:pt idx="4731">
                  <c:v>0.51429999999999998</c:v>
                </c:pt>
                <c:pt idx="4732">
                  <c:v>0.50929999999999997</c:v>
                </c:pt>
                <c:pt idx="4733">
                  <c:v>0.50780000000000003</c:v>
                </c:pt>
                <c:pt idx="4734">
                  <c:v>0.50680000000000003</c:v>
                </c:pt>
                <c:pt idx="4735">
                  <c:v>0.50970000000000004</c:v>
                </c:pt>
                <c:pt idx="4736">
                  <c:v>0.51149999999999995</c:v>
                </c:pt>
                <c:pt idx="4737">
                  <c:v>0.5091</c:v>
                </c:pt>
                <c:pt idx="4738">
                  <c:v>0.50860000000000005</c:v>
                </c:pt>
                <c:pt idx="4739">
                  <c:v>0.5111</c:v>
                </c:pt>
                <c:pt idx="4740">
                  <c:v>0.51249999999999996</c:v>
                </c:pt>
                <c:pt idx="4741">
                  <c:v>0.51200000000000001</c:v>
                </c:pt>
                <c:pt idx="4742">
                  <c:v>0.50890000000000002</c:v>
                </c:pt>
                <c:pt idx="4743">
                  <c:v>0.51380000000000003</c:v>
                </c:pt>
                <c:pt idx="4744">
                  <c:v>0.51519999999999999</c:v>
                </c:pt>
                <c:pt idx="4745">
                  <c:v>0.51790000000000003</c:v>
                </c:pt>
                <c:pt idx="4746">
                  <c:v>0.51780000000000004</c:v>
                </c:pt>
                <c:pt idx="4747">
                  <c:v>0.51829999999999998</c:v>
                </c:pt>
                <c:pt idx="4748">
                  <c:v>0.51559999999999995</c:v>
                </c:pt>
                <c:pt idx="4749">
                  <c:v>0.51380000000000003</c:v>
                </c:pt>
                <c:pt idx="4750">
                  <c:v>0.51339999999999997</c:v>
                </c:pt>
                <c:pt idx="4751">
                  <c:v>0.51470000000000005</c:v>
                </c:pt>
                <c:pt idx="4752">
                  <c:v>0.51380000000000003</c:v>
                </c:pt>
                <c:pt idx="4753">
                  <c:v>0.51639999999999997</c:v>
                </c:pt>
                <c:pt idx="4754">
                  <c:v>0.51770000000000005</c:v>
                </c:pt>
                <c:pt idx="4755">
                  <c:v>0.52</c:v>
                </c:pt>
                <c:pt idx="4756">
                  <c:v>0.52039999999999997</c:v>
                </c:pt>
                <c:pt idx="4757">
                  <c:v>0.51939999999999997</c:v>
                </c:pt>
                <c:pt idx="4758">
                  <c:v>0.52380000000000004</c:v>
                </c:pt>
                <c:pt idx="4759">
                  <c:v>0.52439999999999998</c:v>
                </c:pt>
                <c:pt idx="4760">
                  <c:v>0.52110000000000001</c:v>
                </c:pt>
                <c:pt idx="4761">
                  <c:v>0.52159999999999995</c:v>
                </c:pt>
                <c:pt idx="4762">
                  <c:v>0.51970000000000005</c:v>
                </c:pt>
                <c:pt idx="4763">
                  <c:v>0.52010000000000001</c:v>
                </c:pt>
                <c:pt idx="4764">
                  <c:v>0.52339999999999998</c:v>
                </c:pt>
                <c:pt idx="4765">
                  <c:v>0.52539999999999998</c:v>
                </c:pt>
                <c:pt idx="4766">
                  <c:v>0.52390000000000003</c:v>
                </c:pt>
                <c:pt idx="4767">
                  <c:v>0.52729999999999999</c:v>
                </c:pt>
                <c:pt idx="4768">
                  <c:v>0.53</c:v>
                </c:pt>
                <c:pt idx="4769">
                  <c:v>0.53049999999999997</c:v>
                </c:pt>
                <c:pt idx="4770">
                  <c:v>0.52990000000000004</c:v>
                </c:pt>
                <c:pt idx="4771">
                  <c:v>0.52900000000000003</c:v>
                </c:pt>
                <c:pt idx="4772">
                  <c:v>0.52749999999999997</c:v>
                </c:pt>
                <c:pt idx="4773">
                  <c:v>0.53159999999999996</c:v>
                </c:pt>
                <c:pt idx="4774">
                  <c:v>0.53159999999999996</c:v>
                </c:pt>
                <c:pt idx="4775">
                  <c:v>0.53159999999999996</c:v>
                </c:pt>
                <c:pt idx="4776">
                  <c:v>0.53269999999999995</c:v>
                </c:pt>
                <c:pt idx="4777">
                  <c:v>0.53010000000000002</c:v>
                </c:pt>
                <c:pt idx="4778">
                  <c:v>0.53090000000000004</c:v>
                </c:pt>
                <c:pt idx="4779">
                  <c:v>0.53080000000000005</c:v>
                </c:pt>
                <c:pt idx="4780">
                  <c:v>0.52839999999999998</c:v>
                </c:pt>
                <c:pt idx="4781">
                  <c:v>0.52880000000000005</c:v>
                </c:pt>
                <c:pt idx="4782">
                  <c:v>0.53090000000000004</c:v>
                </c:pt>
                <c:pt idx="4783">
                  <c:v>0.53439999999999999</c:v>
                </c:pt>
                <c:pt idx="4784">
                  <c:v>0.53580000000000005</c:v>
                </c:pt>
                <c:pt idx="4785">
                  <c:v>0.53369999999999995</c:v>
                </c:pt>
                <c:pt idx="4786">
                  <c:v>0.53129999999999999</c:v>
                </c:pt>
                <c:pt idx="4787">
                  <c:v>0.53390000000000004</c:v>
                </c:pt>
                <c:pt idx="4788">
                  <c:v>0.53759999999999997</c:v>
                </c:pt>
                <c:pt idx="4789">
                  <c:v>0.5403</c:v>
                </c:pt>
                <c:pt idx="4790">
                  <c:v>0.54090000000000005</c:v>
                </c:pt>
                <c:pt idx="4791">
                  <c:v>0.54049999999999998</c:v>
                </c:pt>
                <c:pt idx="4792">
                  <c:v>0.53869999999999996</c:v>
                </c:pt>
                <c:pt idx="4793">
                  <c:v>0.53869999999999996</c:v>
                </c:pt>
                <c:pt idx="4794">
                  <c:v>0.54469999999999996</c:v>
                </c:pt>
                <c:pt idx="4795">
                  <c:v>0.54379999999999995</c:v>
                </c:pt>
                <c:pt idx="4796">
                  <c:v>0.53969999999999996</c:v>
                </c:pt>
                <c:pt idx="4797">
                  <c:v>0.53890000000000005</c:v>
                </c:pt>
                <c:pt idx="4798">
                  <c:v>0.5393</c:v>
                </c:pt>
                <c:pt idx="4799">
                  <c:v>0.53559999999999997</c:v>
                </c:pt>
                <c:pt idx="4800">
                  <c:v>0.53939999999999999</c:v>
                </c:pt>
                <c:pt idx="4801">
                  <c:v>0.54259999999999997</c:v>
                </c:pt>
                <c:pt idx="4802">
                  <c:v>0.54279999999999995</c:v>
                </c:pt>
                <c:pt idx="4803">
                  <c:v>0.54079999999999995</c:v>
                </c:pt>
                <c:pt idx="4804">
                  <c:v>0.54279999999999995</c:v>
                </c:pt>
                <c:pt idx="4805">
                  <c:v>0.54710000000000003</c:v>
                </c:pt>
                <c:pt idx="4806">
                  <c:v>0.54679999999999995</c:v>
                </c:pt>
                <c:pt idx="4807">
                  <c:v>0.54710000000000003</c:v>
                </c:pt>
                <c:pt idx="4808">
                  <c:v>0.54820000000000002</c:v>
                </c:pt>
                <c:pt idx="4809">
                  <c:v>0.54790000000000005</c:v>
                </c:pt>
                <c:pt idx="4810">
                  <c:v>0.55169999999999997</c:v>
                </c:pt>
                <c:pt idx="4811">
                  <c:v>0.55489999999999995</c:v>
                </c:pt>
                <c:pt idx="4812">
                  <c:v>0.55779999999999996</c:v>
                </c:pt>
                <c:pt idx="4813">
                  <c:v>0.55689999999999995</c:v>
                </c:pt>
                <c:pt idx="4814">
                  <c:v>0.55389999999999995</c:v>
                </c:pt>
                <c:pt idx="4815">
                  <c:v>0.55740000000000001</c:v>
                </c:pt>
                <c:pt idx="4816">
                  <c:v>0.55759999999999998</c:v>
                </c:pt>
                <c:pt idx="4817">
                  <c:v>0.56279999999999997</c:v>
                </c:pt>
                <c:pt idx="4818">
                  <c:v>0.56420000000000003</c:v>
                </c:pt>
                <c:pt idx="4819">
                  <c:v>0.56740000000000002</c:v>
                </c:pt>
                <c:pt idx="4820">
                  <c:v>0.56740000000000002</c:v>
                </c:pt>
                <c:pt idx="4821">
                  <c:v>0.57530000000000003</c:v>
                </c:pt>
                <c:pt idx="4822">
                  <c:v>0.57269999999999999</c:v>
                </c:pt>
                <c:pt idx="4823">
                  <c:v>0.57230000000000003</c:v>
                </c:pt>
                <c:pt idx="4824">
                  <c:v>0.57340000000000002</c:v>
                </c:pt>
                <c:pt idx="4825">
                  <c:v>0.57340000000000002</c:v>
                </c:pt>
                <c:pt idx="4826">
                  <c:v>0.56930000000000003</c:v>
                </c:pt>
                <c:pt idx="4827">
                  <c:v>0.57030000000000003</c:v>
                </c:pt>
                <c:pt idx="4828">
                  <c:v>0.56910000000000005</c:v>
                </c:pt>
                <c:pt idx="4829">
                  <c:v>0.56740000000000002</c:v>
                </c:pt>
                <c:pt idx="4830">
                  <c:v>0.55979999999999996</c:v>
                </c:pt>
                <c:pt idx="4831">
                  <c:v>0.55910000000000004</c:v>
                </c:pt>
                <c:pt idx="4832">
                  <c:v>0.5655</c:v>
                </c:pt>
                <c:pt idx="4833">
                  <c:v>0.56769999999999998</c:v>
                </c:pt>
                <c:pt idx="4834">
                  <c:v>0.57379999999999998</c:v>
                </c:pt>
                <c:pt idx="4835">
                  <c:v>0.5766</c:v>
                </c:pt>
                <c:pt idx="4836">
                  <c:v>0.57179999999999997</c:v>
                </c:pt>
                <c:pt idx="4837">
                  <c:v>0.57669999999999999</c:v>
                </c:pt>
                <c:pt idx="4838">
                  <c:v>0.56530000000000002</c:v>
                </c:pt>
                <c:pt idx="4839">
                  <c:v>0.56479999999999997</c:v>
                </c:pt>
                <c:pt idx="4840">
                  <c:v>0.56079999999999997</c:v>
                </c:pt>
                <c:pt idx="4841">
                  <c:v>0.5605</c:v>
                </c:pt>
                <c:pt idx="4842">
                  <c:v>0.56130000000000002</c:v>
                </c:pt>
                <c:pt idx="4843">
                  <c:v>0.55740000000000001</c:v>
                </c:pt>
                <c:pt idx="4844">
                  <c:v>0.55600000000000005</c:v>
                </c:pt>
                <c:pt idx="4845">
                  <c:v>0.56259999999999999</c:v>
                </c:pt>
                <c:pt idx="4846">
                  <c:v>0.56459999999999999</c:v>
                </c:pt>
                <c:pt idx="4847">
                  <c:v>0.56920000000000004</c:v>
                </c:pt>
                <c:pt idx="4848">
                  <c:v>0.56399999999999995</c:v>
                </c:pt>
                <c:pt idx="4849">
                  <c:v>0.55800000000000005</c:v>
                </c:pt>
                <c:pt idx="4850">
                  <c:v>0.56069999999999998</c:v>
                </c:pt>
                <c:pt idx="4851">
                  <c:v>0.56289999999999996</c:v>
                </c:pt>
                <c:pt idx="4852">
                  <c:v>0.55569999999999997</c:v>
                </c:pt>
                <c:pt idx="4853">
                  <c:v>0.55169999999999997</c:v>
                </c:pt>
                <c:pt idx="4854">
                  <c:v>0.55730000000000002</c:v>
                </c:pt>
                <c:pt idx="4855">
                  <c:v>0.55500000000000005</c:v>
                </c:pt>
                <c:pt idx="4856">
                  <c:v>0.5423</c:v>
                </c:pt>
                <c:pt idx="4857">
                  <c:v>0.54039999999999999</c:v>
                </c:pt>
                <c:pt idx="4858">
                  <c:v>0.54239999999999999</c:v>
                </c:pt>
                <c:pt idx="4859">
                  <c:v>0.53900000000000003</c:v>
                </c:pt>
                <c:pt idx="4860">
                  <c:v>0.53710000000000002</c:v>
                </c:pt>
                <c:pt idx="4861">
                  <c:v>0.54349999999999998</c:v>
                </c:pt>
                <c:pt idx="4862">
                  <c:v>0.54779999999999995</c:v>
                </c:pt>
                <c:pt idx="4863">
                  <c:v>0.54059999999999997</c:v>
                </c:pt>
                <c:pt idx="4864">
                  <c:v>0.54079999999999995</c:v>
                </c:pt>
                <c:pt idx="4865">
                  <c:v>0.54079999999999995</c:v>
                </c:pt>
                <c:pt idx="4866">
                  <c:v>0.5262</c:v>
                </c:pt>
                <c:pt idx="4867">
                  <c:v>0.53010000000000002</c:v>
                </c:pt>
                <c:pt idx="4868">
                  <c:v>0.53680000000000005</c:v>
                </c:pt>
                <c:pt idx="4869">
                  <c:v>0.53380000000000005</c:v>
                </c:pt>
                <c:pt idx="4870">
                  <c:v>0.53920000000000001</c:v>
                </c:pt>
                <c:pt idx="4871">
                  <c:v>0.53990000000000005</c:v>
                </c:pt>
                <c:pt idx="4872">
                  <c:v>0.54120000000000001</c:v>
                </c:pt>
                <c:pt idx="4873">
                  <c:v>0.53920000000000001</c:v>
                </c:pt>
                <c:pt idx="4874">
                  <c:v>0.54569999999999996</c:v>
                </c:pt>
                <c:pt idx="4875">
                  <c:v>0.54430000000000001</c:v>
                </c:pt>
                <c:pt idx="4876">
                  <c:v>0.54379999999999995</c:v>
                </c:pt>
                <c:pt idx="4877">
                  <c:v>0.54679999999999995</c:v>
                </c:pt>
                <c:pt idx="4878">
                  <c:v>0.54349999999999998</c:v>
                </c:pt>
                <c:pt idx="4879">
                  <c:v>0.54110000000000003</c:v>
                </c:pt>
                <c:pt idx="4880">
                  <c:v>0.54359999999999997</c:v>
                </c:pt>
                <c:pt idx="4881">
                  <c:v>0.55159999999999998</c:v>
                </c:pt>
                <c:pt idx="4882">
                  <c:v>0.55269999999999997</c:v>
                </c:pt>
                <c:pt idx="4883">
                  <c:v>0.5514</c:v>
                </c:pt>
                <c:pt idx="4884">
                  <c:v>0.55320000000000003</c:v>
                </c:pt>
                <c:pt idx="4885">
                  <c:v>0.54859999999999998</c:v>
                </c:pt>
                <c:pt idx="4886">
                  <c:v>0.54859999999999998</c:v>
                </c:pt>
                <c:pt idx="4887">
                  <c:v>0.54330000000000001</c:v>
                </c:pt>
                <c:pt idx="4888">
                  <c:v>0.54339999999999999</c:v>
                </c:pt>
                <c:pt idx="4889">
                  <c:v>0.54449999999999998</c:v>
                </c:pt>
                <c:pt idx="4890">
                  <c:v>0.54810000000000003</c:v>
                </c:pt>
                <c:pt idx="4891">
                  <c:v>0.55000000000000004</c:v>
                </c:pt>
                <c:pt idx="4892">
                  <c:v>0.54800000000000004</c:v>
                </c:pt>
                <c:pt idx="4893">
                  <c:v>0.55210000000000004</c:v>
                </c:pt>
                <c:pt idx="4894">
                  <c:v>0.55149999999999999</c:v>
                </c:pt>
                <c:pt idx="4895">
                  <c:v>0.54869999999999997</c:v>
                </c:pt>
                <c:pt idx="4896">
                  <c:v>0.54920000000000002</c:v>
                </c:pt>
                <c:pt idx="4897">
                  <c:v>0.54649999999999999</c:v>
                </c:pt>
                <c:pt idx="4898">
                  <c:v>0.55010000000000003</c:v>
                </c:pt>
                <c:pt idx="4899">
                  <c:v>0.54869999999999997</c:v>
                </c:pt>
                <c:pt idx="4900">
                  <c:v>0.5464</c:v>
                </c:pt>
                <c:pt idx="4901">
                  <c:v>0.54220000000000002</c:v>
                </c:pt>
                <c:pt idx="4902">
                  <c:v>0.54590000000000005</c:v>
                </c:pt>
                <c:pt idx="4903">
                  <c:v>0.54359999999999997</c:v>
                </c:pt>
                <c:pt idx="4904">
                  <c:v>0.5444</c:v>
                </c:pt>
                <c:pt idx="4905">
                  <c:v>0.54349999999999998</c:v>
                </c:pt>
                <c:pt idx="4906">
                  <c:v>0.54149999999999998</c:v>
                </c:pt>
                <c:pt idx="4907">
                  <c:v>0.54220000000000002</c:v>
                </c:pt>
                <c:pt idx="4908">
                  <c:v>0.54410000000000003</c:v>
                </c:pt>
                <c:pt idx="4909">
                  <c:v>0.54630000000000001</c:v>
                </c:pt>
                <c:pt idx="4910">
                  <c:v>0.54630000000000001</c:v>
                </c:pt>
                <c:pt idx="4911">
                  <c:v>0.54900000000000004</c:v>
                </c:pt>
                <c:pt idx="4912">
                  <c:v>0.54669999999999996</c:v>
                </c:pt>
                <c:pt idx="4913">
                  <c:v>0.54710000000000003</c:v>
                </c:pt>
                <c:pt idx="4914">
                  <c:v>0.5474</c:v>
                </c:pt>
                <c:pt idx="4915">
                  <c:v>0.54649999999999999</c:v>
                </c:pt>
                <c:pt idx="4916">
                  <c:v>0.54600000000000004</c:v>
                </c:pt>
                <c:pt idx="4917">
                  <c:v>0.5474</c:v>
                </c:pt>
                <c:pt idx="4918">
                  <c:v>0.54900000000000004</c:v>
                </c:pt>
                <c:pt idx="4919">
                  <c:v>0.5504</c:v>
                </c:pt>
                <c:pt idx="4920">
                  <c:v>0.55379999999999996</c:v>
                </c:pt>
                <c:pt idx="4921">
                  <c:v>0.55420000000000003</c:v>
                </c:pt>
                <c:pt idx="4922">
                  <c:v>0.55279999999999996</c:v>
                </c:pt>
                <c:pt idx="4923">
                  <c:v>0.55330000000000001</c:v>
                </c:pt>
                <c:pt idx="4924">
                  <c:v>0.55500000000000005</c:v>
                </c:pt>
                <c:pt idx="4925">
                  <c:v>0.55559999999999998</c:v>
                </c:pt>
                <c:pt idx="4926">
                  <c:v>0.55900000000000005</c:v>
                </c:pt>
                <c:pt idx="4927">
                  <c:v>0.55520000000000003</c:v>
                </c:pt>
                <c:pt idx="4928">
                  <c:v>0.5534</c:v>
                </c:pt>
                <c:pt idx="4929">
                  <c:v>0.55510000000000004</c:v>
                </c:pt>
                <c:pt idx="4930">
                  <c:v>0.56040000000000001</c:v>
                </c:pt>
                <c:pt idx="4931">
                  <c:v>0.5615</c:v>
                </c:pt>
                <c:pt idx="4932">
                  <c:v>0.56079999999999997</c:v>
                </c:pt>
                <c:pt idx="4933">
                  <c:v>0.56399999999999995</c:v>
                </c:pt>
                <c:pt idx="4934">
                  <c:v>0.56559999999999999</c:v>
                </c:pt>
                <c:pt idx="4935">
                  <c:v>0.56479999999999997</c:v>
                </c:pt>
                <c:pt idx="4936">
                  <c:v>0.55959999999999999</c:v>
                </c:pt>
                <c:pt idx="4937">
                  <c:v>0.56140000000000001</c:v>
                </c:pt>
                <c:pt idx="4938">
                  <c:v>0.55969999999999998</c:v>
                </c:pt>
                <c:pt idx="4939">
                  <c:v>0.56320000000000003</c:v>
                </c:pt>
                <c:pt idx="4940">
                  <c:v>0.56340000000000001</c:v>
                </c:pt>
                <c:pt idx="4941">
                  <c:v>0.56179999999999997</c:v>
                </c:pt>
                <c:pt idx="4942">
                  <c:v>0.55800000000000005</c:v>
                </c:pt>
                <c:pt idx="4943">
                  <c:v>0.56040000000000001</c:v>
                </c:pt>
                <c:pt idx="4944">
                  <c:v>0.5625</c:v>
                </c:pt>
                <c:pt idx="4945">
                  <c:v>0.56220000000000003</c:v>
                </c:pt>
                <c:pt idx="4946">
                  <c:v>0.56040000000000001</c:v>
                </c:pt>
                <c:pt idx="4947">
                  <c:v>0.56069999999999998</c:v>
                </c:pt>
                <c:pt idx="4948">
                  <c:v>0.55740000000000001</c:v>
                </c:pt>
                <c:pt idx="4949">
                  <c:v>0.56079999999999997</c:v>
                </c:pt>
                <c:pt idx="4950">
                  <c:v>0.55979999999999996</c:v>
                </c:pt>
                <c:pt idx="4951">
                  <c:v>0.55900000000000005</c:v>
                </c:pt>
                <c:pt idx="4952">
                  <c:v>0.56040000000000001</c:v>
                </c:pt>
                <c:pt idx="4953">
                  <c:v>0.56159999999999999</c:v>
                </c:pt>
                <c:pt idx="4954">
                  <c:v>0.56120000000000003</c:v>
                </c:pt>
                <c:pt idx="4955">
                  <c:v>0.56340000000000001</c:v>
                </c:pt>
                <c:pt idx="4956">
                  <c:v>0.56330000000000002</c:v>
                </c:pt>
                <c:pt idx="4957">
                  <c:v>0.5605</c:v>
                </c:pt>
                <c:pt idx="4958">
                  <c:v>0.56120000000000003</c:v>
                </c:pt>
                <c:pt idx="4959">
                  <c:v>0.56599999999999995</c:v>
                </c:pt>
                <c:pt idx="4960">
                  <c:v>0.56620000000000004</c:v>
                </c:pt>
                <c:pt idx="4961">
                  <c:v>0.56699999999999995</c:v>
                </c:pt>
                <c:pt idx="4962">
                  <c:v>0.56630000000000003</c:v>
                </c:pt>
                <c:pt idx="4963">
                  <c:v>0.56620000000000004</c:v>
                </c:pt>
                <c:pt idx="4964">
                  <c:v>0.56589999999999996</c:v>
                </c:pt>
                <c:pt idx="4965">
                  <c:v>0.56269999999999998</c:v>
                </c:pt>
                <c:pt idx="4966">
                  <c:v>0.56169999999999998</c:v>
                </c:pt>
                <c:pt idx="4967">
                  <c:v>0.56169999999999998</c:v>
                </c:pt>
                <c:pt idx="4968">
                  <c:v>0.56169999999999998</c:v>
                </c:pt>
                <c:pt idx="4969">
                  <c:v>0.56430000000000002</c:v>
                </c:pt>
                <c:pt idx="4970">
                  <c:v>0.56359999999999999</c:v>
                </c:pt>
                <c:pt idx="4971">
                  <c:v>0.56620000000000004</c:v>
                </c:pt>
                <c:pt idx="4972">
                  <c:v>0.56620000000000004</c:v>
                </c:pt>
                <c:pt idx="4973">
                  <c:v>0.56340000000000001</c:v>
                </c:pt>
                <c:pt idx="4974">
                  <c:v>0.56289999999999996</c:v>
                </c:pt>
                <c:pt idx="4975">
                  <c:v>0.5696</c:v>
                </c:pt>
                <c:pt idx="4976">
                  <c:v>0.57450000000000001</c:v>
                </c:pt>
                <c:pt idx="4977">
                  <c:v>0.57369999999999999</c:v>
                </c:pt>
                <c:pt idx="4978">
                  <c:v>0.57730000000000004</c:v>
                </c:pt>
                <c:pt idx="4979">
                  <c:v>0.57589999999999997</c:v>
                </c:pt>
                <c:pt idx="4980">
                  <c:v>0.58350000000000002</c:v>
                </c:pt>
                <c:pt idx="4981">
                  <c:v>0.58630000000000004</c:v>
                </c:pt>
                <c:pt idx="4982">
                  <c:v>0.58679999999999999</c:v>
                </c:pt>
                <c:pt idx="4983">
                  <c:v>0.58689999999999998</c:v>
                </c:pt>
                <c:pt idx="4984">
                  <c:v>0.58950000000000002</c:v>
                </c:pt>
                <c:pt idx="4985">
                  <c:v>0.59040000000000004</c:v>
                </c:pt>
                <c:pt idx="4986">
                  <c:v>0.58819999999999995</c:v>
                </c:pt>
                <c:pt idx="4987">
                  <c:v>0.58989999999999998</c:v>
                </c:pt>
                <c:pt idx="4988">
                  <c:v>0.58699999999999997</c:v>
                </c:pt>
                <c:pt idx="4989">
                  <c:v>0.59309999999999996</c:v>
                </c:pt>
                <c:pt idx="4990">
                  <c:v>0.59309999999999996</c:v>
                </c:pt>
                <c:pt idx="4991">
                  <c:v>0.58950000000000002</c:v>
                </c:pt>
                <c:pt idx="4992">
                  <c:v>0.58879999999999999</c:v>
                </c:pt>
                <c:pt idx="4993">
                  <c:v>0.58779999999999999</c:v>
                </c:pt>
                <c:pt idx="4994">
                  <c:v>0.58840000000000003</c:v>
                </c:pt>
                <c:pt idx="4995">
                  <c:v>0.58599999999999997</c:v>
                </c:pt>
                <c:pt idx="4996">
                  <c:v>0.58509999999999995</c:v>
                </c:pt>
                <c:pt idx="4997">
                  <c:v>0.59279999999999999</c:v>
                </c:pt>
                <c:pt idx="4998">
                  <c:v>0.58940000000000003</c:v>
                </c:pt>
                <c:pt idx="4999">
                  <c:v>0.59219999999999995</c:v>
                </c:pt>
                <c:pt idx="5000">
                  <c:v>0.59160000000000001</c:v>
                </c:pt>
                <c:pt idx="5001">
                  <c:v>0.58860000000000001</c:v>
                </c:pt>
                <c:pt idx="5002">
                  <c:v>0.59240000000000004</c:v>
                </c:pt>
                <c:pt idx="5003">
                  <c:v>0.5907</c:v>
                </c:pt>
                <c:pt idx="5004">
                  <c:v>0.5958</c:v>
                </c:pt>
                <c:pt idx="5005">
                  <c:v>0.59089999999999998</c:v>
                </c:pt>
                <c:pt idx="5006">
                  <c:v>0.59109999999999996</c:v>
                </c:pt>
                <c:pt idx="5007">
                  <c:v>0.59040000000000004</c:v>
                </c:pt>
                <c:pt idx="5008">
                  <c:v>0.59519999999999995</c:v>
                </c:pt>
                <c:pt idx="5009">
                  <c:v>0.59919999999999995</c:v>
                </c:pt>
                <c:pt idx="5010">
                  <c:v>0.59870000000000001</c:v>
                </c:pt>
                <c:pt idx="5011">
                  <c:v>0.60580000000000001</c:v>
                </c:pt>
                <c:pt idx="5012">
                  <c:v>0.60440000000000005</c:v>
                </c:pt>
                <c:pt idx="5013">
                  <c:v>0.60729999999999995</c:v>
                </c:pt>
                <c:pt idx="5014">
                  <c:v>0.60540000000000005</c:v>
                </c:pt>
                <c:pt idx="5015">
                  <c:v>0.60650000000000004</c:v>
                </c:pt>
                <c:pt idx="5016">
                  <c:v>0.61429999999999996</c:v>
                </c:pt>
                <c:pt idx="5017">
                  <c:v>0.61709999999999998</c:v>
                </c:pt>
                <c:pt idx="5018">
                  <c:v>0.61409999999999998</c:v>
                </c:pt>
                <c:pt idx="5019">
                  <c:v>0.61419999999999997</c:v>
                </c:pt>
                <c:pt idx="5020">
                  <c:v>0.61319999999999997</c:v>
                </c:pt>
                <c:pt idx="5021">
                  <c:v>0.61409999999999998</c:v>
                </c:pt>
                <c:pt idx="5022">
                  <c:v>0.60509999999999997</c:v>
                </c:pt>
                <c:pt idx="5023">
                  <c:v>0.59260000000000002</c:v>
                </c:pt>
                <c:pt idx="5024">
                  <c:v>0.59519999999999995</c:v>
                </c:pt>
                <c:pt idx="5025">
                  <c:v>0.60109999999999997</c:v>
                </c:pt>
                <c:pt idx="5026">
                  <c:v>0.5927</c:v>
                </c:pt>
                <c:pt idx="5027">
                  <c:v>0.59279999999999999</c:v>
                </c:pt>
                <c:pt idx="5028">
                  <c:v>0.59260000000000002</c:v>
                </c:pt>
                <c:pt idx="5029">
                  <c:v>0.59330000000000005</c:v>
                </c:pt>
                <c:pt idx="5030">
                  <c:v>0.59409999999999996</c:v>
                </c:pt>
                <c:pt idx="5031">
                  <c:v>0.59630000000000005</c:v>
                </c:pt>
                <c:pt idx="5032">
                  <c:v>0.5968</c:v>
                </c:pt>
                <c:pt idx="5033">
                  <c:v>0.5998</c:v>
                </c:pt>
                <c:pt idx="5034">
                  <c:v>0.59930000000000005</c:v>
                </c:pt>
                <c:pt idx="5035">
                  <c:v>0.60360000000000003</c:v>
                </c:pt>
                <c:pt idx="5036">
                  <c:v>0.60409999999999997</c:v>
                </c:pt>
                <c:pt idx="5037">
                  <c:v>0.60350000000000004</c:v>
                </c:pt>
                <c:pt idx="5038">
                  <c:v>0.60229999999999995</c:v>
                </c:pt>
                <c:pt idx="5039">
                  <c:v>0.60150000000000003</c:v>
                </c:pt>
                <c:pt idx="5040">
                  <c:v>0.59650000000000003</c:v>
                </c:pt>
                <c:pt idx="5041">
                  <c:v>0.6</c:v>
                </c:pt>
                <c:pt idx="5042">
                  <c:v>0.60299999999999998</c:v>
                </c:pt>
                <c:pt idx="5043">
                  <c:v>0.60589999999999999</c:v>
                </c:pt>
                <c:pt idx="5044">
                  <c:v>0.6069</c:v>
                </c:pt>
                <c:pt idx="5045">
                  <c:v>0.6048</c:v>
                </c:pt>
                <c:pt idx="5046">
                  <c:v>0.6038</c:v>
                </c:pt>
                <c:pt idx="5047">
                  <c:v>0.60860000000000003</c:v>
                </c:pt>
                <c:pt idx="5048">
                  <c:v>0.61399999999999999</c:v>
                </c:pt>
                <c:pt idx="5049">
                  <c:v>0.61399999999999999</c:v>
                </c:pt>
                <c:pt idx="5050">
                  <c:v>0.61399999999999999</c:v>
                </c:pt>
                <c:pt idx="5051">
                  <c:v>0.61439999999999995</c:v>
                </c:pt>
                <c:pt idx="5052">
                  <c:v>0.62050000000000005</c:v>
                </c:pt>
                <c:pt idx="5053">
                  <c:v>0.62080000000000002</c:v>
                </c:pt>
                <c:pt idx="5054">
                  <c:v>0.62080000000000002</c:v>
                </c:pt>
                <c:pt idx="5055">
                  <c:v>0.61760000000000004</c:v>
                </c:pt>
                <c:pt idx="5056">
                  <c:v>0.62029999999999996</c:v>
                </c:pt>
                <c:pt idx="5057">
                  <c:v>0.623</c:v>
                </c:pt>
                <c:pt idx="5058">
                  <c:v>0.62709999999999999</c:v>
                </c:pt>
                <c:pt idx="5059">
                  <c:v>0.63229999999999997</c:v>
                </c:pt>
                <c:pt idx="5060">
                  <c:v>0.63139999999999996</c:v>
                </c:pt>
                <c:pt idx="5061">
                  <c:v>0.63590000000000002</c:v>
                </c:pt>
                <c:pt idx="5062">
                  <c:v>0.6421</c:v>
                </c:pt>
                <c:pt idx="5063">
                  <c:v>0.63600000000000001</c:v>
                </c:pt>
                <c:pt idx="5064">
                  <c:v>0.6431</c:v>
                </c:pt>
                <c:pt idx="5065">
                  <c:v>0.64870000000000005</c:v>
                </c:pt>
                <c:pt idx="5066">
                  <c:v>0.64870000000000005</c:v>
                </c:pt>
                <c:pt idx="5067">
                  <c:v>0.6452</c:v>
                </c:pt>
                <c:pt idx="5068">
                  <c:v>0.64380000000000004</c:v>
                </c:pt>
                <c:pt idx="5069">
                  <c:v>0.64219999999999999</c:v>
                </c:pt>
                <c:pt idx="5070">
                  <c:v>0.65639999999999998</c:v>
                </c:pt>
                <c:pt idx="5071">
                  <c:v>0.65669999999999995</c:v>
                </c:pt>
                <c:pt idx="5072">
                  <c:v>0.65880000000000005</c:v>
                </c:pt>
                <c:pt idx="5073">
                  <c:v>0.65480000000000005</c:v>
                </c:pt>
                <c:pt idx="5074">
                  <c:v>0.65629999999999999</c:v>
                </c:pt>
                <c:pt idx="5075">
                  <c:v>0.65869999999999995</c:v>
                </c:pt>
                <c:pt idx="5076">
                  <c:v>0.65890000000000004</c:v>
                </c:pt>
                <c:pt idx="5077">
                  <c:v>0.65680000000000005</c:v>
                </c:pt>
                <c:pt idx="5078">
                  <c:v>0.64780000000000004</c:v>
                </c:pt>
                <c:pt idx="5079">
                  <c:v>0.6522</c:v>
                </c:pt>
                <c:pt idx="5080">
                  <c:v>0.65029999999999999</c:v>
                </c:pt>
                <c:pt idx="5081">
                  <c:v>0.65820000000000001</c:v>
                </c:pt>
                <c:pt idx="5082">
                  <c:v>0.66069999999999995</c:v>
                </c:pt>
                <c:pt idx="5083">
                  <c:v>0.66279999999999994</c:v>
                </c:pt>
                <c:pt idx="5084">
                  <c:v>0.66620000000000001</c:v>
                </c:pt>
                <c:pt idx="5085">
                  <c:v>0.66620000000000001</c:v>
                </c:pt>
                <c:pt idx="5086">
                  <c:v>0.65749999999999997</c:v>
                </c:pt>
                <c:pt idx="5087">
                  <c:v>0.65720000000000001</c:v>
                </c:pt>
                <c:pt idx="5088">
                  <c:v>0.66469999999999996</c:v>
                </c:pt>
                <c:pt idx="5089">
                  <c:v>0.66439999999999999</c:v>
                </c:pt>
                <c:pt idx="5090">
                  <c:v>0.66779999999999995</c:v>
                </c:pt>
                <c:pt idx="5091">
                  <c:v>0.67090000000000005</c:v>
                </c:pt>
                <c:pt idx="5092">
                  <c:v>0.67010000000000003</c:v>
                </c:pt>
                <c:pt idx="5093">
                  <c:v>0.66539999999999999</c:v>
                </c:pt>
                <c:pt idx="5094">
                  <c:v>0.67059999999999997</c:v>
                </c:pt>
                <c:pt idx="5095">
                  <c:v>0.66749999999999998</c:v>
                </c:pt>
                <c:pt idx="5096">
                  <c:v>0.6643</c:v>
                </c:pt>
                <c:pt idx="5097">
                  <c:v>0.66420000000000001</c:v>
                </c:pt>
                <c:pt idx="5098">
                  <c:v>0.66879999999999995</c:v>
                </c:pt>
                <c:pt idx="5099">
                  <c:v>0.66610000000000003</c:v>
                </c:pt>
                <c:pt idx="5100">
                  <c:v>0.66739999999999999</c:v>
                </c:pt>
                <c:pt idx="5101">
                  <c:v>0.67320000000000002</c:v>
                </c:pt>
                <c:pt idx="5102">
                  <c:v>0.67830000000000001</c:v>
                </c:pt>
                <c:pt idx="5103">
                  <c:v>0.68069999999999997</c:v>
                </c:pt>
                <c:pt idx="5104">
                  <c:v>0.68120000000000003</c:v>
                </c:pt>
                <c:pt idx="5105">
                  <c:v>0.6845</c:v>
                </c:pt>
                <c:pt idx="5106">
                  <c:v>0.67500000000000004</c:v>
                </c:pt>
                <c:pt idx="5107">
                  <c:v>0.66200000000000003</c:v>
                </c:pt>
                <c:pt idx="5108">
                  <c:v>0.65259999999999996</c:v>
                </c:pt>
                <c:pt idx="5109">
                  <c:v>0.65869999999999995</c:v>
                </c:pt>
                <c:pt idx="5110">
                  <c:v>0.65669999999999995</c:v>
                </c:pt>
                <c:pt idx="5111">
                  <c:v>0.65639999999999998</c:v>
                </c:pt>
                <c:pt idx="5112">
                  <c:v>0.65100000000000002</c:v>
                </c:pt>
                <c:pt idx="5113">
                  <c:v>0.65439999999999998</c:v>
                </c:pt>
                <c:pt idx="5114">
                  <c:v>0.64739999999999998</c:v>
                </c:pt>
                <c:pt idx="5115">
                  <c:v>0.64749999999999996</c:v>
                </c:pt>
                <c:pt idx="5116">
                  <c:v>0.65290000000000004</c:v>
                </c:pt>
                <c:pt idx="5117">
                  <c:v>0.65149999999999997</c:v>
                </c:pt>
                <c:pt idx="5118">
                  <c:v>0.6623</c:v>
                </c:pt>
                <c:pt idx="5119">
                  <c:v>0.66300000000000003</c:v>
                </c:pt>
                <c:pt idx="5120">
                  <c:v>0.66200000000000003</c:v>
                </c:pt>
                <c:pt idx="5121">
                  <c:v>0.66459999999999997</c:v>
                </c:pt>
                <c:pt idx="5122">
                  <c:v>0.66039999999999999</c:v>
                </c:pt>
                <c:pt idx="5123">
                  <c:v>0.65290000000000004</c:v>
                </c:pt>
                <c:pt idx="5124">
                  <c:v>0.64749999999999996</c:v>
                </c:pt>
                <c:pt idx="5125">
                  <c:v>0.64749999999999996</c:v>
                </c:pt>
                <c:pt idx="5126">
                  <c:v>0.64739999999999998</c:v>
                </c:pt>
                <c:pt idx="5127">
                  <c:v>0.6502</c:v>
                </c:pt>
                <c:pt idx="5128">
                  <c:v>0.6452</c:v>
                </c:pt>
                <c:pt idx="5129">
                  <c:v>0.65190000000000003</c:v>
                </c:pt>
                <c:pt idx="5130">
                  <c:v>0.65410000000000001</c:v>
                </c:pt>
                <c:pt idx="5131">
                  <c:v>0.65900000000000003</c:v>
                </c:pt>
                <c:pt idx="5132">
                  <c:v>0.65359999999999996</c:v>
                </c:pt>
                <c:pt idx="5133">
                  <c:v>0.65900000000000003</c:v>
                </c:pt>
                <c:pt idx="5134">
                  <c:v>0.65759999999999996</c:v>
                </c:pt>
                <c:pt idx="5135">
                  <c:v>0.66120000000000001</c:v>
                </c:pt>
                <c:pt idx="5136">
                  <c:v>0.65469999999999995</c:v>
                </c:pt>
                <c:pt idx="5137">
                  <c:v>0.65510000000000002</c:v>
                </c:pt>
                <c:pt idx="5138">
                  <c:v>0.65820000000000001</c:v>
                </c:pt>
                <c:pt idx="5139">
                  <c:v>0.6512</c:v>
                </c:pt>
                <c:pt idx="5140">
                  <c:v>0.65110000000000001</c:v>
                </c:pt>
                <c:pt idx="5141">
                  <c:v>0.64580000000000004</c:v>
                </c:pt>
                <c:pt idx="5142">
                  <c:v>0.64419999999999999</c:v>
                </c:pt>
                <c:pt idx="5143">
                  <c:v>0.63660000000000005</c:v>
                </c:pt>
                <c:pt idx="5144">
                  <c:v>0.64</c:v>
                </c:pt>
                <c:pt idx="5145">
                  <c:v>0.64749999999999996</c:v>
                </c:pt>
                <c:pt idx="5146">
                  <c:v>0.64329999999999998</c:v>
                </c:pt>
                <c:pt idx="5147">
                  <c:v>0.63759999999999994</c:v>
                </c:pt>
                <c:pt idx="5148">
                  <c:v>0.64039999999999997</c:v>
                </c:pt>
                <c:pt idx="5149">
                  <c:v>0.64290000000000003</c:v>
                </c:pt>
                <c:pt idx="5150">
                  <c:v>0.64880000000000004</c:v>
                </c:pt>
                <c:pt idx="5151">
                  <c:v>0.64849999999999997</c:v>
                </c:pt>
                <c:pt idx="5152">
                  <c:v>0.65839999999999999</c:v>
                </c:pt>
                <c:pt idx="5153">
                  <c:v>0.6593</c:v>
                </c:pt>
                <c:pt idx="5154">
                  <c:v>0.65969999999999995</c:v>
                </c:pt>
                <c:pt idx="5155">
                  <c:v>0.66239999999999999</c:v>
                </c:pt>
                <c:pt idx="5156">
                  <c:v>0.66590000000000005</c:v>
                </c:pt>
                <c:pt idx="5157">
                  <c:v>0.65969999999999995</c:v>
                </c:pt>
                <c:pt idx="5158">
                  <c:v>0.66449999999999998</c:v>
                </c:pt>
                <c:pt idx="5159">
                  <c:v>0.66900000000000004</c:v>
                </c:pt>
                <c:pt idx="5160">
                  <c:v>0.67949999999999999</c:v>
                </c:pt>
                <c:pt idx="5161">
                  <c:v>0.67759999999999998</c:v>
                </c:pt>
                <c:pt idx="5162">
                  <c:v>0.67510000000000003</c:v>
                </c:pt>
                <c:pt idx="5163">
                  <c:v>0.67920000000000003</c:v>
                </c:pt>
                <c:pt idx="5164">
                  <c:v>0.68</c:v>
                </c:pt>
                <c:pt idx="5165">
                  <c:v>0.67169999999999996</c:v>
                </c:pt>
                <c:pt idx="5166">
                  <c:v>0.68010000000000004</c:v>
                </c:pt>
                <c:pt idx="5167">
                  <c:v>0.68320000000000003</c:v>
                </c:pt>
                <c:pt idx="5168">
                  <c:v>0.68589999999999995</c:v>
                </c:pt>
                <c:pt idx="5169">
                  <c:v>0.68459999999999999</c:v>
                </c:pt>
                <c:pt idx="5170">
                  <c:v>0.68459999999999999</c:v>
                </c:pt>
                <c:pt idx="5171">
                  <c:v>0.68600000000000005</c:v>
                </c:pt>
                <c:pt idx="5172">
                  <c:v>0.69040000000000001</c:v>
                </c:pt>
                <c:pt idx="5173">
                  <c:v>0.69359999999999999</c:v>
                </c:pt>
                <c:pt idx="5174">
                  <c:v>0.6895</c:v>
                </c:pt>
                <c:pt idx="5175">
                  <c:v>0.6905</c:v>
                </c:pt>
                <c:pt idx="5176">
                  <c:v>0.68440000000000001</c:v>
                </c:pt>
                <c:pt idx="5177">
                  <c:v>0.69059999999999999</c:v>
                </c:pt>
                <c:pt idx="5178">
                  <c:v>0.68840000000000001</c:v>
                </c:pt>
                <c:pt idx="5179">
                  <c:v>0.68979999999999997</c:v>
                </c:pt>
                <c:pt idx="5180">
                  <c:v>0.69269999999999998</c:v>
                </c:pt>
                <c:pt idx="5181">
                  <c:v>0.69430000000000003</c:v>
                </c:pt>
                <c:pt idx="5182">
                  <c:v>0.69989999999999997</c:v>
                </c:pt>
                <c:pt idx="5183">
                  <c:v>0.7036</c:v>
                </c:pt>
                <c:pt idx="5184">
                  <c:v>0.70140000000000002</c:v>
                </c:pt>
                <c:pt idx="5185">
                  <c:v>0.70140000000000002</c:v>
                </c:pt>
                <c:pt idx="5186">
                  <c:v>0.7036</c:v>
                </c:pt>
                <c:pt idx="5187">
                  <c:v>0.70599999999999996</c:v>
                </c:pt>
                <c:pt idx="5188">
                  <c:v>0.70499999999999996</c:v>
                </c:pt>
                <c:pt idx="5189">
                  <c:v>0.7046</c:v>
                </c:pt>
                <c:pt idx="5190">
                  <c:v>0.70779999999999998</c:v>
                </c:pt>
                <c:pt idx="5191">
                  <c:v>0.69750000000000001</c:v>
                </c:pt>
                <c:pt idx="5192">
                  <c:v>0.7097</c:v>
                </c:pt>
                <c:pt idx="5193">
                  <c:v>0.71089999999999998</c:v>
                </c:pt>
                <c:pt idx="5194">
                  <c:v>0.70720000000000005</c:v>
                </c:pt>
                <c:pt idx="5195">
                  <c:v>0.71160000000000001</c:v>
                </c:pt>
                <c:pt idx="5196">
                  <c:v>0.71489999999999998</c:v>
                </c:pt>
                <c:pt idx="5197">
                  <c:v>0.71540000000000004</c:v>
                </c:pt>
                <c:pt idx="5198">
                  <c:v>0.71899999999999997</c:v>
                </c:pt>
                <c:pt idx="5199">
                  <c:v>0.72170000000000001</c:v>
                </c:pt>
                <c:pt idx="5200">
                  <c:v>0.71399999999999997</c:v>
                </c:pt>
                <c:pt idx="5201">
                  <c:v>0.71530000000000005</c:v>
                </c:pt>
                <c:pt idx="5202">
                  <c:v>0.72299999999999998</c:v>
                </c:pt>
                <c:pt idx="5203">
                  <c:v>0.72160000000000002</c:v>
                </c:pt>
                <c:pt idx="5204">
                  <c:v>0.72160000000000002</c:v>
                </c:pt>
                <c:pt idx="5205">
                  <c:v>0.72319999999999995</c:v>
                </c:pt>
                <c:pt idx="5206">
                  <c:v>0.72030000000000005</c:v>
                </c:pt>
                <c:pt idx="5207">
                  <c:v>0.71809999999999996</c:v>
                </c:pt>
                <c:pt idx="5208">
                  <c:v>0.72389999999999999</c:v>
                </c:pt>
                <c:pt idx="5209">
                  <c:v>0.72060000000000002</c:v>
                </c:pt>
                <c:pt idx="5210">
                  <c:v>0.72470000000000001</c:v>
                </c:pt>
                <c:pt idx="5211">
                  <c:v>0.72919999999999996</c:v>
                </c:pt>
                <c:pt idx="5212">
                  <c:v>0.73240000000000005</c:v>
                </c:pt>
                <c:pt idx="5213">
                  <c:v>0.73409999999999997</c:v>
                </c:pt>
                <c:pt idx="5214">
                  <c:v>0.73450000000000004</c:v>
                </c:pt>
                <c:pt idx="5215">
                  <c:v>0.73850000000000005</c:v>
                </c:pt>
                <c:pt idx="5216">
                  <c:v>0.73950000000000005</c:v>
                </c:pt>
                <c:pt idx="5217">
                  <c:v>0.74019999999999997</c:v>
                </c:pt>
                <c:pt idx="5218">
                  <c:v>0.73660000000000003</c:v>
                </c:pt>
                <c:pt idx="5219">
                  <c:v>0.74109999999999998</c:v>
                </c:pt>
                <c:pt idx="5220">
                  <c:v>0.73939999999999995</c:v>
                </c:pt>
                <c:pt idx="5221">
                  <c:v>0.74409999999999998</c:v>
                </c:pt>
                <c:pt idx="5222">
                  <c:v>0.74209999999999998</c:v>
                </c:pt>
                <c:pt idx="5223">
                  <c:v>0.74160000000000004</c:v>
                </c:pt>
                <c:pt idx="5224">
                  <c:v>0.73919999999999997</c:v>
                </c:pt>
                <c:pt idx="5225">
                  <c:v>0.73450000000000004</c:v>
                </c:pt>
                <c:pt idx="5226">
                  <c:v>0.7359</c:v>
                </c:pt>
                <c:pt idx="5227">
                  <c:v>0.73950000000000005</c:v>
                </c:pt>
                <c:pt idx="5228">
                  <c:v>0.73950000000000005</c:v>
                </c:pt>
                <c:pt idx="5229">
                  <c:v>0.73950000000000005</c:v>
                </c:pt>
                <c:pt idx="5230">
                  <c:v>0.74299999999999999</c:v>
                </c:pt>
                <c:pt idx="5231">
                  <c:v>0.74470000000000003</c:v>
                </c:pt>
                <c:pt idx="5232">
                  <c:v>0.75</c:v>
                </c:pt>
                <c:pt idx="5233">
                  <c:v>0.75</c:v>
                </c:pt>
                <c:pt idx="5234">
                  <c:v>0.75270000000000004</c:v>
                </c:pt>
                <c:pt idx="5235">
                  <c:v>0.76300000000000001</c:v>
                </c:pt>
                <c:pt idx="5236">
                  <c:v>0.76680000000000004</c:v>
                </c:pt>
                <c:pt idx="5237">
                  <c:v>0.76770000000000005</c:v>
                </c:pt>
                <c:pt idx="5238">
                  <c:v>0.76790000000000003</c:v>
                </c:pt>
                <c:pt idx="5239">
                  <c:v>0.7752</c:v>
                </c:pt>
                <c:pt idx="5240">
                  <c:v>0.77869999999999995</c:v>
                </c:pt>
                <c:pt idx="5241">
                  <c:v>0.7782</c:v>
                </c:pt>
                <c:pt idx="5242">
                  <c:v>0.77659999999999996</c:v>
                </c:pt>
                <c:pt idx="5243">
                  <c:v>0.77380000000000004</c:v>
                </c:pt>
                <c:pt idx="5244">
                  <c:v>0.77080000000000004</c:v>
                </c:pt>
                <c:pt idx="5245">
                  <c:v>0.75800000000000001</c:v>
                </c:pt>
                <c:pt idx="5246">
                  <c:v>0.75749999999999995</c:v>
                </c:pt>
                <c:pt idx="5247">
                  <c:v>0.76980000000000004</c:v>
                </c:pt>
                <c:pt idx="5248">
                  <c:v>0.7732</c:v>
                </c:pt>
                <c:pt idx="5249">
                  <c:v>0.77729999999999999</c:v>
                </c:pt>
                <c:pt idx="5250">
                  <c:v>0.77729999999999999</c:v>
                </c:pt>
                <c:pt idx="5251">
                  <c:v>0.76949999999999996</c:v>
                </c:pt>
                <c:pt idx="5252">
                  <c:v>0.77700000000000002</c:v>
                </c:pt>
                <c:pt idx="5253">
                  <c:v>0.77129999999999999</c:v>
                </c:pt>
                <c:pt idx="5254">
                  <c:v>0.76439999999999997</c:v>
                </c:pt>
                <c:pt idx="5255">
                  <c:v>0.76149999999999995</c:v>
                </c:pt>
                <c:pt idx="5256">
                  <c:v>0.76039999999999996</c:v>
                </c:pt>
                <c:pt idx="5257">
                  <c:v>0.76349999999999996</c:v>
                </c:pt>
                <c:pt idx="5258">
                  <c:v>0.76100000000000001</c:v>
                </c:pt>
                <c:pt idx="5259">
                  <c:v>0.76339999999999997</c:v>
                </c:pt>
                <c:pt idx="5260">
                  <c:v>0.7762</c:v>
                </c:pt>
                <c:pt idx="5261">
                  <c:v>0.77910000000000001</c:v>
                </c:pt>
                <c:pt idx="5262">
                  <c:v>0.77959999999999996</c:v>
                </c:pt>
                <c:pt idx="5263">
                  <c:v>0.78710000000000002</c:v>
                </c:pt>
                <c:pt idx="5264">
                  <c:v>0.79079999999999995</c:v>
                </c:pt>
                <c:pt idx="5265">
                  <c:v>0.79020000000000001</c:v>
                </c:pt>
                <c:pt idx="5266">
                  <c:v>0.79320000000000002</c:v>
                </c:pt>
                <c:pt idx="5267">
                  <c:v>0.79720000000000002</c:v>
                </c:pt>
                <c:pt idx="5268">
                  <c:v>0.79300000000000004</c:v>
                </c:pt>
                <c:pt idx="5269">
                  <c:v>0.78849999999999998</c:v>
                </c:pt>
                <c:pt idx="5270">
                  <c:v>0.77290000000000003</c:v>
                </c:pt>
                <c:pt idx="5271">
                  <c:v>0.77249999999999996</c:v>
                </c:pt>
                <c:pt idx="5272">
                  <c:v>0.78029999999999999</c:v>
                </c:pt>
                <c:pt idx="5273">
                  <c:v>0.77310000000000001</c:v>
                </c:pt>
                <c:pt idx="5274">
                  <c:v>0.77080000000000004</c:v>
                </c:pt>
                <c:pt idx="5275">
                  <c:v>0.77449999999999997</c:v>
                </c:pt>
                <c:pt idx="5276">
                  <c:v>0.77259999999999995</c:v>
                </c:pt>
                <c:pt idx="5277">
                  <c:v>0.75119999999999998</c:v>
                </c:pt>
                <c:pt idx="5278">
                  <c:v>0.75160000000000005</c:v>
                </c:pt>
                <c:pt idx="5279">
                  <c:v>0.75090000000000001</c:v>
                </c:pt>
                <c:pt idx="5280">
                  <c:v>0.75760000000000005</c:v>
                </c:pt>
                <c:pt idx="5281">
                  <c:v>0.76390000000000002</c:v>
                </c:pt>
                <c:pt idx="5282">
                  <c:v>0.75649999999999995</c:v>
                </c:pt>
                <c:pt idx="5283">
                  <c:v>0.74250000000000005</c:v>
                </c:pt>
                <c:pt idx="5284">
                  <c:v>0.72840000000000005</c:v>
                </c:pt>
                <c:pt idx="5285">
                  <c:v>0.73380000000000001</c:v>
                </c:pt>
                <c:pt idx="5286">
                  <c:v>0.73670000000000002</c:v>
                </c:pt>
                <c:pt idx="5287">
                  <c:v>0.74299999999999999</c:v>
                </c:pt>
                <c:pt idx="5288">
                  <c:v>0.745</c:v>
                </c:pt>
                <c:pt idx="5289">
                  <c:v>0.74860000000000004</c:v>
                </c:pt>
                <c:pt idx="5290">
                  <c:v>0.74470000000000003</c:v>
                </c:pt>
                <c:pt idx="5291">
                  <c:v>0.75360000000000005</c:v>
                </c:pt>
                <c:pt idx="5292">
                  <c:v>0.75160000000000005</c:v>
                </c:pt>
                <c:pt idx="5293">
                  <c:v>0.74380000000000002</c:v>
                </c:pt>
                <c:pt idx="5294">
                  <c:v>0.74029999999999996</c:v>
                </c:pt>
                <c:pt idx="5295">
                  <c:v>0.745</c:v>
                </c:pt>
                <c:pt idx="5296">
                  <c:v>0.75029999999999997</c:v>
                </c:pt>
                <c:pt idx="5297">
                  <c:v>0.75890000000000002</c:v>
                </c:pt>
                <c:pt idx="5298">
                  <c:v>0.76180000000000003</c:v>
                </c:pt>
                <c:pt idx="5299">
                  <c:v>0.76480000000000004</c:v>
                </c:pt>
                <c:pt idx="5300">
                  <c:v>0.75760000000000005</c:v>
                </c:pt>
                <c:pt idx="5301">
                  <c:v>0.75260000000000005</c:v>
                </c:pt>
                <c:pt idx="5302">
                  <c:v>0.75880000000000003</c:v>
                </c:pt>
                <c:pt idx="5303">
                  <c:v>0.76659999999999995</c:v>
                </c:pt>
                <c:pt idx="5304">
                  <c:v>0.76659999999999995</c:v>
                </c:pt>
                <c:pt idx="5305">
                  <c:v>0.76659999999999995</c:v>
                </c:pt>
                <c:pt idx="5306">
                  <c:v>0.7671</c:v>
                </c:pt>
                <c:pt idx="5307">
                  <c:v>0.7429</c:v>
                </c:pt>
                <c:pt idx="5308">
                  <c:v>0.73670000000000002</c:v>
                </c:pt>
                <c:pt idx="5309">
                  <c:v>0.74219999999999997</c:v>
                </c:pt>
                <c:pt idx="5310">
                  <c:v>0.74760000000000004</c:v>
                </c:pt>
                <c:pt idx="5311">
                  <c:v>0.74050000000000005</c:v>
                </c:pt>
                <c:pt idx="5312">
                  <c:v>0.73099999999999998</c:v>
                </c:pt>
                <c:pt idx="5313">
                  <c:v>0.72940000000000005</c:v>
                </c:pt>
                <c:pt idx="5314">
                  <c:v>0.73460000000000003</c:v>
                </c:pt>
                <c:pt idx="5315">
                  <c:v>0.73460000000000003</c:v>
                </c:pt>
                <c:pt idx="5316">
                  <c:v>0.7339</c:v>
                </c:pt>
                <c:pt idx="5317">
                  <c:v>0.73180000000000001</c:v>
                </c:pt>
                <c:pt idx="5318">
                  <c:v>0.71789999999999998</c:v>
                </c:pt>
                <c:pt idx="5319">
                  <c:v>0.72199999999999998</c:v>
                </c:pt>
                <c:pt idx="5320">
                  <c:v>0.72170000000000001</c:v>
                </c:pt>
                <c:pt idx="5321">
                  <c:v>0.72240000000000004</c:v>
                </c:pt>
                <c:pt idx="5322">
                  <c:v>0.73150000000000004</c:v>
                </c:pt>
                <c:pt idx="5323">
                  <c:v>0.73109999999999997</c:v>
                </c:pt>
                <c:pt idx="5324">
                  <c:v>0.71799999999999997</c:v>
                </c:pt>
                <c:pt idx="5325">
                  <c:v>0.69789999999999996</c:v>
                </c:pt>
                <c:pt idx="5326">
                  <c:v>0.69630000000000003</c:v>
                </c:pt>
                <c:pt idx="5327">
                  <c:v>0.70030000000000003</c:v>
                </c:pt>
                <c:pt idx="5328">
                  <c:v>0.69159999999999999</c:v>
                </c:pt>
                <c:pt idx="5329">
                  <c:v>0.68789999999999996</c:v>
                </c:pt>
                <c:pt idx="5330">
                  <c:v>0.69369999999999998</c:v>
                </c:pt>
                <c:pt idx="5331">
                  <c:v>0.68340000000000001</c:v>
                </c:pt>
                <c:pt idx="5332">
                  <c:v>0.69630000000000003</c:v>
                </c:pt>
                <c:pt idx="5333">
                  <c:v>0.69240000000000002</c:v>
                </c:pt>
                <c:pt idx="5334">
                  <c:v>0.69989999999999997</c:v>
                </c:pt>
                <c:pt idx="5335">
                  <c:v>0.69620000000000004</c:v>
                </c:pt>
                <c:pt idx="5336">
                  <c:v>0.7</c:v>
                </c:pt>
                <c:pt idx="5337">
                  <c:v>0.70879999999999999</c:v>
                </c:pt>
                <c:pt idx="5338">
                  <c:v>0.71179999999999999</c:v>
                </c:pt>
                <c:pt idx="5339">
                  <c:v>0.71889999999999998</c:v>
                </c:pt>
                <c:pt idx="5340">
                  <c:v>0.71430000000000005</c:v>
                </c:pt>
                <c:pt idx="5341">
                  <c:v>0.71599999999999997</c:v>
                </c:pt>
                <c:pt idx="5342">
                  <c:v>0.7087</c:v>
                </c:pt>
                <c:pt idx="5343">
                  <c:v>0.6925</c:v>
                </c:pt>
                <c:pt idx="5344">
                  <c:v>0.69089999999999996</c:v>
                </c:pt>
                <c:pt idx="5345">
                  <c:v>0.70040000000000002</c:v>
                </c:pt>
                <c:pt idx="5346">
                  <c:v>0.70399999999999996</c:v>
                </c:pt>
                <c:pt idx="5347">
                  <c:v>0.69699999999999995</c:v>
                </c:pt>
                <c:pt idx="5348">
                  <c:v>0.69059999999999999</c:v>
                </c:pt>
                <c:pt idx="5349">
                  <c:v>0.69389999999999996</c:v>
                </c:pt>
                <c:pt idx="5350">
                  <c:v>0.69389999999999996</c:v>
                </c:pt>
                <c:pt idx="5351">
                  <c:v>0.68469999999999998</c:v>
                </c:pt>
                <c:pt idx="5352">
                  <c:v>0.69410000000000005</c:v>
                </c:pt>
                <c:pt idx="5353">
                  <c:v>0.68389999999999995</c:v>
                </c:pt>
                <c:pt idx="5354">
                  <c:v>0.68189999999999995</c:v>
                </c:pt>
                <c:pt idx="5355">
                  <c:v>0.68830000000000002</c:v>
                </c:pt>
                <c:pt idx="5356">
                  <c:v>0.68640000000000001</c:v>
                </c:pt>
                <c:pt idx="5357">
                  <c:v>0.69</c:v>
                </c:pt>
                <c:pt idx="5358">
                  <c:v>0.68940000000000001</c:v>
                </c:pt>
                <c:pt idx="5359">
                  <c:v>0.70030000000000003</c:v>
                </c:pt>
                <c:pt idx="5360">
                  <c:v>0.69640000000000002</c:v>
                </c:pt>
                <c:pt idx="5361">
                  <c:v>0.69950000000000001</c:v>
                </c:pt>
                <c:pt idx="5362">
                  <c:v>0.68889999999999996</c:v>
                </c:pt>
                <c:pt idx="5363">
                  <c:v>0.69940000000000002</c:v>
                </c:pt>
                <c:pt idx="5364">
                  <c:v>0.70379999999999998</c:v>
                </c:pt>
                <c:pt idx="5365">
                  <c:v>0.71340000000000003</c:v>
                </c:pt>
                <c:pt idx="5366">
                  <c:v>0.71740000000000004</c:v>
                </c:pt>
                <c:pt idx="5367">
                  <c:v>0.71860000000000002</c:v>
                </c:pt>
                <c:pt idx="5368">
                  <c:v>0.72170000000000001</c:v>
                </c:pt>
                <c:pt idx="5369">
                  <c:v>0.72350000000000003</c:v>
                </c:pt>
                <c:pt idx="5370">
                  <c:v>0.72460000000000002</c:v>
                </c:pt>
                <c:pt idx="5371">
                  <c:v>0.72489999999999999</c:v>
                </c:pt>
                <c:pt idx="5372">
                  <c:v>0.72560000000000002</c:v>
                </c:pt>
                <c:pt idx="5373">
                  <c:v>0.72399999999999998</c:v>
                </c:pt>
                <c:pt idx="5374">
                  <c:v>0.72350000000000003</c:v>
                </c:pt>
                <c:pt idx="5375">
                  <c:v>0.73429999999999995</c:v>
                </c:pt>
                <c:pt idx="5376">
                  <c:v>0.73070000000000002</c:v>
                </c:pt>
                <c:pt idx="5377">
                  <c:v>0.72609999999999997</c:v>
                </c:pt>
                <c:pt idx="5378">
                  <c:v>0.71340000000000003</c:v>
                </c:pt>
                <c:pt idx="5379">
                  <c:v>0.71309999999999996</c:v>
                </c:pt>
                <c:pt idx="5380">
                  <c:v>0.71199999999999997</c:v>
                </c:pt>
                <c:pt idx="5381">
                  <c:v>0.71160000000000001</c:v>
                </c:pt>
                <c:pt idx="5382">
                  <c:v>0.7016</c:v>
                </c:pt>
                <c:pt idx="5383">
                  <c:v>0.69879999999999998</c:v>
                </c:pt>
                <c:pt idx="5384">
                  <c:v>0.6986</c:v>
                </c:pt>
                <c:pt idx="5385">
                  <c:v>0.6986</c:v>
                </c:pt>
                <c:pt idx="5386">
                  <c:v>0.70130000000000003</c:v>
                </c:pt>
                <c:pt idx="5387">
                  <c:v>0.70250000000000001</c:v>
                </c:pt>
                <c:pt idx="5388">
                  <c:v>0.70479999999999998</c:v>
                </c:pt>
                <c:pt idx="5389">
                  <c:v>0.70379999999999998</c:v>
                </c:pt>
                <c:pt idx="5390">
                  <c:v>0.71609999999999996</c:v>
                </c:pt>
                <c:pt idx="5391">
                  <c:v>0.71499999999999997</c:v>
                </c:pt>
                <c:pt idx="5392">
                  <c:v>0.71279999999999999</c:v>
                </c:pt>
                <c:pt idx="5393">
                  <c:v>0.71409999999999996</c:v>
                </c:pt>
                <c:pt idx="5394">
                  <c:v>0.70699999999999996</c:v>
                </c:pt>
                <c:pt idx="5395">
                  <c:v>0.71650000000000003</c:v>
                </c:pt>
                <c:pt idx="5396">
                  <c:v>0.71879999999999999</c:v>
                </c:pt>
                <c:pt idx="5397">
                  <c:v>0.71619999999999995</c:v>
                </c:pt>
                <c:pt idx="5398">
                  <c:v>0.71460000000000001</c:v>
                </c:pt>
                <c:pt idx="5399">
                  <c:v>0.72499999999999998</c:v>
                </c:pt>
                <c:pt idx="5400">
                  <c:v>0.72250000000000003</c:v>
                </c:pt>
                <c:pt idx="5401">
                  <c:v>0.71250000000000002</c:v>
                </c:pt>
                <c:pt idx="5402">
                  <c:v>0.70640000000000003</c:v>
                </c:pt>
                <c:pt idx="5403">
                  <c:v>0.70489999999999997</c:v>
                </c:pt>
                <c:pt idx="5404">
                  <c:v>0.70650000000000002</c:v>
                </c:pt>
                <c:pt idx="5405">
                  <c:v>0.69669999999999999</c:v>
                </c:pt>
                <c:pt idx="5406">
                  <c:v>0.70109999999999995</c:v>
                </c:pt>
                <c:pt idx="5407">
                  <c:v>0.70469999999999999</c:v>
                </c:pt>
                <c:pt idx="5408">
                  <c:v>0.70009999999999994</c:v>
                </c:pt>
                <c:pt idx="5409">
                  <c:v>0.69750000000000001</c:v>
                </c:pt>
                <c:pt idx="5410">
                  <c:v>0.69159999999999999</c:v>
                </c:pt>
                <c:pt idx="5411">
                  <c:v>0.69379999999999997</c:v>
                </c:pt>
                <c:pt idx="5412">
                  <c:v>0.69010000000000005</c:v>
                </c:pt>
                <c:pt idx="5413">
                  <c:v>0.69350000000000001</c:v>
                </c:pt>
                <c:pt idx="5414">
                  <c:v>0.68859999999999999</c:v>
                </c:pt>
                <c:pt idx="5415">
                  <c:v>0.6966</c:v>
                </c:pt>
                <c:pt idx="5416">
                  <c:v>0.69899999999999995</c:v>
                </c:pt>
                <c:pt idx="5417">
                  <c:v>0.69889999999999997</c:v>
                </c:pt>
                <c:pt idx="5418">
                  <c:v>0.69479999999999997</c:v>
                </c:pt>
                <c:pt idx="5419">
                  <c:v>0.6986</c:v>
                </c:pt>
                <c:pt idx="5420">
                  <c:v>0.69910000000000005</c:v>
                </c:pt>
                <c:pt idx="5421">
                  <c:v>0.70009999999999994</c:v>
                </c:pt>
                <c:pt idx="5422">
                  <c:v>0.70479999999999998</c:v>
                </c:pt>
                <c:pt idx="5423">
                  <c:v>0.70779999999999998</c:v>
                </c:pt>
                <c:pt idx="5424">
                  <c:v>0.71289999999999998</c:v>
                </c:pt>
                <c:pt idx="5425">
                  <c:v>0.71140000000000003</c:v>
                </c:pt>
                <c:pt idx="5426">
                  <c:v>0.71450000000000002</c:v>
                </c:pt>
                <c:pt idx="5427">
                  <c:v>0.71650000000000003</c:v>
                </c:pt>
                <c:pt idx="5428">
                  <c:v>0.7147</c:v>
                </c:pt>
                <c:pt idx="5429">
                  <c:v>0.72650000000000003</c:v>
                </c:pt>
                <c:pt idx="5430">
                  <c:v>0.72650000000000003</c:v>
                </c:pt>
                <c:pt idx="5431">
                  <c:v>0.72150000000000003</c:v>
                </c:pt>
                <c:pt idx="5432">
                  <c:v>0.72460000000000002</c:v>
                </c:pt>
                <c:pt idx="5433">
                  <c:v>0.72460000000000002</c:v>
                </c:pt>
                <c:pt idx="5434">
                  <c:v>0.7278</c:v>
                </c:pt>
                <c:pt idx="5435">
                  <c:v>0.73380000000000001</c:v>
                </c:pt>
                <c:pt idx="5436">
                  <c:v>0.73150000000000004</c:v>
                </c:pt>
                <c:pt idx="5437">
                  <c:v>0.72840000000000005</c:v>
                </c:pt>
                <c:pt idx="5438">
                  <c:v>0.72470000000000001</c:v>
                </c:pt>
                <c:pt idx="5439">
                  <c:v>0.73029999999999995</c:v>
                </c:pt>
                <c:pt idx="5440">
                  <c:v>0.73119999999999996</c:v>
                </c:pt>
                <c:pt idx="5441">
                  <c:v>0.7248</c:v>
                </c:pt>
                <c:pt idx="5442">
                  <c:v>0.72750000000000004</c:v>
                </c:pt>
                <c:pt idx="5443">
                  <c:v>0.73670000000000002</c:v>
                </c:pt>
                <c:pt idx="5444">
                  <c:v>0.73650000000000004</c:v>
                </c:pt>
                <c:pt idx="5445">
                  <c:v>0.74450000000000005</c:v>
                </c:pt>
                <c:pt idx="5446">
                  <c:v>0.74760000000000004</c:v>
                </c:pt>
                <c:pt idx="5447">
                  <c:v>0.74539999999999995</c:v>
                </c:pt>
                <c:pt idx="5448">
                  <c:v>0.74870000000000003</c:v>
                </c:pt>
                <c:pt idx="5449">
                  <c:v>0.74609999999999999</c:v>
                </c:pt>
                <c:pt idx="5450">
                  <c:v>0.74729999999999996</c:v>
                </c:pt>
                <c:pt idx="5451">
                  <c:v>0.74490000000000001</c:v>
                </c:pt>
                <c:pt idx="5452">
                  <c:v>0.74590000000000001</c:v>
                </c:pt>
                <c:pt idx="5453">
                  <c:v>0.75639999999999996</c:v>
                </c:pt>
                <c:pt idx="5454">
                  <c:v>0.75719999999999998</c:v>
                </c:pt>
                <c:pt idx="5455">
                  <c:v>0.76049999999999995</c:v>
                </c:pt>
                <c:pt idx="5456">
                  <c:v>0.75649999999999995</c:v>
                </c:pt>
                <c:pt idx="5457">
                  <c:v>0.76019999999999999</c:v>
                </c:pt>
                <c:pt idx="5458">
                  <c:v>0.75949999999999995</c:v>
                </c:pt>
                <c:pt idx="5459">
                  <c:v>0.76480000000000004</c:v>
                </c:pt>
                <c:pt idx="5460">
                  <c:v>0.76949999999999996</c:v>
                </c:pt>
                <c:pt idx="5461">
                  <c:v>0.77039999999999997</c:v>
                </c:pt>
                <c:pt idx="5462">
                  <c:v>0.77359999999999995</c:v>
                </c:pt>
                <c:pt idx="5463">
                  <c:v>0.78159999999999996</c:v>
                </c:pt>
                <c:pt idx="5464">
                  <c:v>0.77549999999999997</c:v>
                </c:pt>
                <c:pt idx="5465">
                  <c:v>0.78200000000000003</c:v>
                </c:pt>
                <c:pt idx="5466">
                  <c:v>0.77910000000000001</c:v>
                </c:pt>
                <c:pt idx="5467">
                  <c:v>0.78580000000000005</c:v>
                </c:pt>
                <c:pt idx="5468">
                  <c:v>0.78680000000000005</c:v>
                </c:pt>
                <c:pt idx="5469">
                  <c:v>0.79369999999999996</c:v>
                </c:pt>
                <c:pt idx="5470">
                  <c:v>0.78669999999999995</c:v>
                </c:pt>
                <c:pt idx="5471">
                  <c:v>0.77749999999999997</c:v>
                </c:pt>
                <c:pt idx="5472">
                  <c:v>0.77669999999999995</c:v>
                </c:pt>
                <c:pt idx="5473">
                  <c:v>0.78049999999999997</c:v>
                </c:pt>
                <c:pt idx="5474">
                  <c:v>0.77459999999999996</c:v>
                </c:pt>
                <c:pt idx="5475">
                  <c:v>0.78169999999999995</c:v>
                </c:pt>
                <c:pt idx="5476">
                  <c:v>0.7772</c:v>
                </c:pt>
                <c:pt idx="5477">
                  <c:v>0.76600000000000001</c:v>
                </c:pt>
                <c:pt idx="5478">
                  <c:v>0.75819999999999999</c:v>
                </c:pt>
                <c:pt idx="5479">
                  <c:v>0.75119999999999998</c:v>
                </c:pt>
                <c:pt idx="5480">
                  <c:v>0.75319999999999998</c:v>
                </c:pt>
                <c:pt idx="5481">
                  <c:v>0.75970000000000004</c:v>
                </c:pt>
                <c:pt idx="5482">
                  <c:v>0.75680000000000003</c:v>
                </c:pt>
                <c:pt idx="5483">
                  <c:v>0.76549999999999996</c:v>
                </c:pt>
                <c:pt idx="5484">
                  <c:v>0.76149999999999995</c:v>
                </c:pt>
                <c:pt idx="5485">
                  <c:v>0.76339999999999997</c:v>
                </c:pt>
                <c:pt idx="5486">
                  <c:v>0.76639999999999997</c:v>
                </c:pt>
                <c:pt idx="5487">
                  <c:v>0.76319999999999999</c:v>
                </c:pt>
                <c:pt idx="5488">
                  <c:v>0.76590000000000003</c:v>
                </c:pt>
                <c:pt idx="5489">
                  <c:v>0.76770000000000005</c:v>
                </c:pt>
                <c:pt idx="5490">
                  <c:v>0.76770000000000005</c:v>
                </c:pt>
                <c:pt idx="5491">
                  <c:v>0.76770000000000005</c:v>
                </c:pt>
                <c:pt idx="5492">
                  <c:v>0.7792</c:v>
                </c:pt>
                <c:pt idx="5493">
                  <c:v>0.77529999999999999</c:v>
                </c:pt>
                <c:pt idx="5494">
                  <c:v>0.77529999999999999</c:v>
                </c:pt>
                <c:pt idx="5495">
                  <c:v>0.77529999999999999</c:v>
                </c:pt>
                <c:pt idx="5496">
                  <c:v>0.77880000000000005</c:v>
                </c:pt>
                <c:pt idx="5497">
                  <c:v>0.76480000000000004</c:v>
                </c:pt>
                <c:pt idx="5498">
                  <c:v>0.76370000000000005</c:v>
                </c:pt>
                <c:pt idx="5499">
                  <c:v>0.76249999999999996</c:v>
                </c:pt>
                <c:pt idx="5500">
                  <c:v>0.75829999999999997</c:v>
                </c:pt>
                <c:pt idx="5501">
                  <c:v>0.76070000000000004</c:v>
                </c:pt>
                <c:pt idx="5502">
                  <c:v>0.76049999999999995</c:v>
                </c:pt>
                <c:pt idx="5503">
                  <c:v>0.76639999999999997</c:v>
                </c:pt>
                <c:pt idx="5504">
                  <c:v>0.7591</c:v>
                </c:pt>
                <c:pt idx="5505">
                  <c:v>0.76080000000000003</c:v>
                </c:pt>
                <c:pt idx="5506">
                  <c:v>0.75280000000000002</c:v>
                </c:pt>
                <c:pt idx="5507">
                  <c:v>0.75700000000000001</c:v>
                </c:pt>
                <c:pt idx="5508">
                  <c:v>0.7611</c:v>
                </c:pt>
                <c:pt idx="5509">
                  <c:v>0.75780000000000003</c:v>
                </c:pt>
                <c:pt idx="5510">
                  <c:v>0.76959999999999995</c:v>
                </c:pt>
                <c:pt idx="5511">
                  <c:v>0.7702</c:v>
                </c:pt>
                <c:pt idx="5512">
                  <c:v>0.7702</c:v>
                </c:pt>
                <c:pt idx="5513">
                  <c:v>0.77629999999999999</c:v>
                </c:pt>
                <c:pt idx="5514">
                  <c:v>0.77529999999999999</c:v>
                </c:pt>
                <c:pt idx="5515">
                  <c:v>0.77439999999999998</c:v>
                </c:pt>
                <c:pt idx="5516">
                  <c:v>0.77370000000000005</c:v>
                </c:pt>
                <c:pt idx="5517">
                  <c:v>0.77439999999999998</c:v>
                </c:pt>
                <c:pt idx="5518">
                  <c:v>0.77529999999999999</c:v>
                </c:pt>
                <c:pt idx="5519">
                  <c:v>0.76970000000000005</c:v>
                </c:pt>
                <c:pt idx="5520">
                  <c:v>0.77239999999999998</c:v>
                </c:pt>
                <c:pt idx="5521">
                  <c:v>0.76690000000000003</c:v>
                </c:pt>
                <c:pt idx="5522">
                  <c:v>0.76359999999999995</c:v>
                </c:pt>
                <c:pt idx="5523">
                  <c:v>0.77669999999999995</c:v>
                </c:pt>
                <c:pt idx="5524">
                  <c:v>0.78180000000000005</c:v>
                </c:pt>
                <c:pt idx="5525">
                  <c:v>0.78510000000000002</c:v>
                </c:pt>
                <c:pt idx="5526">
                  <c:v>0.78459999999999996</c:v>
                </c:pt>
                <c:pt idx="5527">
                  <c:v>0.78639999999999999</c:v>
                </c:pt>
                <c:pt idx="5528">
                  <c:v>0.78490000000000004</c:v>
                </c:pt>
                <c:pt idx="5529">
                  <c:v>0.78469999999999995</c:v>
                </c:pt>
                <c:pt idx="5530">
                  <c:v>0.78769999999999996</c:v>
                </c:pt>
                <c:pt idx="5531">
                  <c:v>0.79049999999999998</c:v>
                </c:pt>
                <c:pt idx="5532">
                  <c:v>0.79279999999999995</c:v>
                </c:pt>
                <c:pt idx="5533">
                  <c:v>0.78800000000000003</c:v>
                </c:pt>
                <c:pt idx="5534">
                  <c:v>0.78520000000000001</c:v>
                </c:pt>
                <c:pt idx="5535">
                  <c:v>0.79049999999999998</c:v>
                </c:pt>
                <c:pt idx="5536">
                  <c:v>0.78690000000000004</c:v>
                </c:pt>
                <c:pt idx="5537">
                  <c:v>0.78300000000000003</c:v>
                </c:pt>
                <c:pt idx="5538">
                  <c:v>0.78180000000000005</c:v>
                </c:pt>
                <c:pt idx="5539">
                  <c:v>0.78259999999999996</c:v>
                </c:pt>
                <c:pt idx="5540">
                  <c:v>0.78969999999999996</c:v>
                </c:pt>
                <c:pt idx="5541">
                  <c:v>0.79279999999999995</c:v>
                </c:pt>
                <c:pt idx="5542">
                  <c:v>0.79710000000000003</c:v>
                </c:pt>
                <c:pt idx="5543">
                  <c:v>0.79600000000000004</c:v>
                </c:pt>
                <c:pt idx="5544">
                  <c:v>0.78990000000000005</c:v>
                </c:pt>
                <c:pt idx="5545">
                  <c:v>0.79290000000000005</c:v>
                </c:pt>
                <c:pt idx="5546">
                  <c:v>0.78939999999999999</c:v>
                </c:pt>
                <c:pt idx="5547">
                  <c:v>0.79010000000000002</c:v>
                </c:pt>
                <c:pt idx="5548">
                  <c:v>0.79259999999999997</c:v>
                </c:pt>
                <c:pt idx="5549">
                  <c:v>0.79290000000000005</c:v>
                </c:pt>
                <c:pt idx="5550">
                  <c:v>0.79149999999999998</c:v>
                </c:pt>
                <c:pt idx="5551">
                  <c:v>0.78439999999999999</c:v>
                </c:pt>
                <c:pt idx="5552">
                  <c:v>0.7802</c:v>
                </c:pt>
                <c:pt idx="5553">
                  <c:v>0.77339999999999998</c:v>
                </c:pt>
                <c:pt idx="5554">
                  <c:v>0.77339999999999998</c:v>
                </c:pt>
                <c:pt idx="5555">
                  <c:v>0.77339999999999998</c:v>
                </c:pt>
                <c:pt idx="5556">
                  <c:v>0.77070000000000005</c:v>
                </c:pt>
                <c:pt idx="5557">
                  <c:v>0.77329999999999999</c:v>
                </c:pt>
                <c:pt idx="5558">
                  <c:v>0.77190000000000003</c:v>
                </c:pt>
                <c:pt idx="5559">
                  <c:v>0.77300000000000002</c:v>
                </c:pt>
                <c:pt idx="5560">
                  <c:v>0.77059999999999995</c:v>
                </c:pt>
                <c:pt idx="5561">
                  <c:v>0.76519999999999999</c:v>
                </c:pt>
                <c:pt idx="5562">
                  <c:v>0.76539999999999997</c:v>
                </c:pt>
                <c:pt idx="5563">
                  <c:v>0.76870000000000005</c:v>
                </c:pt>
                <c:pt idx="5564">
                  <c:v>0.76649999999999996</c:v>
                </c:pt>
                <c:pt idx="5565">
                  <c:v>0.77210000000000001</c:v>
                </c:pt>
                <c:pt idx="5566">
                  <c:v>0.77510000000000001</c:v>
                </c:pt>
                <c:pt idx="5567">
                  <c:v>0.77769999999999995</c:v>
                </c:pt>
                <c:pt idx="5568">
                  <c:v>0.77380000000000004</c:v>
                </c:pt>
                <c:pt idx="5569">
                  <c:v>0.76670000000000005</c:v>
                </c:pt>
                <c:pt idx="5570">
                  <c:v>0.76470000000000005</c:v>
                </c:pt>
                <c:pt idx="5571">
                  <c:v>0.76749999999999996</c:v>
                </c:pt>
                <c:pt idx="5572">
                  <c:v>0.77339999999999998</c:v>
                </c:pt>
                <c:pt idx="5573">
                  <c:v>0.77580000000000005</c:v>
                </c:pt>
                <c:pt idx="5574">
                  <c:v>0.77769999999999995</c:v>
                </c:pt>
                <c:pt idx="5575">
                  <c:v>0.77769999999999995</c:v>
                </c:pt>
                <c:pt idx="5576">
                  <c:v>0.78080000000000005</c:v>
                </c:pt>
                <c:pt idx="5577">
                  <c:v>0.77559999999999996</c:v>
                </c:pt>
                <c:pt idx="5578">
                  <c:v>0.7772</c:v>
                </c:pt>
                <c:pt idx="5579">
                  <c:v>0.78110000000000002</c:v>
                </c:pt>
                <c:pt idx="5580">
                  <c:v>0.7802</c:v>
                </c:pt>
                <c:pt idx="5581">
                  <c:v>0.77669999999999995</c:v>
                </c:pt>
                <c:pt idx="5582">
                  <c:v>0.77749999999999997</c:v>
                </c:pt>
                <c:pt idx="5583">
                  <c:v>0.77929999999999999</c:v>
                </c:pt>
                <c:pt idx="5584">
                  <c:v>0.7792</c:v>
                </c:pt>
                <c:pt idx="5585">
                  <c:v>0.7732</c:v>
                </c:pt>
                <c:pt idx="5586">
                  <c:v>0.77359999999999995</c:v>
                </c:pt>
                <c:pt idx="5587">
                  <c:v>0.77569999999999995</c:v>
                </c:pt>
                <c:pt idx="5588">
                  <c:v>0.77290000000000003</c:v>
                </c:pt>
                <c:pt idx="5589">
                  <c:v>0.76470000000000005</c:v>
                </c:pt>
                <c:pt idx="5590">
                  <c:v>0.75580000000000003</c:v>
                </c:pt>
                <c:pt idx="5591">
                  <c:v>0.75739999999999996</c:v>
                </c:pt>
                <c:pt idx="5592">
                  <c:v>0.75600000000000001</c:v>
                </c:pt>
                <c:pt idx="5593">
                  <c:v>0.75919999999999999</c:v>
                </c:pt>
                <c:pt idx="5594">
                  <c:v>0.75860000000000005</c:v>
                </c:pt>
                <c:pt idx="5595">
                  <c:v>0.75649999999999995</c:v>
                </c:pt>
                <c:pt idx="5596">
                  <c:v>0.76060000000000005</c:v>
                </c:pt>
                <c:pt idx="5597">
                  <c:v>0.76060000000000005</c:v>
                </c:pt>
                <c:pt idx="5598">
                  <c:v>0.76129999999999998</c:v>
                </c:pt>
                <c:pt idx="5599">
                  <c:v>0.75970000000000004</c:v>
                </c:pt>
                <c:pt idx="5600">
                  <c:v>0.76170000000000004</c:v>
                </c:pt>
                <c:pt idx="5601">
                  <c:v>0.75570000000000004</c:v>
                </c:pt>
                <c:pt idx="5602">
                  <c:v>0.75609999999999999</c:v>
                </c:pt>
                <c:pt idx="5603">
                  <c:v>0.75129999999999997</c:v>
                </c:pt>
                <c:pt idx="5604">
                  <c:v>0.75639999999999996</c:v>
                </c:pt>
                <c:pt idx="5605">
                  <c:v>0.75949999999999995</c:v>
                </c:pt>
                <c:pt idx="5606">
                  <c:v>0.76590000000000003</c:v>
                </c:pt>
                <c:pt idx="5607">
                  <c:v>0.76790000000000003</c:v>
                </c:pt>
                <c:pt idx="5608">
                  <c:v>0.76700000000000002</c:v>
                </c:pt>
                <c:pt idx="5609">
                  <c:v>0.76480000000000004</c:v>
                </c:pt>
                <c:pt idx="5610">
                  <c:v>0.76480000000000004</c:v>
                </c:pt>
                <c:pt idx="5611">
                  <c:v>0.7641</c:v>
                </c:pt>
                <c:pt idx="5612">
                  <c:v>0.76380000000000003</c:v>
                </c:pt>
                <c:pt idx="5613">
                  <c:v>0.76790000000000003</c:v>
                </c:pt>
                <c:pt idx="5614">
                  <c:v>0.77210000000000001</c:v>
                </c:pt>
                <c:pt idx="5615">
                  <c:v>0.77739999999999998</c:v>
                </c:pt>
                <c:pt idx="5616">
                  <c:v>0.77529999999999999</c:v>
                </c:pt>
                <c:pt idx="5617">
                  <c:v>0.7782</c:v>
                </c:pt>
                <c:pt idx="5618">
                  <c:v>0.7772</c:v>
                </c:pt>
                <c:pt idx="5619">
                  <c:v>0.77180000000000004</c:v>
                </c:pt>
                <c:pt idx="5620">
                  <c:v>0.76949999999999996</c:v>
                </c:pt>
                <c:pt idx="5621">
                  <c:v>0.76819999999999999</c:v>
                </c:pt>
                <c:pt idx="5622">
                  <c:v>0.76290000000000002</c:v>
                </c:pt>
                <c:pt idx="5623">
                  <c:v>0.76370000000000005</c:v>
                </c:pt>
                <c:pt idx="5624">
                  <c:v>0.75790000000000002</c:v>
                </c:pt>
                <c:pt idx="5625">
                  <c:v>0.74980000000000002</c:v>
                </c:pt>
                <c:pt idx="5626">
                  <c:v>0.74929999999999997</c:v>
                </c:pt>
                <c:pt idx="5627">
                  <c:v>0.74360000000000004</c:v>
                </c:pt>
                <c:pt idx="5628">
                  <c:v>0.74009999999999998</c:v>
                </c:pt>
                <c:pt idx="5629">
                  <c:v>0.73809999999999998</c:v>
                </c:pt>
                <c:pt idx="5630">
                  <c:v>0.74329999999999996</c:v>
                </c:pt>
                <c:pt idx="5631">
                  <c:v>0.75060000000000004</c:v>
                </c:pt>
                <c:pt idx="5632">
                  <c:v>0.755</c:v>
                </c:pt>
                <c:pt idx="5633">
                  <c:v>0.75139999999999996</c:v>
                </c:pt>
                <c:pt idx="5634">
                  <c:v>0.75180000000000002</c:v>
                </c:pt>
                <c:pt idx="5635">
                  <c:v>0.74960000000000004</c:v>
                </c:pt>
                <c:pt idx="5636">
                  <c:v>0.75119999999999998</c:v>
                </c:pt>
                <c:pt idx="5637">
                  <c:v>0.75219999999999998</c:v>
                </c:pt>
                <c:pt idx="5638">
                  <c:v>0.75900000000000001</c:v>
                </c:pt>
                <c:pt idx="5639">
                  <c:v>0.76570000000000005</c:v>
                </c:pt>
                <c:pt idx="5640">
                  <c:v>0.76270000000000004</c:v>
                </c:pt>
                <c:pt idx="5641">
                  <c:v>0.7601</c:v>
                </c:pt>
                <c:pt idx="5642">
                  <c:v>0.75519999999999998</c:v>
                </c:pt>
                <c:pt idx="5643">
                  <c:v>0.75519999999999998</c:v>
                </c:pt>
                <c:pt idx="5644">
                  <c:v>0.75949999999999995</c:v>
                </c:pt>
                <c:pt idx="5645">
                  <c:v>0.75949999999999995</c:v>
                </c:pt>
                <c:pt idx="5646">
                  <c:v>0.76370000000000005</c:v>
                </c:pt>
                <c:pt idx="5647">
                  <c:v>0.76339999999999997</c:v>
                </c:pt>
                <c:pt idx="5648">
                  <c:v>0.77180000000000004</c:v>
                </c:pt>
                <c:pt idx="5649">
                  <c:v>0.76970000000000005</c:v>
                </c:pt>
                <c:pt idx="5650">
                  <c:v>0.76449999999999996</c:v>
                </c:pt>
                <c:pt idx="5651">
                  <c:v>0.76529999999999998</c:v>
                </c:pt>
                <c:pt idx="5652">
                  <c:v>0.76259999999999994</c:v>
                </c:pt>
                <c:pt idx="5653">
                  <c:v>0.76959999999999995</c:v>
                </c:pt>
                <c:pt idx="5654">
                  <c:v>0.77280000000000004</c:v>
                </c:pt>
                <c:pt idx="5655">
                  <c:v>0.77159999999999995</c:v>
                </c:pt>
                <c:pt idx="5656">
                  <c:v>0.76719999999999999</c:v>
                </c:pt>
                <c:pt idx="5657">
                  <c:v>0.76480000000000004</c:v>
                </c:pt>
                <c:pt idx="5658">
                  <c:v>0.76019999999999999</c:v>
                </c:pt>
                <c:pt idx="5659">
                  <c:v>0.752</c:v>
                </c:pt>
                <c:pt idx="5660">
                  <c:v>0.75319999999999998</c:v>
                </c:pt>
                <c:pt idx="5661">
                  <c:v>0.75570000000000004</c:v>
                </c:pt>
                <c:pt idx="5662">
                  <c:v>0.75219999999999998</c:v>
                </c:pt>
                <c:pt idx="5663">
                  <c:v>0.75800000000000001</c:v>
                </c:pt>
                <c:pt idx="5664">
                  <c:v>0.75839999999999996</c:v>
                </c:pt>
                <c:pt idx="5665">
                  <c:v>0.75629999999999997</c:v>
                </c:pt>
                <c:pt idx="5666">
                  <c:v>0.74860000000000004</c:v>
                </c:pt>
                <c:pt idx="5667">
                  <c:v>0.74709999999999999</c:v>
                </c:pt>
                <c:pt idx="5668">
                  <c:v>0.75519999999999998</c:v>
                </c:pt>
                <c:pt idx="5669">
                  <c:v>0.76339999999999997</c:v>
                </c:pt>
                <c:pt idx="5670">
                  <c:v>0.76919999999999999</c:v>
                </c:pt>
                <c:pt idx="5671">
                  <c:v>0.76690000000000003</c:v>
                </c:pt>
                <c:pt idx="5672">
                  <c:v>0.76759999999999995</c:v>
                </c:pt>
                <c:pt idx="5673">
                  <c:v>0.76959999999999995</c:v>
                </c:pt>
                <c:pt idx="5674">
                  <c:v>0.77139999999999997</c:v>
                </c:pt>
                <c:pt idx="5675">
                  <c:v>0.77300000000000002</c:v>
                </c:pt>
                <c:pt idx="5676">
                  <c:v>0.77070000000000005</c:v>
                </c:pt>
                <c:pt idx="5677">
                  <c:v>0.76990000000000003</c:v>
                </c:pt>
                <c:pt idx="5678">
                  <c:v>0.76910000000000001</c:v>
                </c:pt>
                <c:pt idx="5679">
                  <c:v>0.76929999999999998</c:v>
                </c:pt>
                <c:pt idx="5680">
                  <c:v>0.76290000000000002</c:v>
                </c:pt>
                <c:pt idx="5681">
                  <c:v>0.76859999999999995</c:v>
                </c:pt>
                <c:pt idx="5682">
                  <c:v>0.76929999999999998</c:v>
                </c:pt>
                <c:pt idx="5683">
                  <c:v>0.76900000000000002</c:v>
                </c:pt>
                <c:pt idx="5684">
                  <c:v>0.7601</c:v>
                </c:pt>
                <c:pt idx="5685">
                  <c:v>0.75819999999999999</c:v>
                </c:pt>
                <c:pt idx="5686">
                  <c:v>0.75390000000000001</c:v>
                </c:pt>
                <c:pt idx="5687">
                  <c:v>0.75749999999999995</c:v>
                </c:pt>
                <c:pt idx="5688">
                  <c:v>0.75990000000000002</c:v>
                </c:pt>
                <c:pt idx="5689">
                  <c:v>0.76149999999999995</c:v>
                </c:pt>
                <c:pt idx="5690">
                  <c:v>0.76149999999999995</c:v>
                </c:pt>
                <c:pt idx="5691">
                  <c:v>0.76370000000000005</c:v>
                </c:pt>
                <c:pt idx="5692">
                  <c:v>0.7601</c:v>
                </c:pt>
                <c:pt idx="5693">
                  <c:v>0.75800000000000001</c:v>
                </c:pt>
                <c:pt idx="5694">
                  <c:v>0.76060000000000005</c:v>
                </c:pt>
                <c:pt idx="5695">
                  <c:v>0.75819999999999999</c:v>
                </c:pt>
                <c:pt idx="5696">
                  <c:v>0.75749999999999995</c:v>
                </c:pt>
                <c:pt idx="5697">
                  <c:v>0.75149999999999995</c:v>
                </c:pt>
                <c:pt idx="5698">
                  <c:v>0.75170000000000003</c:v>
                </c:pt>
                <c:pt idx="5699">
                  <c:v>0.75180000000000002</c:v>
                </c:pt>
                <c:pt idx="5700">
                  <c:v>0.75339999999999996</c:v>
                </c:pt>
                <c:pt idx="5701">
                  <c:v>0.74750000000000005</c:v>
                </c:pt>
                <c:pt idx="5702">
                  <c:v>0.74760000000000004</c:v>
                </c:pt>
                <c:pt idx="5703">
                  <c:v>0.74919999999999998</c:v>
                </c:pt>
                <c:pt idx="5704">
                  <c:v>0.751</c:v>
                </c:pt>
                <c:pt idx="5705">
                  <c:v>0.74819999999999998</c:v>
                </c:pt>
                <c:pt idx="5706">
                  <c:v>0.75039999999999996</c:v>
                </c:pt>
                <c:pt idx="5707">
                  <c:v>0.75629999999999997</c:v>
                </c:pt>
                <c:pt idx="5708">
                  <c:v>0.75680000000000003</c:v>
                </c:pt>
                <c:pt idx="5709">
                  <c:v>0.75629999999999997</c:v>
                </c:pt>
                <c:pt idx="5710">
                  <c:v>0.74870000000000003</c:v>
                </c:pt>
                <c:pt idx="5711">
                  <c:v>0.74619999999999997</c:v>
                </c:pt>
                <c:pt idx="5712">
                  <c:v>0.74350000000000005</c:v>
                </c:pt>
                <c:pt idx="5713">
                  <c:v>0.74150000000000005</c:v>
                </c:pt>
                <c:pt idx="5714">
                  <c:v>0.73809999999999998</c:v>
                </c:pt>
                <c:pt idx="5715">
                  <c:v>0.7329</c:v>
                </c:pt>
                <c:pt idx="5716">
                  <c:v>0.72989999999999999</c:v>
                </c:pt>
                <c:pt idx="5717">
                  <c:v>0.73440000000000005</c:v>
                </c:pt>
                <c:pt idx="5718">
                  <c:v>0.73280000000000001</c:v>
                </c:pt>
                <c:pt idx="5719">
                  <c:v>0.73250000000000004</c:v>
                </c:pt>
                <c:pt idx="5720">
                  <c:v>0.73370000000000002</c:v>
                </c:pt>
                <c:pt idx="5721">
                  <c:v>0.72850000000000004</c:v>
                </c:pt>
                <c:pt idx="5722">
                  <c:v>0.73070000000000002</c:v>
                </c:pt>
                <c:pt idx="5723">
                  <c:v>0.73160000000000003</c:v>
                </c:pt>
                <c:pt idx="5724">
                  <c:v>0.73250000000000004</c:v>
                </c:pt>
                <c:pt idx="5725">
                  <c:v>0.73329999999999995</c:v>
                </c:pt>
                <c:pt idx="5726">
                  <c:v>0.73429999999999995</c:v>
                </c:pt>
                <c:pt idx="5727">
                  <c:v>0.73719999999999997</c:v>
                </c:pt>
                <c:pt idx="5728">
                  <c:v>0.73819999999999997</c:v>
                </c:pt>
                <c:pt idx="5729">
                  <c:v>0.73599999999999999</c:v>
                </c:pt>
                <c:pt idx="5730">
                  <c:v>0.73340000000000005</c:v>
                </c:pt>
                <c:pt idx="5731">
                  <c:v>0.7399</c:v>
                </c:pt>
                <c:pt idx="5732">
                  <c:v>0.7389</c:v>
                </c:pt>
                <c:pt idx="5733">
                  <c:v>0.73850000000000005</c:v>
                </c:pt>
                <c:pt idx="5734">
                  <c:v>0.74270000000000003</c:v>
                </c:pt>
                <c:pt idx="5735">
                  <c:v>0.74580000000000002</c:v>
                </c:pt>
                <c:pt idx="5736">
                  <c:v>0.75119999999999998</c:v>
                </c:pt>
                <c:pt idx="5737">
                  <c:v>0.74919999999999998</c:v>
                </c:pt>
                <c:pt idx="5738">
                  <c:v>0.74560000000000004</c:v>
                </c:pt>
                <c:pt idx="5739">
                  <c:v>0.75180000000000002</c:v>
                </c:pt>
                <c:pt idx="5740">
                  <c:v>0.75180000000000002</c:v>
                </c:pt>
                <c:pt idx="5741">
                  <c:v>0.75609999999999999</c:v>
                </c:pt>
                <c:pt idx="5742">
                  <c:v>0.75409999999999999</c:v>
                </c:pt>
                <c:pt idx="5743">
                  <c:v>0.75470000000000004</c:v>
                </c:pt>
                <c:pt idx="5744">
                  <c:v>0.74539999999999995</c:v>
                </c:pt>
                <c:pt idx="5745">
                  <c:v>0.746</c:v>
                </c:pt>
                <c:pt idx="5746">
                  <c:v>0.73899999999999999</c:v>
                </c:pt>
                <c:pt idx="5747">
                  <c:v>0.73460000000000003</c:v>
                </c:pt>
                <c:pt idx="5748">
                  <c:v>0.73360000000000003</c:v>
                </c:pt>
                <c:pt idx="5749">
                  <c:v>0.73060000000000003</c:v>
                </c:pt>
                <c:pt idx="5750">
                  <c:v>0.73060000000000003</c:v>
                </c:pt>
                <c:pt idx="5751">
                  <c:v>0.73060000000000003</c:v>
                </c:pt>
                <c:pt idx="5752">
                  <c:v>0.72719999999999996</c:v>
                </c:pt>
                <c:pt idx="5753">
                  <c:v>0.72899999999999998</c:v>
                </c:pt>
                <c:pt idx="5754">
                  <c:v>0.73370000000000002</c:v>
                </c:pt>
                <c:pt idx="5755">
                  <c:v>0.73370000000000002</c:v>
                </c:pt>
                <c:pt idx="5756">
                  <c:v>0.73770000000000002</c:v>
                </c:pt>
                <c:pt idx="5757">
                  <c:v>0.74270000000000003</c:v>
                </c:pt>
                <c:pt idx="5758">
                  <c:v>0.74750000000000005</c:v>
                </c:pt>
                <c:pt idx="5759">
                  <c:v>0.74719999999999998</c:v>
                </c:pt>
                <c:pt idx="5760">
                  <c:v>0.75329999999999997</c:v>
                </c:pt>
                <c:pt idx="5761">
                  <c:v>0.74929999999999997</c:v>
                </c:pt>
                <c:pt idx="5762">
                  <c:v>0.75039999999999996</c:v>
                </c:pt>
                <c:pt idx="5763">
                  <c:v>0.75529999999999997</c:v>
                </c:pt>
                <c:pt idx="5764">
                  <c:v>0.75080000000000002</c:v>
                </c:pt>
                <c:pt idx="5765">
                  <c:v>0.75590000000000002</c:v>
                </c:pt>
                <c:pt idx="5766">
                  <c:v>0.75390000000000001</c:v>
                </c:pt>
                <c:pt idx="5767">
                  <c:v>0.74780000000000002</c:v>
                </c:pt>
                <c:pt idx="5768">
                  <c:v>0.74650000000000005</c:v>
                </c:pt>
                <c:pt idx="5769">
                  <c:v>0.74880000000000002</c:v>
                </c:pt>
                <c:pt idx="5770">
                  <c:v>0.75390000000000001</c:v>
                </c:pt>
                <c:pt idx="5771">
                  <c:v>0.75070000000000003</c:v>
                </c:pt>
                <c:pt idx="5772">
                  <c:v>0.75149999999999995</c:v>
                </c:pt>
                <c:pt idx="5773">
                  <c:v>0.75149999999999995</c:v>
                </c:pt>
                <c:pt idx="5774">
                  <c:v>0.75209999999999999</c:v>
                </c:pt>
                <c:pt idx="5775">
                  <c:v>0.74909999999999999</c:v>
                </c:pt>
                <c:pt idx="5776">
                  <c:v>0.751</c:v>
                </c:pt>
                <c:pt idx="5777">
                  <c:v>0.75770000000000004</c:v>
                </c:pt>
                <c:pt idx="5778">
                  <c:v>0.752</c:v>
                </c:pt>
                <c:pt idx="5779">
                  <c:v>0.75270000000000004</c:v>
                </c:pt>
                <c:pt idx="5780">
                  <c:v>0.74639999999999995</c:v>
                </c:pt>
                <c:pt idx="5781">
                  <c:v>0.74250000000000005</c:v>
                </c:pt>
                <c:pt idx="5782">
                  <c:v>0.73809999999999998</c:v>
                </c:pt>
                <c:pt idx="5783">
                  <c:v>0.7399</c:v>
                </c:pt>
                <c:pt idx="5784">
                  <c:v>0.73950000000000005</c:v>
                </c:pt>
                <c:pt idx="5785">
                  <c:v>0.7369</c:v>
                </c:pt>
                <c:pt idx="5786">
                  <c:v>0.73729999999999996</c:v>
                </c:pt>
                <c:pt idx="5787">
                  <c:v>0.74070000000000003</c:v>
                </c:pt>
                <c:pt idx="5788">
                  <c:v>0.7389</c:v>
                </c:pt>
                <c:pt idx="5789">
                  <c:v>0.7389</c:v>
                </c:pt>
                <c:pt idx="5790">
                  <c:v>0.74139999999999995</c:v>
                </c:pt>
                <c:pt idx="5791">
                  <c:v>0.73819999999999997</c:v>
                </c:pt>
                <c:pt idx="5792">
                  <c:v>0.73870000000000002</c:v>
                </c:pt>
                <c:pt idx="5793">
                  <c:v>0.7359</c:v>
                </c:pt>
                <c:pt idx="5794">
                  <c:v>0.74019999999999997</c:v>
                </c:pt>
                <c:pt idx="5795">
                  <c:v>0.73860000000000003</c:v>
                </c:pt>
                <c:pt idx="5796">
                  <c:v>0.73819999999999997</c:v>
                </c:pt>
                <c:pt idx="5797">
                  <c:v>0.74299999999999999</c:v>
                </c:pt>
                <c:pt idx="5798">
                  <c:v>0.74539999999999995</c:v>
                </c:pt>
                <c:pt idx="5799">
                  <c:v>0.74470000000000003</c:v>
                </c:pt>
                <c:pt idx="5800">
                  <c:v>0.74460000000000004</c:v>
                </c:pt>
                <c:pt idx="5801">
                  <c:v>0.73799999999999999</c:v>
                </c:pt>
                <c:pt idx="5802">
                  <c:v>0.73419999999999996</c:v>
                </c:pt>
                <c:pt idx="5803">
                  <c:v>0.7359</c:v>
                </c:pt>
                <c:pt idx="5804">
                  <c:v>0.73450000000000004</c:v>
                </c:pt>
                <c:pt idx="5805">
                  <c:v>0.73329999999999995</c:v>
                </c:pt>
                <c:pt idx="5806">
                  <c:v>0.73350000000000004</c:v>
                </c:pt>
                <c:pt idx="5807">
                  <c:v>0.73909999999999998</c:v>
                </c:pt>
                <c:pt idx="5808">
                  <c:v>0.73770000000000002</c:v>
                </c:pt>
                <c:pt idx="5809">
                  <c:v>0.7359</c:v>
                </c:pt>
                <c:pt idx="5810">
                  <c:v>0.72519999999999996</c:v>
                </c:pt>
                <c:pt idx="5811">
                  <c:v>0.72030000000000005</c:v>
                </c:pt>
                <c:pt idx="5812">
                  <c:v>0.71750000000000003</c:v>
                </c:pt>
                <c:pt idx="5813">
                  <c:v>0.71779999999999999</c:v>
                </c:pt>
                <c:pt idx="5814">
                  <c:v>0.71109999999999995</c:v>
                </c:pt>
                <c:pt idx="5815">
                  <c:v>0.70789999999999997</c:v>
                </c:pt>
                <c:pt idx="5816">
                  <c:v>0.71030000000000004</c:v>
                </c:pt>
                <c:pt idx="5817">
                  <c:v>0.70209999999999995</c:v>
                </c:pt>
                <c:pt idx="5818">
                  <c:v>0.71030000000000004</c:v>
                </c:pt>
                <c:pt idx="5819">
                  <c:v>0.71589999999999998</c:v>
                </c:pt>
                <c:pt idx="5820">
                  <c:v>0.71499999999999997</c:v>
                </c:pt>
                <c:pt idx="5821">
                  <c:v>0.71289999999999998</c:v>
                </c:pt>
                <c:pt idx="5822">
                  <c:v>0.72160000000000002</c:v>
                </c:pt>
                <c:pt idx="5823">
                  <c:v>0.72899999999999998</c:v>
                </c:pt>
                <c:pt idx="5824">
                  <c:v>0.73040000000000005</c:v>
                </c:pt>
                <c:pt idx="5825">
                  <c:v>0.72809999999999997</c:v>
                </c:pt>
                <c:pt idx="5826">
                  <c:v>0.73160000000000003</c:v>
                </c:pt>
                <c:pt idx="5827">
                  <c:v>0.73340000000000005</c:v>
                </c:pt>
                <c:pt idx="5828">
                  <c:v>0.73019999999999996</c:v>
                </c:pt>
                <c:pt idx="5829">
                  <c:v>0.73019999999999996</c:v>
                </c:pt>
                <c:pt idx="5830">
                  <c:v>0.73019999999999996</c:v>
                </c:pt>
                <c:pt idx="5831">
                  <c:v>0.73909999999999998</c:v>
                </c:pt>
                <c:pt idx="5832">
                  <c:v>0.74309999999999998</c:v>
                </c:pt>
                <c:pt idx="5833">
                  <c:v>0.74490000000000001</c:v>
                </c:pt>
                <c:pt idx="5834">
                  <c:v>0.73819999999999997</c:v>
                </c:pt>
                <c:pt idx="5835">
                  <c:v>0.74519999999999997</c:v>
                </c:pt>
                <c:pt idx="5836">
                  <c:v>0.74519999999999997</c:v>
                </c:pt>
                <c:pt idx="5837">
                  <c:v>0.74619999999999997</c:v>
                </c:pt>
                <c:pt idx="5838">
                  <c:v>0.75229999999999997</c:v>
                </c:pt>
                <c:pt idx="5839">
                  <c:v>0.75419999999999998</c:v>
                </c:pt>
                <c:pt idx="5840">
                  <c:v>0.76139999999999997</c:v>
                </c:pt>
                <c:pt idx="5841">
                  <c:v>0.75609999999999999</c:v>
                </c:pt>
                <c:pt idx="5842">
                  <c:v>0.76739999999999997</c:v>
                </c:pt>
                <c:pt idx="5843">
                  <c:v>0.76749999999999996</c:v>
                </c:pt>
                <c:pt idx="5844">
                  <c:v>0.7681</c:v>
                </c:pt>
                <c:pt idx="5845">
                  <c:v>0.77129999999999999</c:v>
                </c:pt>
                <c:pt idx="5846">
                  <c:v>0.76890000000000003</c:v>
                </c:pt>
                <c:pt idx="5847">
                  <c:v>0.77200000000000002</c:v>
                </c:pt>
                <c:pt idx="5848">
                  <c:v>0.77129999999999999</c:v>
                </c:pt>
                <c:pt idx="5849">
                  <c:v>0.77690000000000003</c:v>
                </c:pt>
                <c:pt idx="5850">
                  <c:v>0.77039999999999997</c:v>
                </c:pt>
                <c:pt idx="5851">
                  <c:v>0.76280000000000003</c:v>
                </c:pt>
                <c:pt idx="5852">
                  <c:v>0.76919999999999999</c:v>
                </c:pt>
                <c:pt idx="5853">
                  <c:v>0.76</c:v>
                </c:pt>
                <c:pt idx="5854">
                  <c:v>0.76329999999999998</c:v>
                </c:pt>
                <c:pt idx="5855">
                  <c:v>0.75070000000000003</c:v>
                </c:pt>
                <c:pt idx="5856">
                  <c:v>0.75380000000000003</c:v>
                </c:pt>
                <c:pt idx="5857">
                  <c:v>0.75139999999999996</c:v>
                </c:pt>
                <c:pt idx="5858">
                  <c:v>0.752</c:v>
                </c:pt>
                <c:pt idx="5859">
                  <c:v>0.75900000000000001</c:v>
                </c:pt>
                <c:pt idx="5860">
                  <c:v>0.75770000000000004</c:v>
                </c:pt>
                <c:pt idx="5861">
                  <c:v>0.76170000000000004</c:v>
                </c:pt>
                <c:pt idx="5862">
                  <c:v>0.76359999999999995</c:v>
                </c:pt>
                <c:pt idx="5863">
                  <c:v>0.74880000000000002</c:v>
                </c:pt>
                <c:pt idx="5864">
                  <c:v>0.74639999999999995</c:v>
                </c:pt>
                <c:pt idx="5865">
                  <c:v>0.75219999999999998</c:v>
                </c:pt>
                <c:pt idx="5866">
                  <c:v>0.74580000000000002</c:v>
                </c:pt>
                <c:pt idx="5867">
                  <c:v>0.74109999999999998</c:v>
                </c:pt>
                <c:pt idx="5868">
                  <c:v>0.74509999999999998</c:v>
                </c:pt>
                <c:pt idx="5869">
                  <c:v>0.745</c:v>
                </c:pt>
                <c:pt idx="5870">
                  <c:v>0.745</c:v>
                </c:pt>
                <c:pt idx="5871">
                  <c:v>0.74150000000000005</c:v>
                </c:pt>
                <c:pt idx="5872">
                  <c:v>0.73829999999999996</c:v>
                </c:pt>
                <c:pt idx="5873">
                  <c:v>0.73819999999999997</c:v>
                </c:pt>
                <c:pt idx="5874">
                  <c:v>0.74270000000000003</c:v>
                </c:pt>
                <c:pt idx="5875">
                  <c:v>0.73719999999999997</c:v>
                </c:pt>
                <c:pt idx="5876">
                  <c:v>0.73970000000000002</c:v>
                </c:pt>
                <c:pt idx="5877">
                  <c:v>0.73950000000000005</c:v>
                </c:pt>
                <c:pt idx="5878">
                  <c:v>0.74029999999999996</c:v>
                </c:pt>
                <c:pt idx="5879">
                  <c:v>0.73419999999999996</c:v>
                </c:pt>
                <c:pt idx="5880">
                  <c:v>0.73180000000000001</c:v>
                </c:pt>
                <c:pt idx="5881">
                  <c:v>0.73380000000000001</c:v>
                </c:pt>
                <c:pt idx="5882">
                  <c:v>0.7319</c:v>
                </c:pt>
                <c:pt idx="5883">
                  <c:v>0.72840000000000005</c:v>
                </c:pt>
                <c:pt idx="5884">
                  <c:v>0.74329999999999996</c:v>
                </c:pt>
                <c:pt idx="5885">
                  <c:v>0.74229999999999996</c:v>
                </c:pt>
                <c:pt idx="5886">
                  <c:v>0.74419999999999997</c:v>
                </c:pt>
                <c:pt idx="5887">
                  <c:v>0.74650000000000005</c:v>
                </c:pt>
                <c:pt idx="5888">
                  <c:v>0.74209999999999998</c:v>
                </c:pt>
                <c:pt idx="5889">
                  <c:v>0.74639999999999995</c:v>
                </c:pt>
                <c:pt idx="5890">
                  <c:v>0.75190000000000001</c:v>
                </c:pt>
                <c:pt idx="5891">
                  <c:v>0.74870000000000003</c:v>
                </c:pt>
                <c:pt idx="5892">
                  <c:v>0.75439999999999996</c:v>
                </c:pt>
                <c:pt idx="5893">
                  <c:v>0.75560000000000005</c:v>
                </c:pt>
                <c:pt idx="5894">
                  <c:v>0.75060000000000004</c:v>
                </c:pt>
                <c:pt idx="5895">
                  <c:v>0.75090000000000001</c:v>
                </c:pt>
                <c:pt idx="5896">
                  <c:v>0.749</c:v>
                </c:pt>
                <c:pt idx="5897">
                  <c:v>0.74509999999999998</c:v>
                </c:pt>
                <c:pt idx="5898">
                  <c:v>0.75</c:v>
                </c:pt>
                <c:pt idx="5899">
                  <c:v>0.74929999999999997</c:v>
                </c:pt>
                <c:pt idx="5900">
                  <c:v>0.75129999999999997</c:v>
                </c:pt>
                <c:pt idx="5901">
                  <c:v>0.75609999999999999</c:v>
                </c:pt>
                <c:pt idx="5902">
                  <c:v>0.75590000000000002</c:v>
                </c:pt>
                <c:pt idx="5903">
                  <c:v>0.76149999999999995</c:v>
                </c:pt>
                <c:pt idx="5904">
                  <c:v>0.76249999999999996</c:v>
                </c:pt>
                <c:pt idx="5905">
                  <c:v>0.76580000000000004</c:v>
                </c:pt>
                <c:pt idx="5906">
                  <c:v>0.76300000000000001</c:v>
                </c:pt>
                <c:pt idx="5907">
                  <c:v>0.76719999999999999</c:v>
                </c:pt>
                <c:pt idx="5908">
                  <c:v>0.76400000000000001</c:v>
                </c:pt>
                <c:pt idx="5909">
                  <c:v>0.76180000000000003</c:v>
                </c:pt>
                <c:pt idx="5910">
                  <c:v>0.76180000000000003</c:v>
                </c:pt>
                <c:pt idx="5911">
                  <c:v>0.76200000000000001</c:v>
                </c:pt>
                <c:pt idx="5912">
                  <c:v>0.75780000000000003</c:v>
                </c:pt>
                <c:pt idx="5913">
                  <c:v>0.77010000000000001</c:v>
                </c:pt>
                <c:pt idx="5914">
                  <c:v>0.76849999999999996</c:v>
                </c:pt>
                <c:pt idx="5915">
                  <c:v>0.76749999999999996</c:v>
                </c:pt>
                <c:pt idx="5916">
                  <c:v>0.75949999999999995</c:v>
                </c:pt>
                <c:pt idx="5917">
                  <c:v>0.7641</c:v>
                </c:pt>
                <c:pt idx="5918">
                  <c:v>0.76739999999999997</c:v>
                </c:pt>
                <c:pt idx="5919">
                  <c:v>0.76090000000000002</c:v>
                </c:pt>
                <c:pt idx="5920">
                  <c:v>0.75970000000000004</c:v>
                </c:pt>
                <c:pt idx="5921">
                  <c:v>0.76180000000000003</c:v>
                </c:pt>
                <c:pt idx="5922">
                  <c:v>0.76300000000000001</c:v>
                </c:pt>
                <c:pt idx="5923">
                  <c:v>0.76160000000000005</c:v>
                </c:pt>
                <c:pt idx="5924">
                  <c:v>0.76039999999999996</c:v>
                </c:pt>
                <c:pt idx="5925">
                  <c:v>0.75860000000000005</c:v>
                </c:pt>
                <c:pt idx="5926">
                  <c:v>0.76229999999999998</c:v>
                </c:pt>
                <c:pt idx="5927">
                  <c:v>0.76229999999999998</c:v>
                </c:pt>
                <c:pt idx="5928">
                  <c:v>0.76270000000000004</c:v>
                </c:pt>
                <c:pt idx="5929">
                  <c:v>0.76500000000000001</c:v>
                </c:pt>
                <c:pt idx="5930">
                  <c:v>0.77039999999999997</c:v>
                </c:pt>
                <c:pt idx="5931">
                  <c:v>0.77010000000000001</c:v>
                </c:pt>
                <c:pt idx="5932">
                  <c:v>0.76839999999999997</c:v>
                </c:pt>
                <c:pt idx="5933">
                  <c:v>0.76639999999999997</c:v>
                </c:pt>
                <c:pt idx="5934">
                  <c:v>0.75660000000000005</c:v>
                </c:pt>
                <c:pt idx="5935">
                  <c:v>0.75219999999999998</c:v>
                </c:pt>
                <c:pt idx="5936">
                  <c:v>0.75260000000000005</c:v>
                </c:pt>
                <c:pt idx="5937">
                  <c:v>0.75070000000000003</c:v>
                </c:pt>
                <c:pt idx="5938">
                  <c:v>0.75149999999999995</c:v>
                </c:pt>
                <c:pt idx="5939">
                  <c:v>0.75600000000000001</c:v>
                </c:pt>
                <c:pt idx="5940">
                  <c:v>0.75229999999999997</c:v>
                </c:pt>
                <c:pt idx="5941">
                  <c:v>0.75549999999999995</c:v>
                </c:pt>
                <c:pt idx="5942">
                  <c:v>0.75249999999999995</c:v>
                </c:pt>
                <c:pt idx="5943">
                  <c:v>0.75670000000000004</c:v>
                </c:pt>
                <c:pt idx="5944">
                  <c:v>0.75609999999999999</c:v>
                </c:pt>
                <c:pt idx="5945">
                  <c:v>0.75219999999999998</c:v>
                </c:pt>
                <c:pt idx="5946">
                  <c:v>0.755</c:v>
                </c:pt>
                <c:pt idx="5947">
                  <c:v>0.75070000000000003</c:v>
                </c:pt>
                <c:pt idx="5948">
                  <c:v>0.75019999999999998</c:v>
                </c:pt>
                <c:pt idx="5949">
                  <c:v>0.748</c:v>
                </c:pt>
                <c:pt idx="5950">
                  <c:v>0.748</c:v>
                </c:pt>
                <c:pt idx="5951">
                  <c:v>0.74770000000000003</c:v>
                </c:pt>
                <c:pt idx="5952">
                  <c:v>0.74370000000000003</c:v>
                </c:pt>
                <c:pt idx="5953">
                  <c:v>0.74619999999999997</c:v>
                </c:pt>
                <c:pt idx="5954">
                  <c:v>0.74470000000000003</c:v>
                </c:pt>
                <c:pt idx="5955">
                  <c:v>0.74299999999999999</c:v>
                </c:pt>
                <c:pt idx="5956">
                  <c:v>0.74509999999999998</c:v>
                </c:pt>
                <c:pt idx="5957">
                  <c:v>0.74360000000000004</c:v>
                </c:pt>
                <c:pt idx="5958">
                  <c:v>0.747</c:v>
                </c:pt>
                <c:pt idx="5959">
                  <c:v>0.751</c:v>
                </c:pt>
                <c:pt idx="5960">
                  <c:v>0.75009999999999999</c:v>
                </c:pt>
                <c:pt idx="5961">
                  <c:v>0.75470000000000004</c:v>
                </c:pt>
                <c:pt idx="5962">
                  <c:v>0.75439999999999996</c:v>
                </c:pt>
                <c:pt idx="5963">
                  <c:v>0.75529999999999997</c:v>
                </c:pt>
                <c:pt idx="5964">
                  <c:v>0.75970000000000004</c:v>
                </c:pt>
                <c:pt idx="5965">
                  <c:v>0.7601</c:v>
                </c:pt>
                <c:pt idx="5966">
                  <c:v>0.75729999999999997</c:v>
                </c:pt>
                <c:pt idx="5967">
                  <c:v>0.76119999999999999</c:v>
                </c:pt>
                <c:pt idx="5968">
                  <c:v>0.76270000000000004</c:v>
                </c:pt>
                <c:pt idx="5969">
                  <c:v>0.76449999999999996</c:v>
                </c:pt>
                <c:pt idx="5970">
                  <c:v>0.76980000000000004</c:v>
                </c:pt>
                <c:pt idx="5971">
                  <c:v>0.76919999999999999</c:v>
                </c:pt>
                <c:pt idx="5972">
                  <c:v>0.77390000000000003</c:v>
                </c:pt>
                <c:pt idx="5973">
                  <c:v>0.77210000000000001</c:v>
                </c:pt>
                <c:pt idx="5974">
                  <c:v>0.77429999999999999</c:v>
                </c:pt>
                <c:pt idx="5975">
                  <c:v>0.76990000000000003</c:v>
                </c:pt>
                <c:pt idx="5976">
                  <c:v>0.77359999999999995</c:v>
                </c:pt>
                <c:pt idx="5977">
                  <c:v>0.77159999999999995</c:v>
                </c:pt>
                <c:pt idx="5978">
                  <c:v>0.76670000000000005</c:v>
                </c:pt>
                <c:pt idx="5979">
                  <c:v>0.76770000000000005</c:v>
                </c:pt>
                <c:pt idx="5980">
                  <c:v>0.76729999999999998</c:v>
                </c:pt>
                <c:pt idx="5981">
                  <c:v>0.76459999999999995</c:v>
                </c:pt>
                <c:pt idx="5982">
                  <c:v>0.76539999999999997</c:v>
                </c:pt>
                <c:pt idx="5983">
                  <c:v>0.76629999999999998</c:v>
                </c:pt>
                <c:pt idx="5984">
                  <c:v>0.76639999999999997</c:v>
                </c:pt>
                <c:pt idx="5985">
                  <c:v>0.76870000000000005</c:v>
                </c:pt>
                <c:pt idx="5986">
                  <c:v>0.76949999999999996</c:v>
                </c:pt>
                <c:pt idx="5987">
                  <c:v>0.77210000000000001</c:v>
                </c:pt>
                <c:pt idx="5988">
                  <c:v>0.77490000000000003</c:v>
                </c:pt>
                <c:pt idx="5989">
                  <c:v>0.77510000000000001</c:v>
                </c:pt>
                <c:pt idx="5990">
                  <c:v>0.77939999999999998</c:v>
                </c:pt>
                <c:pt idx="5991">
                  <c:v>0.77859999999999996</c:v>
                </c:pt>
                <c:pt idx="5992">
                  <c:v>0.78249999999999997</c:v>
                </c:pt>
                <c:pt idx="5993">
                  <c:v>0.78500000000000003</c:v>
                </c:pt>
                <c:pt idx="5994">
                  <c:v>0.78959999999999997</c:v>
                </c:pt>
                <c:pt idx="5995">
                  <c:v>0.78659999999999997</c:v>
                </c:pt>
                <c:pt idx="5996">
                  <c:v>0.78790000000000004</c:v>
                </c:pt>
                <c:pt idx="5997">
                  <c:v>0.78749999999999998</c:v>
                </c:pt>
                <c:pt idx="5998">
                  <c:v>0.78910000000000002</c:v>
                </c:pt>
                <c:pt idx="5999">
                  <c:v>0.7893</c:v>
                </c:pt>
                <c:pt idx="6000">
                  <c:v>0.78220000000000001</c:v>
                </c:pt>
                <c:pt idx="6001">
                  <c:v>0.7853</c:v>
                </c:pt>
                <c:pt idx="6002">
                  <c:v>0.78790000000000004</c:v>
                </c:pt>
                <c:pt idx="6003">
                  <c:v>0.7863</c:v>
                </c:pt>
                <c:pt idx="6004">
                  <c:v>0.78190000000000004</c:v>
                </c:pt>
                <c:pt idx="6005">
                  <c:v>0.78149999999999997</c:v>
                </c:pt>
                <c:pt idx="6006">
                  <c:v>0.78049999999999997</c:v>
                </c:pt>
                <c:pt idx="6007">
                  <c:v>0.78480000000000005</c:v>
                </c:pt>
                <c:pt idx="6008">
                  <c:v>0.78600000000000003</c:v>
                </c:pt>
                <c:pt idx="6009">
                  <c:v>0.78620000000000001</c:v>
                </c:pt>
                <c:pt idx="6010">
                  <c:v>0.78620000000000001</c:v>
                </c:pt>
                <c:pt idx="6011">
                  <c:v>0.78620000000000001</c:v>
                </c:pt>
                <c:pt idx="6012">
                  <c:v>0.78549999999999998</c:v>
                </c:pt>
                <c:pt idx="6013">
                  <c:v>0.78669999999999995</c:v>
                </c:pt>
                <c:pt idx="6014">
                  <c:v>0.7913</c:v>
                </c:pt>
                <c:pt idx="6015">
                  <c:v>0.7913</c:v>
                </c:pt>
                <c:pt idx="6016">
                  <c:v>0.79390000000000005</c:v>
                </c:pt>
                <c:pt idx="6017">
                  <c:v>0.7974</c:v>
                </c:pt>
                <c:pt idx="6018">
                  <c:v>0.79090000000000005</c:v>
                </c:pt>
                <c:pt idx="6019">
                  <c:v>0.78220000000000001</c:v>
                </c:pt>
                <c:pt idx="6020">
                  <c:v>0.77990000000000004</c:v>
                </c:pt>
                <c:pt idx="6021">
                  <c:v>0.78300000000000003</c:v>
                </c:pt>
                <c:pt idx="6022">
                  <c:v>0.77980000000000005</c:v>
                </c:pt>
                <c:pt idx="6023">
                  <c:v>0.78249999999999997</c:v>
                </c:pt>
                <c:pt idx="6024">
                  <c:v>0.78</c:v>
                </c:pt>
                <c:pt idx="6025">
                  <c:v>0.78559999999999997</c:v>
                </c:pt>
                <c:pt idx="6026">
                  <c:v>0.78300000000000003</c:v>
                </c:pt>
                <c:pt idx="6027">
                  <c:v>0.78359999999999996</c:v>
                </c:pt>
                <c:pt idx="6028">
                  <c:v>0.78820000000000001</c:v>
                </c:pt>
                <c:pt idx="6029">
                  <c:v>0.79059999999999997</c:v>
                </c:pt>
                <c:pt idx="6030">
                  <c:v>0.78990000000000005</c:v>
                </c:pt>
                <c:pt idx="6031">
                  <c:v>0.78890000000000005</c:v>
                </c:pt>
                <c:pt idx="6032">
                  <c:v>0.78380000000000005</c:v>
                </c:pt>
                <c:pt idx="6033">
                  <c:v>0.77959999999999996</c:v>
                </c:pt>
                <c:pt idx="6034">
                  <c:v>0.77959999999999996</c:v>
                </c:pt>
                <c:pt idx="6035">
                  <c:v>0.77390000000000003</c:v>
                </c:pt>
                <c:pt idx="6036">
                  <c:v>0.7732</c:v>
                </c:pt>
                <c:pt idx="6037">
                  <c:v>0.77200000000000002</c:v>
                </c:pt>
                <c:pt idx="6038">
                  <c:v>0.77510000000000001</c:v>
                </c:pt>
                <c:pt idx="6039">
                  <c:v>0.77300000000000002</c:v>
                </c:pt>
                <c:pt idx="6040">
                  <c:v>0.77329999999999999</c:v>
                </c:pt>
                <c:pt idx="6041">
                  <c:v>0.77490000000000003</c:v>
                </c:pt>
                <c:pt idx="6042">
                  <c:v>0.77700000000000002</c:v>
                </c:pt>
                <c:pt idx="6043">
                  <c:v>0.78149999999999997</c:v>
                </c:pt>
                <c:pt idx="6044">
                  <c:v>0.78059999999999996</c:v>
                </c:pt>
                <c:pt idx="6045">
                  <c:v>0.77390000000000003</c:v>
                </c:pt>
                <c:pt idx="6046">
                  <c:v>0.77300000000000002</c:v>
                </c:pt>
                <c:pt idx="6047">
                  <c:v>0.78</c:v>
                </c:pt>
                <c:pt idx="6048">
                  <c:v>0.78390000000000004</c:v>
                </c:pt>
                <c:pt idx="6049">
                  <c:v>0.78459999999999996</c:v>
                </c:pt>
                <c:pt idx="6050">
                  <c:v>0.78749999999999998</c:v>
                </c:pt>
                <c:pt idx="6051">
                  <c:v>0.78669999999999995</c:v>
                </c:pt>
                <c:pt idx="6052">
                  <c:v>0.7873</c:v>
                </c:pt>
                <c:pt idx="6053">
                  <c:v>0.79100000000000004</c:v>
                </c:pt>
                <c:pt idx="6054">
                  <c:v>0.78839999999999999</c:v>
                </c:pt>
                <c:pt idx="6055">
                  <c:v>0.79190000000000005</c:v>
                </c:pt>
                <c:pt idx="6056">
                  <c:v>0.79400000000000004</c:v>
                </c:pt>
                <c:pt idx="6057">
                  <c:v>0.78800000000000003</c:v>
                </c:pt>
                <c:pt idx="6058">
                  <c:v>0.78600000000000003</c:v>
                </c:pt>
                <c:pt idx="6059">
                  <c:v>0.78500000000000003</c:v>
                </c:pt>
                <c:pt idx="6060">
                  <c:v>0.77680000000000005</c:v>
                </c:pt>
                <c:pt idx="6061">
                  <c:v>0.77380000000000004</c:v>
                </c:pt>
                <c:pt idx="6062">
                  <c:v>0.77649999999999997</c:v>
                </c:pt>
                <c:pt idx="6063">
                  <c:v>0.77729999999999999</c:v>
                </c:pt>
                <c:pt idx="6064">
                  <c:v>0.77910000000000001</c:v>
                </c:pt>
                <c:pt idx="6065">
                  <c:v>0.78139999999999998</c:v>
                </c:pt>
                <c:pt idx="6066">
                  <c:v>0.78580000000000005</c:v>
                </c:pt>
                <c:pt idx="6067">
                  <c:v>0.78200000000000003</c:v>
                </c:pt>
                <c:pt idx="6068">
                  <c:v>0.78620000000000001</c:v>
                </c:pt>
                <c:pt idx="6069">
                  <c:v>0.79200000000000004</c:v>
                </c:pt>
                <c:pt idx="6070">
                  <c:v>0.79559999999999997</c:v>
                </c:pt>
                <c:pt idx="6071">
                  <c:v>0.7984</c:v>
                </c:pt>
                <c:pt idx="6072">
                  <c:v>0.80220000000000002</c:v>
                </c:pt>
                <c:pt idx="6073">
                  <c:v>0.80610000000000004</c:v>
                </c:pt>
                <c:pt idx="6074">
                  <c:v>0.80559999999999998</c:v>
                </c:pt>
                <c:pt idx="6075">
                  <c:v>0.80459999999999998</c:v>
                </c:pt>
                <c:pt idx="6076">
                  <c:v>0.80900000000000005</c:v>
                </c:pt>
                <c:pt idx="6077">
                  <c:v>0.80489999999999995</c:v>
                </c:pt>
                <c:pt idx="6078">
                  <c:v>0.80700000000000005</c:v>
                </c:pt>
                <c:pt idx="6079">
                  <c:v>0.80700000000000005</c:v>
                </c:pt>
                <c:pt idx="6080">
                  <c:v>0.81389999999999996</c:v>
                </c:pt>
                <c:pt idx="6081">
                  <c:v>0.81440000000000001</c:v>
                </c:pt>
                <c:pt idx="6082">
                  <c:v>0.81200000000000006</c:v>
                </c:pt>
                <c:pt idx="6083">
                  <c:v>0.81669999999999998</c:v>
                </c:pt>
                <c:pt idx="6084">
                  <c:v>0.81669999999999998</c:v>
                </c:pt>
                <c:pt idx="6085">
                  <c:v>0.81669999999999998</c:v>
                </c:pt>
                <c:pt idx="6086">
                  <c:v>0.82330000000000003</c:v>
                </c:pt>
                <c:pt idx="6087">
                  <c:v>0.82450000000000001</c:v>
                </c:pt>
                <c:pt idx="6088">
                  <c:v>0.8246</c:v>
                </c:pt>
                <c:pt idx="6089">
                  <c:v>0.83240000000000003</c:v>
                </c:pt>
                <c:pt idx="6090">
                  <c:v>0.83150000000000002</c:v>
                </c:pt>
                <c:pt idx="6091">
                  <c:v>0.83230000000000004</c:v>
                </c:pt>
                <c:pt idx="6092">
                  <c:v>0.83630000000000004</c:v>
                </c:pt>
                <c:pt idx="6093">
                  <c:v>0.83220000000000005</c:v>
                </c:pt>
                <c:pt idx="6094">
                  <c:v>0.83420000000000005</c:v>
                </c:pt>
                <c:pt idx="6095">
                  <c:v>0.83440000000000003</c:v>
                </c:pt>
                <c:pt idx="6096">
                  <c:v>0.82499999999999996</c:v>
                </c:pt>
                <c:pt idx="6097">
                  <c:v>0.82499999999999996</c:v>
                </c:pt>
                <c:pt idx="6098">
                  <c:v>0.83320000000000005</c:v>
                </c:pt>
                <c:pt idx="6099">
                  <c:v>0.82499999999999996</c:v>
                </c:pt>
                <c:pt idx="6100">
                  <c:v>0.82679999999999998</c:v>
                </c:pt>
                <c:pt idx="6101">
                  <c:v>0.82920000000000005</c:v>
                </c:pt>
                <c:pt idx="6102">
                  <c:v>0.82469999999999999</c:v>
                </c:pt>
                <c:pt idx="6103">
                  <c:v>0.82450000000000001</c:v>
                </c:pt>
                <c:pt idx="6104">
                  <c:v>0.81899999999999995</c:v>
                </c:pt>
                <c:pt idx="6105">
                  <c:v>0.82469999999999999</c:v>
                </c:pt>
                <c:pt idx="6106">
                  <c:v>0.83069999999999999</c:v>
                </c:pt>
                <c:pt idx="6107">
                  <c:v>0.82930000000000004</c:v>
                </c:pt>
                <c:pt idx="6108">
                  <c:v>0.83230000000000004</c:v>
                </c:pt>
                <c:pt idx="6109">
                  <c:v>0.83009999999999995</c:v>
                </c:pt>
                <c:pt idx="6110">
                  <c:v>0.83340000000000003</c:v>
                </c:pt>
                <c:pt idx="6111">
                  <c:v>0.8327</c:v>
                </c:pt>
                <c:pt idx="6112">
                  <c:v>0.8327</c:v>
                </c:pt>
                <c:pt idx="6113">
                  <c:v>0.82579999999999998</c:v>
                </c:pt>
                <c:pt idx="6114">
                  <c:v>0.82089999999999996</c:v>
                </c:pt>
                <c:pt idx="6115">
                  <c:v>0.82299999999999995</c:v>
                </c:pt>
                <c:pt idx="6116">
                  <c:v>0.82169999999999999</c:v>
                </c:pt>
                <c:pt idx="6117">
                  <c:v>0.82179999999999997</c:v>
                </c:pt>
                <c:pt idx="6118">
                  <c:v>0.82279999999999998</c:v>
                </c:pt>
                <c:pt idx="6119">
                  <c:v>0.81989999999999996</c:v>
                </c:pt>
                <c:pt idx="6120">
                  <c:v>0.81920000000000004</c:v>
                </c:pt>
                <c:pt idx="6121">
                  <c:v>0.81740000000000002</c:v>
                </c:pt>
                <c:pt idx="6122">
                  <c:v>0.81879999999999997</c:v>
                </c:pt>
                <c:pt idx="6123">
                  <c:v>0.82440000000000002</c:v>
                </c:pt>
                <c:pt idx="6124">
                  <c:v>0.82950000000000002</c:v>
                </c:pt>
                <c:pt idx="6125">
                  <c:v>0.83330000000000004</c:v>
                </c:pt>
                <c:pt idx="6126">
                  <c:v>0.83540000000000003</c:v>
                </c:pt>
                <c:pt idx="6127">
                  <c:v>0.84360000000000002</c:v>
                </c:pt>
                <c:pt idx="6128">
                  <c:v>0.84660000000000002</c:v>
                </c:pt>
                <c:pt idx="6129">
                  <c:v>0.84240000000000004</c:v>
                </c:pt>
                <c:pt idx="6130">
                  <c:v>0.84240000000000004</c:v>
                </c:pt>
                <c:pt idx="6131">
                  <c:v>0.84350000000000003</c:v>
                </c:pt>
                <c:pt idx="6132">
                  <c:v>0.84119999999999995</c:v>
                </c:pt>
                <c:pt idx="6133">
                  <c:v>0.83860000000000001</c:v>
                </c:pt>
                <c:pt idx="6134">
                  <c:v>0.83679999999999999</c:v>
                </c:pt>
                <c:pt idx="6135">
                  <c:v>0.84279999999999999</c:v>
                </c:pt>
                <c:pt idx="6136">
                  <c:v>0.84370000000000001</c:v>
                </c:pt>
                <c:pt idx="6137">
                  <c:v>0.8468</c:v>
                </c:pt>
                <c:pt idx="6138">
                  <c:v>0.8458</c:v>
                </c:pt>
                <c:pt idx="6139">
                  <c:v>0.84719999999999995</c:v>
                </c:pt>
                <c:pt idx="6140">
                  <c:v>0.8488</c:v>
                </c:pt>
                <c:pt idx="6141">
                  <c:v>0.84740000000000004</c:v>
                </c:pt>
                <c:pt idx="6142">
                  <c:v>0.84119999999999995</c:v>
                </c:pt>
                <c:pt idx="6143">
                  <c:v>0.84189999999999998</c:v>
                </c:pt>
                <c:pt idx="6144">
                  <c:v>0.84870000000000001</c:v>
                </c:pt>
                <c:pt idx="6145">
                  <c:v>0.85319999999999996</c:v>
                </c:pt>
                <c:pt idx="6146">
                  <c:v>0.85670000000000002</c:v>
                </c:pt>
                <c:pt idx="6147">
                  <c:v>0.85780000000000001</c:v>
                </c:pt>
                <c:pt idx="6148">
                  <c:v>0.85809999999999997</c:v>
                </c:pt>
                <c:pt idx="6149">
                  <c:v>0.85619999999999996</c:v>
                </c:pt>
                <c:pt idx="6150">
                  <c:v>0.85909999999999997</c:v>
                </c:pt>
                <c:pt idx="6151">
                  <c:v>0.85760000000000003</c:v>
                </c:pt>
                <c:pt idx="6152">
                  <c:v>0.86070000000000002</c:v>
                </c:pt>
                <c:pt idx="6153">
                  <c:v>0.86060000000000003</c:v>
                </c:pt>
                <c:pt idx="6154">
                  <c:v>0.86709999999999998</c:v>
                </c:pt>
                <c:pt idx="6155">
                  <c:v>0.873</c:v>
                </c:pt>
                <c:pt idx="6156">
                  <c:v>0.87380000000000002</c:v>
                </c:pt>
                <c:pt idx="6157">
                  <c:v>0.87770000000000004</c:v>
                </c:pt>
                <c:pt idx="6158">
                  <c:v>0.87760000000000005</c:v>
                </c:pt>
                <c:pt idx="6159">
                  <c:v>0.88049999999999995</c:v>
                </c:pt>
                <c:pt idx="6160">
                  <c:v>0.88270000000000004</c:v>
                </c:pt>
                <c:pt idx="6161">
                  <c:v>0.88449999999999995</c:v>
                </c:pt>
                <c:pt idx="6162">
                  <c:v>0.88670000000000004</c:v>
                </c:pt>
                <c:pt idx="6163">
                  <c:v>0.88470000000000004</c:v>
                </c:pt>
                <c:pt idx="6164">
                  <c:v>0.87070000000000003</c:v>
                </c:pt>
                <c:pt idx="6165">
                  <c:v>0.84930000000000005</c:v>
                </c:pt>
                <c:pt idx="6166">
                  <c:v>0.85719999999999996</c:v>
                </c:pt>
                <c:pt idx="6167">
                  <c:v>0.84540000000000004</c:v>
                </c:pt>
                <c:pt idx="6168">
                  <c:v>0.85450000000000004</c:v>
                </c:pt>
                <c:pt idx="6169">
                  <c:v>0.85780000000000001</c:v>
                </c:pt>
                <c:pt idx="6170">
                  <c:v>0.85780000000000001</c:v>
                </c:pt>
                <c:pt idx="6171">
                  <c:v>0.85860000000000003</c:v>
                </c:pt>
                <c:pt idx="6172">
                  <c:v>0.85650000000000004</c:v>
                </c:pt>
                <c:pt idx="6173">
                  <c:v>0.86599999999999999</c:v>
                </c:pt>
                <c:pt idx="6174">
                  <c:v>0.84099999999999997</c:v>
                </c:pt>
                <c:pt idx="6175">
                  <c:v>0.84850000000000003</c:v>
                </c:pt>
                <c:pt idx="6176">
                  <c:v>0.8387</c:v>
                </c:pt>
                <c:pt idx="6177">
                  <c:v>0.82869999999999999</c:v>
                </c:pt>
                <c:pt idx="6178">
                  <c:v>0.80569999999999997</c:v>
                </c:pt>
                <c:pt idx="6179">
                  <c:v>0.78100000000000003</c:v>
                </c:pt>
                <c:pt idx="6180">
                  <c:v>0.79590000000000005</c:v>
                </c:pt>
                <c:pt idx="6181">
                  <c:v>0.80430000000000001</c:v>
                </c:pt>
                <c:pt idx="6182">
                  <c:v>0.80110000000000003</c:v>
                </c:pt>
                <c:pt idx="6183">
                  <c:v>0.81499999999999995</c:v>
                </c:pt>
                <c:pt idx="6184">
                  <c:v>0.82110000000000005</c:v>
                </c:pt>
                <c:pt idx="6185">
                  <c:v>0.83250000000000002</c:v>
                </c:pt>
                <c:pt idx="6186">
                  <c:v>0.82320000000000004</c:v>
                </c:pt>
                <c:pt idx="6187">
                  <c:v>0.80769999999999997</c:v>
                </c:pt>
                <c:pt idx="6188">
                  <c:v>0.81520000000000004</c:v>
                </c:pt>
                <c:pt idx="6189">
                  <c:v>0.82140000000000002</c:v>
                </c:pt>
                <c:pt idx="6190">
                  <c:v>0.82250000000000001</c:v>
                </c:pt>
                <c:pt idx="6191">
                  <c:v>0.82679999999999998</c:v>
                </c:pt>
                <c:pt idx="6192">
                  <c:v>0.82369999999999999</c:v>
                </c:pt>
                <c:pt idx="6193">
                  <c:v>0.82330000000000003</c:v>
                </c:pt>
                <c:pt idx="6194">
                  <c:v>0.82330000000000003</c:v>
                </c:pt>
                <c:pt idx="6195">
                  <c:v>0.82010000000000005</c:v>
                </c:pt>
                <c:pt idx="6196">
                  <c:v>0.82699999999999996</c:v>
                </c:pt>
                <c:pt idx="6197">
                  <c:v>0.83579999999999999</c:v>
                </c:pt>
                <c:pt idx="6198">
                  <c:v>0.83919999999999995</c:v>
                </c:pt>
                <c:pt idx="6199">
                  <c:v>0.83979999999999999</c:v>
                </c:pt>
                <c:pt idx="6200">
                  <c:v>0.84389999999999998</c:v>
                </c:pt>
                <c:pt idx="6201">
                  <c:v>0.83040000000000003</c:v>
                </c:pt>
                <c:pt idx="6202">
                  <c:v>0.85240000000000005</c:v>
                </c:pt>
                <c:pt idx="6203">
                  <c:v>0.85960000000000003</c:v>
                </c:pt>
                <c:pt idx="6204">
                  <c:v>0.86919999999999997</c:v>
                </c:pt>
                <c:pt idx="6205">
                  <c:v>0.86719999999999997</c:v>
                </c:pt>
                <c:pt idx="6206">
                  <c:v>0.86570000000000003</c:v>
                </c:pt>
                <c:pt idx="6207">
                  <c:v>0.87319999999999998</c:v>
                </c:pt>
                <c:pt idx="6208">
                  <c:v>0.87829999999999997</c:v>
                </c:pt>
                <c:pt idx="6209">
                  <c:v>0.88270000000000004</c:v>
                </c:pt>
                <c:pt idx="6210">
                  <c:v>0.88270000000000004</c:v>
                </c:pt>
                <c:pt idx="6211">
                  <c:v>0.88600000000000001</c:v>
                </c:pt>
                <c:pt idx="6212">
                  <c:v>0.88800000000000001</c:v>
                </c:pt>
                <c:pt idx="6213">
                  <c:v>0.88109999999999999</c:v>
                </c:pt>
                <c:pt idx="6214">
                  <c:v>0.88719999999999999</c:v>
                </c:pt>
                <c:pt idx="6215">
                  <c:v>0.90300000000000002</c:v>
                </c:pt>
                <c:pt idx="6216">
                  <c:v>0.89270000000000005</c:v>
                </c:pt>
                <c:pt idx="6217">
                  <c:v>0.89870000000000005</c:v>
                </c:pt>
                <c:pt idx="6218">
                  <c:v>0.89959999999999996</c:v>
                </c:pt>
                <c:pt idx="6219">
                  <c:v>0.89839999999999998</c:v>
                </c:pt>
                <c:pt idx="6220">
                  <c:v>0.90569999999999995</c:v>
                </c:pt>
                <c:pt idx="6221">
                  <c:v>0.89980000000000004</c:v>
                </c:pt>
                <c:pt idx="6222">
                  <c:v>0.88400000000000001</c:v>
                </c:pt>
                <c:pt idx="6223">
                  <c:v>0.89339999999999997</c:v>
                </c:pt>
                <c:pt idx="6224">
                  <c:v>0.89359999999999995</c:v>
                </c:pt>
                <c:pt idx="6225">
                  <c:v>0.88819999999999999</c:v>
                </c:pt>
                <c:pt idx="6226">
                  <c:v>0.89149999999999996</c:v>
                </c:pt>
                <c:pt idx="6227">
                  <c:v>0.89739999999999998</c:v>
                </c:pt>
                <c:pt idx="6228">
                  <c:v>0.90210000000000001</c:v>
                </c:pt>
                <c:pt idx="6229">
                  <c:v>0.91190000000000004</c:v>
                </c:pt>
                <c:pt idx="6230">
                  <c:v>0.92420000000000002</c:v>
                </c:pt>
                <c:pt idx="6231">
                  <c:v>0.91649999999999998</c:v>
                </c:pt>
                <c:pt idx="6232">
                  <c:v>0.92159999999999997</c:v>
                </c:pt>
                <c:pt idx="6233">
                  <c:v>0.93049999999999999</c:v>
                </c:pt>
                <c:pt idx="6234">
                  <c:v>0.91679999999999995</c:v>
                </c:pt>
                <c:pt idx="6235">
                  <c:v>0.9204</c:v>
                </c:pt>
                <c:pt idx="6236">
                  <c:v>0.9224</c:v>
                </c:pt>
                <c:pt idx="6237">
                  <c:v>0.93759999999999999</c:v>
                </c:pt>
                <c:pt idx="6238">
                  <c:v>0.9244</c:v>
                </c:pt>
                <c:pt idx="6239">
                  <c:v>0.92849999999999999</c:v>
                </c:pt>
                <c:pt idx="6240">
                  <c:v>0.89239999999999997</c:v>
                </c:pt>
                <c:pt idx="6241">
                  <c:v>0.8891</c:v>
                </c:pt>
                <c:pt idx="6242">
                  <c:v>0.90259999999999996</c:v>
                </c:pt>
                <c:pt idx="6243">
                  <c:v>0.90010000000000001</c:v>
                </c:pt>
                <c:pt idx="6244">
                  <c:v>0.88560000000000005</c:v>
                </c:pt>
                <c:pt idx="6245">
                  <c:v>0.89319999999999999</c:v>
                </c:pt>
                <c:pt idx="6246">
                  <c:v>0.88360000000000005</c:v>
                </c:pt>
                <c:pt idx="6247">
                  <c:v>0.88670000000000004</c:v>
                </c:pt>
                <c:pt idx="6248">
                  <c:v>0.87529999999999997</c:v>
                </c:pt>
                <c:pt idx="6249">
                  <c:v>0.87360000000000004</c:v>
                </c:pt>
                <c:pt idx="6250">
                  <c:v>0.88390000000000002</c:v>
                </c:pt>
                <c:pt idx="6251">
                  <c:v>0.87860000000000005</c:v>
                </c:pt>
                <c:pt idx="6252">
                  <c:v>0.87580000000000002</c:v>
                </c:pt>
                <c:pt idx="6253">
                  <c:v>0.88300000000000001</c:v>
                </c:pt>
                <c:pt idx="6254">
                  <c:v>0.88649999999999995</c:v>
                </c:pt>
                <c:pt idx="6255">
                  <c:v>0.87970000000000004</c:v>
                </c:pt>
                <c:pt idx="6256">
                  <c:v>0.87419999999999998</c:v>
                </c:pt>
                <c:pt idx="6257">
                  <c:v>0.87060000000000004</c:v>
                </c:pt>
                <c:pt idx="6258">
                  <c:v>0.87350000000000005</c:v>
                </c:pt>
                <c:pt idx="6259">
                  <c:v>0.87739999999999996</c:v>
                </c:pt>
                <c:pt idx="6260">
                  <c:v>0.87639999999999996</c:v>
                </c:pt>
                <c:pt idx="6261">
                  <c:v>0.88859999999999995</c:v>
                </c:pt>
                <c:pt idx="6262">
                  <c:v>0.876</c:v>
                </c:pt>
                <c:pt idx="6263">
                  <c:v>0.88270000000000004</c:v>
                </c:pt>
                <c:pt idx="6264">
                  <c:v>0.87670000000000003</c:v>
                </c:pt>
                <c:pt idx="6265">
                  <c:v>0.86180000000000001</c:v>
                </c:pt>
                <c:pt idx="6266">
                  <c:v>0.85940000000000005</c:v>
                </c:pt>
                <c:pt idx="6267">
                  <c:v>0.86280000000000001</c:v>
                </c:pt>
                <c:pt idx="6268">
                  <c:v>0.85780000000000001</c:v>
                </c:pt>
                <c:pt idx="6269">
                  <c:v>0.86209999999999998</c:v>
                </c:pt>
                <c:pt idx="6270">
                  <c:v>0.86899999999999999</c:v>
                </c:pt>
                <c:pt idx="6271">
                  <c:v>0.86899999999999999</c:v>
                </c:pt>
                <c:pt idx="6272">
                  <c:v>0.86899999999999999</c:v>
                </c:pt>
                <c:pt idx="6273">
                  <c:v>0.87560000000000004</c:v>
                </c:pt>
                <c:pt idx="6274">
                  <c:v>0.87339999999999995</c:v>
                </c:pt>
                <c:pt idx="6275">
                  <c:v>0.88160000000000005</c:v>
                </c:pt>
                <c:pt idx="6276">
                  <c:v>0.88160000000000005</c:v>
                </c:pt>
                <c:pt idx="6277">
                  <c:v>0.87970000000000004</c:v>
                </c:pt>
                <c:pt idx="6278">
                  <c:v>0.88319999999999999</c:v>
                </c:pt>
                <c:pt idx="6279">
                  <c:v>0.88060000000000005</c:v>
                </c:pt>
                <c:pt idx="6280">
                  <c:v>0.87290000000000001</c:v>
                </c:pt>
                <c:pt idx="6281">
                  <c:v>0.87709999999999999</c:v>
                </c:pt>
                <c:pt idx="6282">
                  <c:v>0.8821</c:v>
                </c:pt>
                <c:pt idx="6283">
                  <c:v>0.88400000000000001</c:v>
                </c:pt>
                <c:pt idx="6284">
                  <c:v>0.89529999999999998</c:v>
                </c:pt>
                <c:pt idx="6285">
                  <c:v>0.8952</c:v>
                </c:pt>
                <c:pt idx="6286">
                  <c:v>0.9002</c:v>
                </c:pt>
                <c:pt idx="6287">
                  <c:v>0.88449999999999995</c:v>
                </c:pt>
                <c:pt idx="6288">
                  <c:v>0.88</c:v>
                </c:pt>
                <c:pt idx="6289">
                  <c:v>0.87649999999999995</c:v>
                </c:pt>
                <c:pt idx="6290">
                  <c:v>0.87619999999999998</c:v>
                </c:pt>
                <c:pt idx="6291">
                  <c:v>0.85770000000000002</c:v>
                </c:pt>
                <c:pt idx="6292">
                  <c:v>0.86380000000000001</c:v>
                </c:pt>
                <c:pt idx="6293">
                  <c:v>0.87460000000000004</c:v>
                </c:pt>
                <c:pt idx="6294">
                  <c:v>0.88470000000000004</c:v>
                </c:pt>
                <c:pt idx="6295">
                  <c:v>0.88470000000000004</c:v>
                </c:pt>
                <c:pt idx="6296">
                  <c:v>0.88700000000000001</c:v>
                </c:pt>
                <c:pt idx="6297">
                  <c:v>0.8881</c:v>
                </c:pt>
                <c:pt idx="6298">
                  <c:v>0.88839999999999997</c:v>
                </c:pt>
                <c:pt idx="6299">
                  <c:v>0.89510000000000001</c:v>
                </c:pt>
                <c:pt idx="6300">
                  <c:v>0.90459999999999996</c:v>
                </c:pt>
                <c:pt idx="6301">
                  <c:v>0.90690000000000004</c:v>
                </c:pt>
                <c:pt idx="6302">
                  <c:v>0.89570000000000005</c:v>
                </c:pt>
                <c:pt idx="6303">
                  <c:v>0.89249999999999996</c:v>
                </c:pt>
                <c:pt idx="6304">
                  <c:v>0.89510000000000001</c:v>
                </c:pt>
                <c:pt idx="6305">
                  <c:v>0.90159999999999996</c:v>
                </c:pt>
                <c:pt idx="6306">
                  <c:v>0.90410000000000001</c:v>
                </c:pt>
                <c:pt idx="6307">
                  <c:v>0.90369999999999995</c:v>
                </c:pt>
                <c:pt idx="6308">
                  <c:v>0.90259999999999996</c:v>
                </c:pt>
                <c:pt idx="6309">
                  <c:v>0.9042</c:v>
                </c:pt>
                <c:pt idx="6310">
                  <c:v>0.91320000000000001</c:v>
                </c:pt>
                <c:pt idx="6311">
                  <c:v>0.91949999999999998</c:v>
                </c:pt>
                <c:pt idx="6312">
                  <c:v>0.91539999999999999</c:v>
                </c:pt>
                <c:pt idx="6313">
                  <c:v>0.91830000000000001</c:v>
                </c:pt>
                <c:pt idx="6314">
                  <c:v>0.92030000000000001</c:v>
                </c:pt>
                <c:pt idx="6315">
                  <c:v>0.92369999999999997</c:v>
                </c:pt>
                <c:pt idx="6316">
                  <c:v>0.9284</c:v>
                </c:pt>
                <c:pt idx="6317">
                  <c:v>0.93500000000000005</c:v>
                </c:pt>
                <c:pt idx="6318">
                  <c:v>0.94259999999999999</c:v>
                </c:pt>
                <c:pt idx="6319">
                  <c:v>0.9466</c:v>
                </c:pt>
                <c:pt idx="6320">
                  <c:v>0.93359999999999999</c:v>
                </c:pt>
                <c:pt idx="6321">
                  <c:v>0.92710000000000004</c:v>
                </c:pt>
                <c:pt idx="6322">
                  <c:v>0.9254</c:v>
                </c:pt>
                <c:pt idx="6323">
                  <c:v>0.93520000000000003</c:v>
                </c:pt>
                <c:pt idx="6324">
                  <c:v>0.92889999999999995</c:v>
                </c:pt>
                <c:pt idx="6325">
                  <c:v>0.92800000000000005</c:v>
                </c:pt>
                <c:pt idx="6326">
                  <c:v>0.91969999999999996</c:v>
                </c:pt>
                <c:pt idx="6327">
                  <c:v>0.93149999999999999</c:v>
                </c:pt>
                <c:pt idx="6328">
                  <c:v>0.93569999999999998</c:v>
                </c:pt>
                <c:pt idx="6329">
                  <c:v>0.94340000000000002</c:v>
                </c:pt>
                <c:pt idx="6330">
                  <c:v>0.92669999999999997</c:v>
                </c:pt>
                <c:pt idx="6331">
                  <c:v>0.92169999999999996</c:v>
                </c:pt>
                <c:pt idx="6332">
                  <c:v>0.9325</c:v>
                </c:pt>
                <c:pt idx="6333">
                  <c:v>0.91539999999999999</c:v>
                </c:pt>
                <c:pt idx="6334">
                  <c:v>0.91539999999999999</c:v>
                </c:pt>
                <c:pt idx="6335">
                  <c:v>0.91539999999999999</c:v>
                </c:pt>
                <c:pt idx="6336">
                  <c:v>0.91159999999999997</c:v>
                </c:pt>
                <c:pt idx="6337">
                  <c:v>0.91639999999999999</c:v>
                </c:pt>
                <c:pt idx="6338">
                  <c:v>0.92049999999999998</c:v>
                </c:pt>
                <c:pt idx="6339">
                  <c:v>0.92249999999999999</c:v>
                </c:pt>
                <c:pt idx="6340">
                  <c:v>0.91800000000000004</c:v>
                </c:pt>
                <c:pt idx="6341">
                  <c:v>0.91020000000000001</c:v>
                </c:pt>
                <c:pt idx="6342">
                  <c:v>0.90790000000000004</c:v>
                </c:pt>
                <c:pt idx="6343">
                  <c:v>0.91410000000000002</c:v>
                </c:pt>
                <c:pt idx="6344">
                  <c:v>0.91169999999999995</c:v>
                </c:pt>
                <c:pt idx="6345">
                  <c:v>0.92100000000000004</c:v>
                </c:pt>
                <c:pt idx="6346">
                  <c:v>0.92720000000000002</c:v>
                </c:pt>
                <c:pt idx="6347">
                  <c:v>0.93020000000000003</c:v>
                </c:pt>
                <c:pt idx="6348">
                  <c:v>0.93110000000000004</c:v>
                </c:pt>
                <c:pt idx="6349">
                  <c:v>0.93179999999999996</c:v>
                </c:pt>
                <c:pt idx="6350">
                  <c:v>0.92279999999999995</c:v>
                </c:pt>
                <c:pt idx="6351">
                  <c:v>0.9294</c:v>
                </c:pt>
                <c:pt idx="6352">
                  <c:v>0.92720000000000002</c:v>
                </c:pt>
                <c:pt idx="6353">
                  <c:v>0.93789999999999996</c:v>
                </c:pt>
                <c:pt idx="6354">
                  <c:v>0.93840000000000001</c:v>
                </c:pt>
                <c:pt idx="6355">
                  <c:v>0.94</c:v>
                </c:pt>
                <c:pt idx="6356">
                  <c:v>0.94159999999999999</c:v>
                </c:pt>
                <c:pt idx="6357">
                  <c:v>0.94969999999999999</c:v>
                </c:pt>
                <c:pt idx="6358">
                  <c:v>0.94740000000000002</c:v>
                </c:pt>
                <c:pt idx="6359">
                  <c:v>0.94740000000000002</c:v>
                </c:pt>
                <c:pt idx="6360">
                  <c:v>0.93689999999999996</c:v>
                </c:pt>
                <c:pt idx="6361">
                  <c:v>0.93559999999999999</c:v>
                </c:pt>
                <c:pt idx="6362">
                  <c:v>0.93369999999999997</c:v>
                </c:pt>
                <c:pt idx="6363">
                  <c:v>0.93769999999999998</c:v>
                </c:pt>
                <c:pt idx="6364">
                  <c:v>0.93179999999999996</c:v>
                </c:pt>
                <c:pt idx="6365">
                  <c:v>0.9405</c:v>
                </c:pt>
                <c:pt idx="6366">
                  <c:v>0.94440000000000002</c:v>
                </c:pt>
                <c:pt idx="6367">
                  <c:v>0.94630000000000003</c:v>
                </c:pt>
                <c:pt idx="6368">
                  <c:v>0.94</c:v>
                </c:pt>
                <c:pt idx="6369">
                  <c:v>0.94169999999999998</c:v>
                </c:pt>
                <c:pt idx="6370">
                  <c:v>0.93730000000000002</c:v>
                </c:pt>
                <c:pt idx="6371">
                  <c:v>0.94650000000000001</c:v>
                </c:pt>
                <c:pt idx="6372">
                  <c:v>0.93810000000000004</c:v>
                </c:pt>
                <c:pt idx="6373">
                  <c:v>0.93359999999999999</c:v>
                </c:pt>
                <c:pt idx="6374">
                  <c:v>0.94489999999999996</c:v>
                </c:pt>
                <c:pt idx="6375">
                  <c:v>0.95509999999999995</c:v>
                </c:pt>
                <c:pt idx="6376">
                  <c:v>0.95860000000000001</c:v>
                </c:pt>
                <c:pt idx="6377">
                  <c:v>0.9587</c:v>
                </c:pt>
                <c:pt idx="6378">
                  <c:v>0.96440000000000003</c:v>
                </c:pt>
                <c:pt idx="6379">
                  <c:v>0.95799999999999996</c:v>
                </c:pt>
                <c:pt idx="6380">
                  <c:v>0.96150000000000002</c:v>
                </c:pt>
                <c:pt idx="6381">
                  <c:v>0.96350000000000002</c:v>
                </c:pt>
                <c:pt idx="6382">
                  <c:v>0.96120000000000005</c:v>
                </c:pt>
                <c:pt idx="6383">
                  <c:v>0.96130000000000004</c:v>
                </c:pt>
                <c:pt idx="6384">
                  <c:v>0.95589999999999997</c:v>
                </c:pt>
                <c:pt idx="6385">
                  <c:v>0.95220000000000005</c:v>
                </c:pt>
                <c:pt idx="6386">
                  <c:v>0.95469999999999999</c:v>
                </c:pt>
                <c:pt idx="6387">
                  <c:v>0.95669999999999999</c:v>
                </c:pt>
                <c:pt idx="6388">
                  <c:v>0.95499999999999996</c:v>
                </c:pt>
                <c:pt idx="6389">
                  <c:v>0.95930000000000004</c:v>
                </c:pt>
                <c:pt idx="6390">
                  <c:v>0.95930000000000004</c:v>
                </c:pt>
                <c:pt idx="6391">
                  <c:v>0.94879999999999998</c:v>
                </c:pt>
                <c:pt idx="6392">
                  <c:v>0.94450000000000001</c:v>
                </c:pt>
                <c:pt idx="6393">
                  <c:v>0.93789999999999996</c:v>
                </c:pt>
                <c:pt idx="6394">
                  <c:v>0.94020000000000004</c:v>
                </c:pt>
                <c:pt idx="6395">
                  <c:v>0.93940000000000001</c:v>
                </c:pt>
                <c:pt idx="6396">
                  <c:v>0.94269999999999998</c:v>
                </c:pt>
                <c:pt idx="6397">
                  <c:v>0.9415</c:v>
                </c:pt>
                <c:pt idx="6398">
                  <c:v>0.94640000000000002</c:v>
                </c:pt>
                <c:pt idx="6399">
                  <c:v>0.95169999999999999</c:v>
                </c:pt>
                <c:pt idx="6400">
                  <c:v>0.95430000000000004</c:v>
                </c:pt>
                <c:pt idx="6401">
                  <c:v>0.95269999999999999</c:v>
                </c:pt>
                <c:pt idx="6402">
                  <c:v>0.95669999999999999</c:v>
                </c:pt>
                <c:pt idx="6403">
                  <c:v>0.95920000000000005</c:v>
                </c:pt>
                <c:pt idx="6404">
                  <c:v>0.96</c:v>
                </c:pt>
                <c:pt idx="6405">
                  <c:v>0.96260000000000001</c:v>
                </c:pt>
                <c:pt idx="6406">
                  <c:v>0.95530000000000004</c:v>
                </c:pt>
                <c:pt idx="6407">
                  <c:v>0.95989999999999998</c:v>
                </c:pt>
                <c:pt idx="6408">
                  <c:v>0.96240000000000003</c:v>
                </c:pt>
                <c:pt idx="6409">
                  <c:v>0.96199999999999997</c:v>
                </c:pt>
                <c:pt idx="6410">
                  <c:v>0.96060000000000001</c:v>
                </c:pt>
                <c:pt idx="6411">
                  <c:v>0.95430000000000004</c:v>
                </c:pt>
                <c:pt idx="6412">
                  <c:v>0.95150000000000001</c:v>
                </c:pt>
                <c:pt idx="6413">
                  <c:v>0.96030000000000004</c:v>
                </c:pt>
                <c:pt idx="6414">
                  <c:v>0.96020000000000005</c:v>
                </c:pt>
                <c:pt idx="6415">
                  <c:v>0.96819999999999995</c:v>
                </c:pt>
                <c:pt idx="6416">
                  <c:v>0.97499999999999998</c:v>
                </c:pt>
                <c:pt idx="6417">
                  <c:v>0.97860000000000003</c:v>
                </c:pt>
                <c:pt idx="6418">
                  <c:v>0.97729999999999995</c:v>
                </c:pt>
                <c:pt idx="6419">
                  <c:v>0.97240000000000004</c:v>
                </c:pt>
                <c:pt idx="6420">
                  <c:v>0.97540000000000004</c:v>
                </c:pt>
                <c:pt idx="6421">
                  <c:v>0.97540000000000004</c:v>
                </c:pt>
                <c:pt idx="6422">
                  <c:v>0.96870000000000001</c:v>
                </c:pt>
                <c:pt idx="6423">
                  <c:v>0.9587</c:v>
                </c:pt>
                <c:pt idx="6424">
                  <c:v>0.95840000000000003</c:v>
                </c:pt>
                <c:pt idx="6425">
                  <c:v>0.95409999999999995</c:v>
                </c:pt>
                <c:pt idx="6426">
                  <c:v>0.95830000000000004</c:v>
                </c:pt>
                <c:pt idx="6427">
                  <c:v>0.94779999999999998</c:v>
                </c:pt>
                <c:pt idx="6428">
                  <c:v>0.94340000000000002</c:v>
                </c:pt>
                <c:pt idx="6429">
                  <c:v>0.93740000000000001</c:v>
                </c:pt>
                <c:pt idx="6430">
                  <c:v>0.93740000000000001</c:v>
                </c:pt>
                <c:pt idx="6431">
                  <c:v>0.92210000000000003</c:v>
                </c:pt>
                <c:pt idx="6432">
                  <c:v>0.91790000000000005</c:v>
                </c:pt>
                <c:pt idx="6433">
                  <c:v>0.91090000000000004</c:v>
                </c:pt>
                <c:pt idx="6434">
                  <c:v>0.89529999999999998</c:v>
                </c:pt>
                <c:pt idx="6435">
                  <c:v>0.88549999999999995</c:v>
                </c:pt>
                <c:pt idx="6436">
                  <c:v>0.87409999999999999</c:v>
                </c:pt>
                <c:pt idx="6437">
                  <c:v>0.86560000000000004</c:v>
                </c:pt>
                <c:pt idx="6438">
                  <c:v>0.87029999999999996</c:v>
                </c:pt>
                <c:pt idx="6439">
                  <c:v>0.8639</c:v>
                </c:pt>
                <c:pt idx="6440">
                  <c:v>0.87370000000000003</c:v>
                </c:pt>
                <c:pt idx="6441">
                  <c:v>0.86750000000000005</c:v>
                </c:pt>
                <c:pt idx="6442">
                  <c:v>0.87209999999999999</c:v>
                </c:pt>
                <c:pt idx="6443">
                  <c:v>0.87290000000000001</c:v>
                </c:pt>
                <c:pt idx="6444">
                  <c:v>0.88029999999999997</c:v>
                </c:pt>
                <c:pt idx="6445">
                  <c:v>0.86329999999999996</c:v>
                </c:pt>
                <c:pt idx="6446">
                  <c:v>0.85799999999999998</c:v>
                </c:pt>
                <c:pt idx="6447">
                  <c:v>0.85829999999999995</c:v>
                </c:pt>
                <c:pt idx="6448">
                  <c:v>0.86709999999999998</c:v>
                </c:pt>
                <c:pt idx="6449">
                  <c:v>0.8639</c:v>
                </c:pt>
                <c:pt idx="6450">
                  <c:v>0.85370000000000001</c:v>
                </c:pt>
                <c:pt idx="6451">
                  <c:v>0.84650000000000003</c:v>
                </c:pt>
                <c:pt idx="6452">
                  <c:v>0.82540000000000002</c:v>
                </c:pt>
                <c:pt idx="6453">
                  <c:v>0.83350000000000002</c:v>
                </c:pt>
                <c:pt idx="6454">
                  <c:v>0.81640000000000001</c:v>
                </c:pt>
                <c:pt idx="6455">
                  <c:v>0.83489999999999998</c:v>
                </c:pt>
                <c:pt idx="6456">
                  <c:v>0.80500000000000005</c:v>
                </c:pt>
                <c:pt idx="6457">
                  <c:v>0.80649999999999999</c:v>
                </c:pt>
                <c:pt idx="6458">
                  <c:v>0.79620000000000002</c:v>
                </c:pt>
                <c:pt idx="6459">
                  <c:v>0.80479999999999996</c:v>
                </c:pt>
                <c:pt idx="6460">
                  <c:v>0.82569999999999999</c:v>
                </c:pt>
                <c:pt idx="6461">
                  <c:v>0.79049999999999998</c:v>
                </c:pt>
                <c:pt idx="6462">
                  <c:v>0.79900000000000004</c:v>
                </c:pt>
                <c:pt idx="6463">
                  <c:v>0.79359999999999997</c:v>
                </c:pt>
                <c:pt idx="6464">
                  <c:v>0.81269999999999998</c:v>
                </c:pt>
                <c:pt idx="6465">
                  <c:v>0.83150000000000002</c:v>
                </c:pt>
                <c:pt idx="6466">
                  <c:v>0.84289999999999998</c:v>
                </c:pt>
                <c:pt idx="6467">
                  <c:v>0.83660000000000001</c:v>
                </c:pt>
                <c:pt idx="6468">
                  <c:v>0.83720000000000006</c:v>
                </c:pt>
                <c:pt idx="6469">
                  <c:v>0.83109999999999995</c:v>
                </c:pt>
                <c:pt idx="6470">
                  <c:v>0.82799999999999996</c:v>
                </c:pt>
                <c:pt idx="6471">
                  <c:v>0.79959999999999998</c:v>
                </c:pt>
                <c:pt idx="6472">
                  <c:v>0.79620000000000002</c:v>
                </c:pt>
                <c:pt idx="6473">
                  <c:v>0.79079999999999995</c:v>
                </c:pt>
                <c:pt idx="6474">
                  <c:v>0.78039999999999998</c:v>
                </c:pt>
                <c:pt idx="6475">
                  <c:v>0.78039999999999998</c:v>
                </c:pt>
                <c:pt idx="6476">
                  <c:v>0.72230000000000005</c:v>
                </c:pt>
                <c:pt idx="6477">
                  <c:v>0.70509999999999995</c:v>
                </c:pt>
                <c:pt idx="6478">
                  <c:v>0.69159999999999999</c:v>
                </c:pt>
                <c:pt idx="6479">
                  <c:v>0.65510000000000002</c:v>
                </c:pt>
                <c:pt idx="6480">
                  <c:v>0.66020000000000001</c:v>
                </c:pt>
                <c:pt idx="6481">
                  <c:v>0.70830000000000004</c:v>
                </c:pt>
                <c:pt idx="6482">
                  <c:v>0.69830000000000003</c:v>
                </c:pt>
                <c:pt idx="6483">
                  <c:v>0.66810000000000003</c:v>
                </c:pt>
                <c:pt idx="6484">
                  <c:v>0.68989999999999996</c:v>
                </c:pt>
                <c:pt idx="6485">
                  <c:v>0.70040000000000002</c:v>
                </c:pt>
                <c:pt idx="6486">
                  <c:v>0.69489999999999996</c:v>
                </c:pt>
                <c:pt idx="6487">
                  <c:v>0.66620000000000001</c:v>
                </c:pt>
                <c:pt idx="6488">
                  <c:v>0.6663</c:v>
                </c:pt>
                <c:pt idx="6489">
                  <c:v>0.65139999999999998</c:v>
                </c:pt>
                <c:pt idx="6490">
                  <c:v>0.61939999999999995</c:v>
                </c:pt>
                <c:pt idx="6491">
                  <c:v>0.61219999999999997</c:v>
                </c:pt>
                <c:pt idx="6492">
                  <c:v>0.63759999999999994</c:v>
                </c:pt>
                <c:pt idx="6493">
                  <c:v>0.68489999999999995</c:v>
                </c:pt>
                <c:pt idx="6494">
                  <c:v>0.66800000000000004</c:v>
                </c:pt>
                <c:pt idx="6495">
                  <c:v>0.68149999999999999</c:v>
                </c:pt>
                <c:pt idx="6496">
                  <c:v>0.66439999999999999</c:v>
                </c:pt>
                <c:pt idx="6497">
                  <c:v>0.68820000000000003</c:v>
                </c:pt>
                <c:pt idx="6498">
                  <c:v>0.67300000000000004</c:v>
                </c:pt>
                <c:pt idx="6499">
                  <c:v>0.6724</c:v>
                </c:pt>
                <c:pt idx="6500">
                  <c:v>0.68689999999999996</c:v>
                </c:pt>
                <c:pt idx="6501">
                  <c:v>0.67300000000000004</c:v>
                </c:pt>
                <c:pt idx="6502">
                  <c:v>0.65969999999999995</c:v>
                </c:pt>
                <c:pt idx="6503">
                  <c:v>0.63929999999999998</c:v>
                </c:pt>
                <c:pt idx="6504">
                  <c:v>0.65680000000000005</c:v>
                </c:pt>
                <c:pt idx="6505">
                  <c:v>0.6472</c:v>
                </c:pt>
                <c:pt idx="6506">
                  <c:v>0.6462</c:v>
                </c:pt>
                <c:pt idx="6507">
                  <c:v>0.64410000000000001</c:v>
                </c:pt>
                <c:pt idx="6508">
                  <c:v>0.6351</c:v>
                </c:pt>
                <c:pt idx="6509">
                  <c:v>0.61860000000000004</c:v>
                </c:pt>
                <c:pt idx="6510">
                  <c:v>0.63100000000000001</c:v>
                </c:pt>
                <c:pt idx="6511">
                  <c:v>0.64290000000000003</c:v>
                </c:pt>
                <c:pt idx="6512">
                  <c:v>0.64580000000000004</c:v>
                </c:pt>
                <c:pt idx="6513">
                  <c:v>0.65029999999999999</c:v>
                </c:pt>
                <c:pt idx="6514">
                  <c:v>0.65720000000000001</c:v>
                </c:pt>
                <c:pt idx="6515">
                  <c:v>0.64810000000000001</c:v>
                </c:pt>
                <c:pt idx="6516">
                  <c:v>0.64080000000000004</c:v>
                </c:pt>
                <c:pt idx="6517">
                  <c:v>0.64539999999999997</c:v>
                </c:pt>
                <c:pt idx="6518">
                  <c:v>0.64419999999999999</c:v>
                </c:pt>
                <c:pt idx="6519">
                  <c:v>0.64410000000000001</c:v>
                </c:pt>
                <c:pt idx="6520">
                  <c:v>0.65059999999999996</c:v>
                </c:pt>
                <c:pt idx="6521">
                  <c:v>0.65720000000000001</c:v>
                </c:pt>
                <c:pt idx="6522">
                  <c:v>0.66149999999999998</c:v>
                </c:pt>
                <c:pt idx="6523">
                  <c:v>0.65659999999999996</c:v>
                </c:pt>
                <c:pt idx="6524">
                  <c:v>0.6583</c:v>
                </c:pt>
                <c:pt idx="6525">
                  <c:v>0.66969999999999996</c:v>
                </c:pt>
                <c:pt idx="6526">
                  <c:v>0.66969999999999996</c:v>
                </c:pt>
                <c:pt idx="6527">
                  <c:v>0.69940000000000002</c:v>
                </c:pt>
                <c:pt idx="6528">
                  <c:v>0.70440000000000003</c:v>
                </c:pt>
                <c:pt idx="6529">
                  <c:v>0.68559999999999999</c:v>
                </c:pt>
                <c:pt idx="6530">
                  <c:v>0.68169999999999997</c:v>
                </c:pt>
                <c:pt idx="6531">
                  <c:v>0.6835</c:v>
                </c:pt>
                <c:pt idx="6532">
                  <c:v>0.6774</c:v>
                </c:pt>
                <c:pt idx="6533">
                  <c:v>0.6774</c:v>
                </c:pt>
                <c:pt idx="6534">
                  <c:v>0.6774</c:v>
                </c:pt>
                <c:pt idx="6535">
                  <c:v>0.68710000000000004</c:v>
                </c:pt>
                <c:pt idx="6536">
                  <c:v>0.69140000000000001</c:v>
                </c:pt>
                <c:pt idx="6537">
                  <c:v>0.69279999999999997</c:v>
                </c:pt>
                <c:pt idx="6538">
                  <c:v>0.69279999999999997</c:v>
                </c:pt>
                <c:pt idx="6539">
                  <c:v>0.69679999999999997</c:v>
                </c:pt>
                <c:pt idx="6540">
                  <c:v>0.71109999999999995</c:v>
                </c:pt>
                <c:pt idx="6541">
                  <c:v>0.71240000000000003</c:v>
                </c:pt>
                <c:pt idx="6542">
                  <c:v>0.72230000000000005</c:v>
                </c:pt>
                <c:pt idx="6543">
                  <c:v>0.7056</c:v>
                </c:pt>
                <c:pt idx="6544">
                  <c:v>0.70699999999999996</c:v>
                </c:pt>
                <c:pt idx="6545">
                  <c:v>0.69089999999999996</c:v>
                </c:pt>
                <c:pt idx="6546">
                  <c:v>0.67759999999999998</c:v>
                </c:pt>
                <c:pt idx="6547">
                  <c:v>0.67369999999999997</c:v>
                </c:pt>
                <c:pt idx="6548">
                  <c:v>0.65810000000000002</c:v>
                </c:pt>
                <c:pt idx="6549">
                  <c:v>0.67310000000000003</c:v>
                </c:pt>
                <c:pt idx="6550">
                  <c:v>0.68100000000000005</c:v>
                </c:pt>
                <c:pt idx="6551">
                  <c:v>0.66010000000000002</c:v>
                </c:pt>
                <c:pt idx="6552">
                  <c:v>0.65359999999999996</c:v>
                </c:pt>
                <c:pt idx="6553">
                  <c:v>0.65900000000000003</c:v>
                </c:pt>
                <c:pt idx="6554">
                  <c:v>0.65180000000000005</c:v>
                </c:pt>
                <c:pt idx="6555">
                  <c:v>0.65180000000000005</c:v>
                </c:pt>
                <c:pt idx="6556">
                  <c:v>0.6633</c:v>
                </c:pt>
                <c:pt idx="6557">
                  <c:v>0.66639999999999999</c:v>
                </c:pt>
                <c:pt idx="6558">
                  <c:v>0.66020000000000001</c:v>
                </c:pt>
                <c:pt idx="6559">
                  <c:v>0.64380000000000004</c:v>
                </c:pt>
                <c:pt idx="6560">
                  <c:v>0.63200000000000001</c:v>
                </c:pt>
                <c:pt idx="6561">
                  <c:v>0.63839999999999997</c:v>
                </c:pt>
                <c:pt idx="6562">
                  <c:v>0.64770000000000005</c:v>
                </c:pt>
                <c:pt idx="6563">
                  <c:v>0.64370000000000005</c:v>
                </c:pt>
                <c:pt idx="6564">
                  <c:v>0.65210000000000001</c:v>
                </c:pt>
                <c:pt idx="6565">
                  <c:v>0.66949999999999998</c:v>
                </c:pt>
                <c:pt idx="6566">
                  <c:v>0.66859999999999997</c:v>
                </c:pt>
                <c:pt idx="6567">
                  <c:v>0.65510000000000002</c:v>
                </c:pt>
                <c:pt idx="6568">
                  <c:v>0.65800000000000003</c:v>
                </c:pt>
                <c:pt idx="6569">
                  <c:v>0.65739999999999998</c:v>
                </c:pt>
                <c:pt idx="6570">
                  <c:v>0.65159999999999996</c:v>
                </c:pt>
                <c:pt idx="6571">
                  <c:v>0.64280000000000004</c:v>
                </c:pt>
                <c:pt idx="6572">
                  <c:v>0.63919999999999999</c:v>
                </c:pt>
                <c:pt idx="6573">
                  <c:v>0.6431</c:v>
                </c:pt>
                <c:pt idx="6574">
                  <c:v>0.63939999999999997</c:v>
                </c:pt>
                <c:pt idx="6575">
                  <c:v>0.6492</c:v>
                </c:pt>
                <c:pt idx="6576">
                  <c:v>0.64559999999999995</c:v>
                </c:pt>
                <c:pt idx="6577">
                  <c:v>0.65129999999999999</c:v>
                </c:pt>
                <c:pt idx="6578">
                  <c:v>0.6502</c:v>
                </c:pt>
                <c:pt idx="6579">
                  <c:v>0.64539999999999997</c:v>
                </c:pt>
                <c:pt idx="6580">
                  <c:v>0.63260000000000005</c:v>
                </c:pt>
                <c:pt idx="6581">
                  <c:v>0.63900000000000001</c:v>
                </c:pt>
                <c:pt idx="6582">
                  <c:v>0.63260000000000005</c:v>
                </c:pt>
                <c:pt idx="6583">
                  <c:v>0.64329999999999998</c:v>
                </c:pt>
                <c:pt idx="6584">
                  <c:v>0.64280000000000004</c:v>
                </c:pt>
                <c:pt idx="6585">
                  <c:v>0.63970000000000005</c:v>
                </c:pt>
                <c:pt idx="6586">
                  <c:v>0.63839999999999997</c:v>
                </c:pt>
                <c:pt idx="6587">
                  <c:v>0.64180000000000004</c:v>
                </c:pt>
                <c:pt idx="6588">
                  <c:v>0.6482</c:v>
                </c:pt>
                <c:pt idx="6589">
                  <c:v>0.6532</c:v>
                </c:pt>
                <c:pt idx="6590">
                  <c:v>0.65639999999999998</c:v>
                </c:pt>
                <c:pt idx="6591">
                  <c:v>0.66090000000000004</c:v>
                </c:pt>
                <c:pt idx="6592">
                  <c:v>0.6613</c:v>
                </c:pt>
                <c:pt idx="6593">
                  <c:v>0.6754</c:v>
                </c:pt>
                <c:pt idx="6594">
                  <c:v>0.68840000000000001</c:v>
                </c:pt>
                <c:pt idx="6595">
                  <c:v>0.6966</c:v>
                </c:pt>
                <c:pt idx="6596">
                  <c:v>0.70450000000000002</c:v>
                </c:pt>
                <c:pt idx="6597">
                  <c:v>0.69740000000000002</c:v>
                </c:pt>
                <c:pt idx="6598">
                  <c:v>0.69830000000000003</c:v>
                </c:pt>
                <c:pt idx="6599">
                  <c:v>0.6996</c:v>
                </c:pt>
                <c:pt idx="6600">
                  <c:v>0.68330000000000002</c:v>
                </c:pt>
                <c:pt idx="6601">
                  <c:v>0.68730000000000002</c:v>
                </c:pt>
                <c:pt idx="6602">
                  <c:v>0.68830000000000002</c:v>
                </c:pt>
                <c:pt idx="6603">
                  <c:v>0.70330000000000004</c:v>
                </c:pt>
                <c:pt idx="6604">
                  <c:v>0.71409999999999996</c:v>
                </c:pt>
                <c:pt idx="6605">
                  <c:v>0.71760000000000002</c:v>
                </c:pt>
                <c:pt idx="6606">
                  <c:v>0.71260000000000001</c:v>
                </c:pt>
                <c:pt idx="6607">
                  <c:v>0.70550000000000002</c:v>
                </c:pt>
                <c:pt idx="6608">
                  <c:v>0.71120000000000005</c:v>
                </c:pt>
                <c:pt idx="6609">
                  <c:v>0.71120000000000005</c:v>
                </c:pt>
                <c:pt idx="6610">
                  <c:v>0.71120000000000005</c:v>
                </c:pt>
                <c:pt idx="6611">
                  <c:v>0.72819999999999996</c:v>
                </c:pt>
                <c:pt idx="6612">
                  <c:v>0.7177</c:v>
                </c:pt>
                <c:pt idx="6613">
                  <c:v>0.72529999999999994</c:v>
                </c:pt>
                <c:pt idx="6614">
                  <c:v>0.71989999999999998</c:v>
                </c:pt>
                <c:pt idx="6615">
                  <c:v>0.71840000000000004</c:v>
                </c:pt>
                <c:pt idx="6616">
                  <c:v>0.70240000000000002</c:v>
                </c:pt>
                <c:pt idx="6617">
                  <c:v>0.70530000000000004</c:v>
                </c:pt>
                <c:pt idx="6618">
                  <c:v>0.70840000000000003</c:v>
                </c:pt>
                <c:pt idx="6619">
                  <c:v>0.71199999999999997</c:v>
                </c:pt>
                <c:pt idx="6620">
                  <c:v>0.71289999999999998</c:v>
                </c:pt>
                <c:pt idx="6621">
                  <c:v>0.70140000000000002</c:v>
                </c:pt>
                <c:pt idx="6622">
                  <c:v>0.7127</c:v>
                </c:pt>
                <c:pt idx="6623">
                  <c:v>0.72650000000000003</c:v>
                </c:pt>
                <c:pt idx="6624">
                  <c:v>0.72740000000000005</c:v>
                </c:pt>
                <c:pt idx="6625">
                  <c:v>0.73540000000000005</c:v>
                </c:pt>
                <c:pt idx="6626">
                  <c:v>0.74070000000000003</c:v>
                </c:pt>
                <c:pt idx="6627">
                  <c:v>0.73760000000000003</c:v>
                </c:pt>
                <c:pt idx="6628">
                  <c:v>0.75349999999999995</c:v>
                </c:pt>
                <c:pt idx="6629">
                  <c:v>0.75560000000000005</c:v>
                </c:pt>
                <c:pt idx="6630">
                  <c:v>0.76680000000000004</c:v>
                </c:pt>
                <c:pt idx="6631">
                  <c:v>0.75990000000000002</c:v>
                </c:pt>
                <c:pt idx="6632">
                  <c:v>0.76910000000000001</c:v>
                </c:pt>
                <c:pt idx="6633">
                  <c:v>0.75229999999999997</c:v>
                </c:pt>
                <c:pt idx="6634">
                  <c:v>0.7591</c:v>
                </c:pt>
                <c:pt idx="6635">
                  <c:v>0.75109999999999999</c:v>
                </c:pt>
                <c:pt idx="6636">
                  <c:v>0.76629999999999998</c:v>
                </c:pt>
                <c:pt idx="6637">
                  <c:v>0.76949999999999996</c:v>
                </c:pt>
                <c:pt idx="6638">
                  <c:v>0.77539999999999998</c:v>
                </c:pt>
                <c:pt idx="6639">
                  <c:v>0.77769999999999995</c:v>
                </c:pt>
                <c:pt idx="6640">
                  <c:v>0.78110000000000002</c:v>
                </c:pt>
                <c:pt idx="6641">
                  <c:v>0.78059999999999996</c:v>
                </c:pt>
                <c:pt idx="6642">
                  <c:v>0.78559999999999997</c:v>
                </c:pt>
                <c:pt idx="6643">
                  <c:v>0.77790000000000004</c:v>
                </c:pt>
                <c:pt idx="6644">
                  <c:v>0.79120000000000001</c:v>
                </c:pt>
                <c:pt idx="6645">
                  <c:v>0.80500000000000005</c:v>
                </c:pt>
                <c:pt idx="6646">
                  <c:v>0.80900000000000005</c:v>
                </c:pt>
                <c:pt idx="6647">
                  <c:v>0.82589999999999997</c:v>
                </c:pt>
                <c:pt idx="6648">
                  <c:v>0.80030000000000001</c:v>
                </c:pt>
                <c:pt idx="6649">
                  <c:v>0.80410000000000004</c:v>
                </c:pt>
                <c:pt idx="6650">
                  <c:v>0.80410000000000004</c:v>
                </c:pt>
                <c:pt idx="6651">
                  <c:v>0.78869999999999996</c:v>
                </c:pt>
                <c:pt idx="6652">
                  <c:v>0.80869999999999997</c:v>
                </c:pt>
                <c:pt idx="6653">
                  <c:v>0.80940000000000001</c:v>
                </c:pt>
                <c:pt idx="6654">
                  <c:v>0.81430000000000002</c:v>
                </c:pt>
                <c:pt idx="6655">
                  <c:v>0.80349999999999999</c:v>
                </c:pt>
                <c:pt idx="6656">
                  <c:v>0.79290000000000005</c:v>
                </c:pt>
                <c:pt idx="6657">
                  <c:v>0.79490000000000005</c:v>
                </c:pt>
                <c:pt idx="6658">
                  <c:v>0.79379999999999995</c:v>
                </c:pt>
                <c:pt idx="6659">
                  <c:v>0.80289999999999995</c:v>
                </c:pt>
                <c:pt idx="6660">
                  <c:v>0.8014</c:v>
                </c:pt>
                <c:pt idx="6661">
                  <c:v>0.78059999999999996</c:v>
                </c:pt>
                <c:pt idx="6662">
                  <c:v>0.79579999999999995</c:v>
                </c:pt>
                <c:pt idx="6663">
                  <c:v>0.7994</c:v>
                </c:pt>
                <c:pt idx="6664">
                  <c:v>0.80479999999999996</c:v>
                </c:pt>
                <c:pt idx="6665">
                  <c:v>0.80049999999999999</c:v>
                </c:pt>
                <c:pt idx="6666">
                  <c:v>0.81140000000000001</c:v>
                </c:pt>
                <c:pt idx="6667">
                  <c:v>0.80369999999999997</c:v>
                </c:pt>
                <c:pt idx="6668">
                  <c:v>0.80400000000000005</c:v>
                </c:pt>
                <c:pt idx="6669">
                  <c:v>0.79710000000000003</c:v>
                </c:pt>
                <c:pt idx="6670">
                  <c:v>0.79500000000000004</c:v>
                </c:pt>
                <c:pt idx="6671">
                  <c:v>0.79659999999999997</c:v>
                </c:pt>
                <c:pt idx="6672">
                  <c:v>0.78690000000000004</c:v>
                </c:pt>
                <c:pt idx="6673">
                  <c:v>0.77910000000000001</c:v>
                </c:pt>
                <c:pt idx="6674">
                  <c:v>0.78149999999999997</c:v>
                </c:pt>
                <c:pt idx="6675">
                  <c:v>0.77449999999999997</c:v>
                </c:pt>
                <c:pt idx="6676">
                  <c:v>0.78549999999999998</c:v>
                </c:pt>
                <c:pt idx="6677">
                  <c:v>0.79459999999999997</c:v>
                </c:pt>
                <c:pt idx="6678">
                  <c:v>0.79820000000000002</c:v>
                </c:pt>
                <c:pt idx="6679">
                  <c:v>0.80089999999999995</c:v>
                </c:pt>
                <c:pt idx="6680">
                  <c:v>0.80700000000000005</c:v>
                </c:pt>
                <c:pt idx="6681">
                  <c:v>0.81330000000000002</c:v>
                </c:pt>
                <c:pt idx="6682">
                  <c:v>0.81540000000000001</c:v>
                </c:pt>
                <c:pt idx="6683">
                  <c:v>0.81789999999999996</c:v>
                </c:pt>
                <c:pt idx="6684">
                  <c:v>0.81559999999999999</c:v>
                </c:pt>
                <c:pt idx="6685">
                  <c:v>0.82120000000000004</c:v>
                </c:pt>
                <c:pt idx="6686">
                  <c:v>0.83040000000000003</c:v>
                </c:pt>
                <c:pt idx="6687">
                  <c:v>0.82430000000000003</c:v>
                </c:pt>
                <c:pt idx="6688">
                  <c:v>0.82010000000000005</c:v>
                </c:pt>
                <c:pt idx="6689">
                  <c:v>0.82809999999999995</c:v>
                </c:pt>
                <c:pt idx="6690">
                  <c:v>0.82809999999999995</c:v>
                </c:pt>
                <c:pt idx="6691">
                  <c:v>0.8427</c:v>
                </c:pt>
                <c:pt idx="6692">
                  <c:v>0.84130000000000005</c:v>
                </c:pt>
                <c:pt idx="6693">
                  <c:v>0.84370000000000001</c:v>
                </c:pt>
                <c:pt idx="6694">
                  <c:v>0.83850000000000002</c:v>
                </c:pt>
                <c:pt idx="6695">
                  <c:v>0.83989999999999998</c:v>
                </c:pt>
                <c:pt idx="6696">
                  <c:v>0.83479999999999999</c:v>
                </c:pt>
                <c:pt idx="6697">
                  <c:v>0.82320000000000004</c:v>
                </c:pt>
                <c:pt idx="6698">
                  <c:v>0.83660000000000001</c:v>
                </c:pt>
                <c:pt idx="6699">
                  <c:v>0.84299999999999997</c:v>
                </c:pt>
                <c:pt idx="6700">
                  <c:v>0.82130000000000003</c:v>
                </c:pt>
                <c:pt idx="6701">
                  <c:v>0.82420000000000004</c:v>
                </c:pt>
                <c:pt idx="6702">
                  <c:v>0.8246</c:v>
                </c:pt>
                <c:pt idx="6703">
                  <c:v>0.83089999999999997</c:v>
                </c:pt>
                <c:pt idx="6704">
                  <c:v>0.82540000000000002</c:v>
                </c:pt>
                <c:pt idx="6705">
                  <c:v>0.83919999999999995</c:v>
                </c:pt>
                <c:pt idx="6706">
                  <c:v>0.83509999999999995</c:v>
                </c:pt>
                <c:pt idx="6707">
                  <c:v>0.83689999999999998</c:v>
                </c:pt>
                <c:pt idx="6708">
                  <c:v>0.82799999999999996</c:v>
                </c:pt>
                <c:pt idx="6709">
                  <c:v>0.83979999999999999</c:v>
                </c:pt>
                <c:pt idx="6710">
                  <c:v>0.83930000000000005</c:v>
                </c:pt>
                <c:pt idx="6711">
                  <c:v>0.84199999999999997</c:v>
                </c:pt>
                <c:pt idx="6712">
                  <c:v>0.83209999999999995</c:v>
                </c:pt>
                <c:pt idx="6713">
                  <c:v>0.83609999999999995</c:v>
                </c:pt>
                <c:pt idx="6714">
                  <c:v>0.84009999999999996</c:v>
                </c:pt>
                <c:pt idx="6715">
                  <c:v>0.8518</c:v>
                </c:pt>
                <c:pt idx="6716">
                  <c:v>0.85660000000000003</c:v>
                </c:pt>
                <c:pt idx="6717">
                  <c:v>0.86009999999999998</c:v>
                </c:pt>
                <c:pt idx="6718">
                  <c:v>0.86080000000000001</c:v>
                </c:pt>
                <c:pt idx="6719">
                  <c:v>0.8649</c:v>
                </c:pt>
                <c:pt idx="6720">
                  <c:v>0.85670000000000002</c:v>
                </c:pt>
                <c:pt idx="6721">
                  <c:v>0.86209999999999998</c:v>
                </c:pt>
                <c:pt idx="6722">
                  <c:v>0.86619999999999997</c:v>
                </c:pt>
                <c:pt idx="6723">
                  <c:v>0.87649999999999995</c:v>
                </c:pt>
                <c:pt idx="6724">
                  <c:v>0.87019999999999997</c:v>
                </c:pt>
                <c:pt idx="6725">
                  <c:v>0.86399999999999999</c:v>
                </c:pt>
                <c:pt idx="6726">
                  <c:v>0.86870000000000003</c:v>
                </c:pt>
                <c:pt idx="6727">
                  <c:v>0.87580000000000002</c:v>
                </c:pt>
                <c:pt idx="6728">
                  <c:v>0.87260000000000004</c:v>
                </c:pt>
                <c:pt idx="6729">
                  <c:v>0.86929999999999996</c:v>
                </c:pt>
                <c:pt idx="6730">
                  <c:v>0.86219999999999997</c:v>
                </c:pt>
                <c:pt idx="6731">
                  <c:v>0.87549999999999994</c:v>
                </c:pt>
                <c:pt idx="6732">
                  <c:v>0.88009999999999999</c:v>
                </c:pt>
                <c:pt idx="6733">
                  <c:v>0.87890000000000001</c:v>
                </c:pt>
                <c:pt idx="6734">
                  <c:v>0.86980000000000002</c:v>
                </c:pt>
                <c:pt idx="6735">
                  <c:v>0.86980000000000002</c:v>
                </c:pt>
                <c:pt idx="6736">
                  <c:v>0.88480000000000003</c:v>
                </c:pt>
                <c:pt idx="6737">
                  <c:v>0.89039999999999997</c:v>
                </c:pt>
                <c:pt idx="6738">
                  <c:v>0.90159999999999996</c:v>
                </c:pt>
                <c:pt idx="6739">
                  <c:v>0.90480000000000005</c:v>
                </c:pt>
                <c:pt idx="6740">
                  <c:v>0.90269999999999995</c:v>
                </c:pt>
                <c:pt idx="6741">
                  <c:v>0.9073</c:v>
                </c:pt>
                <c:pt idx="6742">
                  <c:v>0.9133</c:v>
                </c:pt>
                <c:pt idx="6743">
                  <c:v>0.92230000000000001</c:v>
                </c:pt>
                <c:pt idx="6744">
                  <c:v>0.92220000000000002</c:v>
                </c:pt>
                <c:pt idx="6745">
                  <c:v>0.91779999999999995</c:v>
                </c:pt>
                <c:pt idx="6746">
                  <c:v>0.92889999999999995</c:v>
                </c:pt>
                <c:pt idx="6747">
                  <c:v>0.92279999999999995</c:v>
                </c:pt>
                <c:pt idx="6748">
                  <c:v>0.92510000000000003</c:v>
                </c:pt>
                <c:pt idx="6749">
                  <c:v>0.92879999999999996</c:v>
                </c:pt>
                <c:pt idx="6750">
                  <c:v>0.9244</c:v>
                </c:pt>
                <c:pt idx="6751">
                  <c:v>0.91890000000000005</c:v>
                </c:pt>
                <c:pt idx="6752">
                  <c:v>0.90920000000000001</c:v>
                </c:pt>
                <c:pt idx="6753">
                  <c:v>0.89849999999999997</c:v>
                </c:pt>
                <c:pt idx="6754">
                  <c:v>0.91610000000000003</c:v>
                </c:pt>
                <c:pt idx="6755">
                  <c:v>0.90349999999999997</c:v>
                </c:pt>
                <c:pt idx="6756">
                  <c:v>0.90159999999999996</c:v>
                </c:pt>
                <c:pt idx="6757">
                  <c:v>0.90280000000000005</c:v>
                </c:pt>
                <c:pt idx="6758">
                  <c:v>0.90539999999999998</c:v>
                </c:pt>
                <c:pt idx="6759">
                  <c:v>0.9133</c:v>
                </c:pt>
                <c:pt idx="6760">
                  <c:v>0.9264</c:v>
                </c:pt>
                <c:pt idx="6761">
                  <c:v>0.92789999999999995</c:v>
                </c:pt>
                <c:pt idx="6762">
                  <c:v>0.9304</c:v>
                </c:pt>
                <c:pt idx="6763">
                  <c:v>0.93379999999999996</c:v>
                </c:pt>
                <c:pt idx="6764">
                  <c:v>0.9254</c:v>
                </c:pt>
                <c:pt idx="6765">
                  <c:v>0.93489999999999995</c:v>
                </c:pt>
                <c:pt idx="6766">
                  <c:v>0.93459999999999999</c:v>
                </c:pt>
                <c:pt idx="6767">
                  <c:v>0.92859999999999998</c:v>
                </c:pt>
                <c:pt idx="6768">
                  <c:v>0.92349999999999999</c:v>
                </c:pt>
                <c:pt idx="6769">
                  <c:v>0.92059999999999997</c:v>
                </c:pt>
                <c:pt idx="6770">
                  <c:v>0.91959999999999997</c:v>
                </c:pt>
                <c:pt idx="6771">
                  <c:v>0.92200000000000004</c:v>
                </c:pt>
                <c:pt idx="6772">
                  <c:v>0.92589999999999995</c:v>
                </c:pt>
                <c:pt idx="6773">
                  <c:v>0.9224</c:v>
                </c:pt>
                <c:pt idx="6774">
                  <c:v>0.90429999999999999</c:v>
                </c:pt>
                <c:pt idx="6775">
                  <c:v>0.91779999999999995</c:v>
                </c:pt>
                <c:pt idx="6776">
                  <c:v>0.91359999999999997</c:v>
                </c:pt>
                <c:pt idx="6777">
                  <c:v>0.92700000000000005</c:v>
                </c:pt>
                <c:pt idx="6778">
                  <c:v>0.92869999999999997</c:v>
                </c:pt>
                <c:pt idx="6779">
                  <c:v>0.92369999999999997</c:v>
                </c:pt>
                <c:pt idx="6780">
                  <c:v>0.91539999999999999</c:v>
                </c:pt>
                <c:pt idx="6781">
                  <c:v>0.9133</c:v>
                </c:pt>
                <c:pt idx="6782">
                  <c:v>0.90590000000000004</c:v>
                </c:pt>
                <c:pt idx="6783">
                  <c:v>0.91359999999999997</c:v>
                </c:pt>
                <c:pt idx="6784">
                  <c:v>0.91549999999999998</c:v>
                </c:pt>
                <c:pt idx="6785">
                  <c:v>0.9103</c:v>
                </c:pt>
                <c:pt idx="6786">
                  <c:v>0.91379999999999995</c:v>
                </c:pt>
                <c:pt idx="6787">
                  <c:v>0.89929999999999999</c:v>
                </c:pt>
                <c:pt idx="6788">
                  <c:v>0.88939999999999997</c:v>
                </c:pt>
                <c:pt idx="6789">
                  <c:v>0.8891</c:v>
                </c:pt>
                <c:pt idx="6790">
                  <c:v>0.88719999999999999</c:v>
                </c:pt>
                <c:pt idx="6791">
                  <c:v>0.87929999999999997</c:v>
                </c:pt>
                <c:pt idx="6792">
                  <c:v>0.876</c:v>
                </c:pt>
                <c:pt idx="6793">
                  <c:v>0.88160000000000005</c:v>
                </c:pt>
                <c:pt idx="6794">
                  <c:v>0.88160000000000005</c:v>
                </c:pt>
                <c:pt idx="6795">
                  <c:v>0.88160000000000005</c:v>
                </c:pt>
                <c:pt idx="6796">
                  <c:v>0.88800000000000001</c:v>
                </c:pt>
                <c:pt idx="6797">
                  <c:v>0.89039999999999997</c:v>
                </c:pt>
                <c:pt idx="6798">
                  <c:v>0.89690000000000003</c:v>
                </c:pt>
                <c:pt idx="6799">
                  <c:v>0.89690000000000003</c:v>
                </c:pt>
                <c:pt idx="6800">
                  <c:v>0.89700000000000002</c:v>
                </c:pt>
                <c:pt idx="6801">
                  <c:v>0.9133</c:v>
                </c:pt>
                <c:pt idx="6802">
                  <c:v>0.91379999999999995</c:v>
                </c:pt>
                <c:pt idx="6803">
                  <c:v>0.92249999999999999</c:v>
                </c:pt>
                <c:pt idx="6804">
                  <c:v>0.91539999999999999</c:v>
                </c:pt>
                <c:pt idx="6805">
                  <c:v>0.93089999999999995</c:v>
                </c:pt>
                <c:pt idx="6806">
                  <c:v>0.92720000000000002</c:v>
                </c:pt>
                <c:pt idx="6807">
                  <c:v>0.92379999999999995</c:v>
                </c:pt>
                <c:pt idx="6808">
                  <c:v>0.92959999999999998</c:v>
                </c:pt>
                <c:pt idx="6809">
                  <c:v>0.92720000000000002</c:v>
                </c:pt>
                <c:pt idx="6810">
                  <c:v>0.9224</c:v>
                </c:pt>
                <c:pt idx="6811">
                  <c:v>0.92369999999999997</c:v>
                </c:pt>
                <c:pt idx="6812">
                  <c:v>0.91739999999999999</c:v>
                </c:pt>
                <c:pt idx="6813">
                  <c:v>0.91359999999999997</c:v>
                </c:pt>
                <c:pt idx="6814">
                  <c:v>0.90290000000000004</c:v>
                </c:pt>
                <c:pt idx="6815">
                  <c:v>0.90690000000000004</c:v>
                </c:pt>
                <c:pt idx="6816">
                  <c:v>0.90690000000000004</c:v>
                </c:pt>
                <c:pt idx="6817">
                  <c:v>0.90200000000000002</c:v>
                </c:pt>
                <c:pt idx="6818">
                  <c:v>0.90100000000000002</c:v>
                </c:pt>
                <c:pt idx="6819">
                  <c:v>0.89090000000000003</c:v>
                </c:pt>
                <c:pt idx="6820">
                  <c:v>0.8831</c:v>
                </c:pt>
                <c:pt idx="6821">
                  <c:v>0.88019999999999998</c:v>
                </c:pt>
                <c:pt idx="6822">
                  <c:v>0.88490000000000002</c:v>
                </c:pt>
                <c:pt idx="6823">
                  <c:v>0.88049999999999995</c:v>
                </c:pt>
                <c:pt idx="6824">
                  <c:v>0.86750000000000005</c:v>
                </c:pt>
                <c:pt idx="6825">
                  <c:v>0.86619999999999997</c:v>
                </c:pt>
                <c:pt idx="6826">
                  <c:v>0.86780000000000002</c:v>
                </c:pt>
                <c:pt idx="6827">
                  <c:v>0.87509999999999999</c:v>
                </c:pt>
                <c:pt idx="6828">
                  <c:v>0.88859999999999995</c:v>
                </c:pt>
                <c:pt idx="6829">
                  <c:v>0.88900000000000001</c:v>
                </c:pt>
                <c:pt idx="6830">
                  <c:v>0.88739999999999997</c:v>
                </c:pt>
                <c:pt idx="6831">
                  <c:v>0.89370000000000005</c:v>
                </c:pt>
                <c:pt idx="6832">
                  <c:v>0.90159999999999996</c:v>
                </c:pt>
                <c:pt idx="6833">
                  <c:v>0.89539999999999997</c:v>
                </c:pt>
                <c:pt idx="6834">
                  <c:v>0.89090000000000003</c:v>
                </c:pt>
                <c:pt idx="6835">
                  <c:v>0.9012</c:v>
                </c:pt>
                <c:pt idx="6836">
                  <c:v>0.90110000000000001</c:v>
                </c:pt>
                <c:pt idx="6837">
                  <c:v>0.89300000000000002</c:v>
                </c:pt>
                <c:pt idx="6838">
                  <c:v>0.88829999999999998</c:v>
                </c:pt>
                <c:pt idx="6839">
                  <c:v>0.88990000000000002</c:v>
                </c:pt>
                <c:pt idx="6840">
                  <c:v>0.89749999999999996</c:v>
                </c:pt>
                <c:pt idx="6841">
                  <c:v>0.89880000000000004</c:v>
                </c:pt>
                <c:pt idx="6842">
                  <c:v>0.90500000000000003</c:v>
                </c:pt>
                <c:pt idx="6843">
                  <c:v>0.90210000000000001</c:v>
                </c:pt>
                <c:pt idx="6844">
                  <c:v>0.90069999999999995</c:v>
                </c:pt>
                <c:pt idx="6845">
                  <c:v>0.91120000000000001</c:v>
                </c:pt>
                <c:pt idx="6846">
                  <c:v>0.90939999999999999</c:v>
                </c:pt>
                <c:pt idx="6847">
                  <c:v>0.91579999999999995</c:v>
                </c:pt>
                <c:pt idx="6848">
                  <c:v>0.9143</c:v>
                </c:pt>
                <c:pt idx="6849">
                  <c:v>0.91590000000000005</c:v>
                </c:pt>
                <c:pt idx="6850">
                  <c:v>0.91379999999999995</c:v>
                </c:pt>
                <c:pt idx="6851">
                  <c:v>0.91520000000000001</c:v>
                </c:pt>
                <c:pt idx="6852">
                  <c:v>0.91890000000000005</c:v>
                </c:pt>
                <c:pt idx="6853">
                  <c:v>0.92200000000000004</c:v>
                </c:pt>
                <c:pt idx="6854">
                  <c:v>0.92149999999999999</c:v>
                </c:pt>
                <c:pt idx="6855">
                  <c:v>0.91449999999999998</c:v>
                </c:pt>
                <c:pt idx="6856">
                  <c:v>0.91759999999999997</c:v>
                </c:pt>
                <c:pt idx="6857">
                  <c:v>0.91749999999999998</c:v>
                </c:pt>
                <c:pt idx="6858">
                  <c:v>0.91149999999999998</c:v>
                </c:pt>
                <c:pt idx="6859">
                  <c:v>0.91020000000000001</c:v>
                </c:pt>
                <c:pt idx="6860">
                  <c:v>0.90820000000000001</c:v>
                </c:pt>
                <c:pt idx="6861">
                  <c:v>0.91879999999999995</c:v>
                </c:pt>
                <c:pt idx="6862">
                  <c:v>0.91590000000000005</c:v>
                </c:pt>
                <c:pt idx="6863">
                  <c:v>0.91639999999999999</c:v>
                </c:pt>
                <c:pt idx="6864">
                  <c:v>0.91639999999999999</c:v>
                </c:pt>
                <c:pt idx="6865">
                  <c:v>0.91639999999999999</c:v>
                </c:pt>
                <c:pt idx="6866">
                  <c:v>0.92249999999999999</c:v>
                </c:pt>
                <c:pt idx="6867">
                  <c:v>0.92659999999999998</c:v>
                </c:pt>
                <c:pt idx="6868">
                  <c:v>0.92749999999999999</c:v>
                </c:pt>
                <c:pt idx="6869">
                  <c:v>0.92749999999999999</c:v>
                </c:pt>
                <c:pt idx="6870">
                  <c:v>0.93230000000000002</c:v>
                </c:pt>
                <c:pt idx="6871">
                  <c:v>0.92459999999999998</c:v>
                </c:pt>
                <c:pt idx="6872">
                  <c:v>0.93240000000000001</c:v>
                </c:pt>
                <c:pt idx="6873">
                  <c:v>0.93410000000000004</c:v>
                </c:pt>
                <c:pt idx="6874">
                  <c:v>0.9304</c:v>
                </c:pt>
                <c:pt idx="6875">
                  <c:v>0.91949999999999998</c:v>
                </c:pt>
                <c:pt idx="6876">
                  <c:v>0.92700000000000005</c:v>
                </c:pt>
                <c:pt idx="6877">
                  <c:v>0.93289999999999995</c:v>
                </c:pt>
                <c:pt idx="6878">
                  <c:v>0.92720000000000002</c:v>
                </c:pt>
                <c:pt idx="6879">
                  <c:v>0.92120000000000002</c:v>
                </c:pt>
                <c:pt idx="6880">
                  <c:v>0.92120000000000002</c:v>
                </c:pt>
                <c:pt idx="6881">
                  <c:v>0.92500000000000004</c:v>
                </c:pt>
                <c:pt idx="6882">
                  <c:v>0.92120000000000002</c:v>
                </c:pt>
                <c:pt idx="6883">
                  <c:v>0.92510000000000003</c:v>
                </c:pt>
                <c:pt idx="6884">
                  <c:v>0.93</c:v>
                </c:pt>
                <c:pt idx="6885">
                  <c:v>0.92500000000000004</c:v>
                </c:pt>
                <c:pt idx="6886">
                  <c:v>0.92079999999999995</c:v>
                </c:pt>
                <c:pt idx="6887">
                  <c:v>0.91</c:v>
                </c:pt>
                <c:pt idx="6888">
                  <c:v>0.90500000000000003</c:v>
                </c:pt>
                <c:pt idx="6889">
                  <c:v>0.88790000000000002</c:v>
                </c:pt>
                <c:pt idx="6890">
                  <c:v>0.90339999999999998</c:v>
                </c:pt>
                <c:pt idx="6891">
                  <c:v>0.89629999999999999</c:v>
                </c:pt>
                <c:pt idx="6892">
                  <c:v>0.89239999999999997</c:v>
                </c:pt>
                <c:pt idx="6893">
                  <c:v>0.90080000000000005</c:v>
                </c:pt>
                <c:pt idx="6894">
                  <c:v>0.89439999999999997</c:v>
                </c:pt>
                <c:pt idx="6895">
                  <c:v>0.877</c:v>
                </c:pt>
                <c:pt idx="6896">
                  <c:v>0.87429999999999997</c:v>
                </c:pt>
                <c:pt idx="6897">
                  <c:v>0.85609999999999997</c:v>
                </c:pt>
                <c:pt idx="6898">
                  <c:v>0.83109999999999995</c:v>
                </c:pt>
                <c:pt idx="6899">
                  <c:v>0.83050000000000002</c:v>
                </c:pt>
                <c:pt idx="6900">
                  <c:v>0.82650000000000001</c:v>
                </c:pt>
                <c:pt idx="6901">
                  <c:v>0.81779999999999997</c:v>
                </c:pt>
                <c:pt idx="6902">
                  <c:v>0.8226</c:v>
                </c:pt>
                <c:pt idx="6903">
                  <c:v>0.83260000000000001</c:v>
                </c:pt>
                <c:pt idx="6904">
                  <c:v>0.85240000000000005</c:v>
                </c:pt>
                <c:pt idx="6905">
                  <c:v>0.84899999999999998</c:v>
                </c:pt>
                <c:pt idx="6906">
                  <c:v>0.83850000000000002</c:v>
                </c:pt>
                <c:pt idx="6907">
                  <c:v>0.83089999999999997</c:v>
                </c:pt>
                <c:pt idx="6908">
                  <c:v>0.84989999999999999</c:v>
                </c:pt>
                <c:pt idx="6909">
                  <c:v>0.84399999999999997</c:v>
                </c:pt>
                <c:pt idx="6910">
                  <c:v>0.81559999999999999</c:v>
                </c:pt>
                <c:pt idx="6911">
                  <c:v>0.81979999999999997</c:v>
                </c:pt>
                <c:pt idx="6912">
                  <c:v>0.82269999999999999</c:v>
                </c:pt>
                <c:pt idx="6913">
                  <c:v>0.83850000000000002</c:v>
                </c:pt>
                <c:pt idx="6914">
                  <c:v>0.84489999999999998</c:v>
                </c:pt>
                <c:pt idx="6915">
                  <c:v>0.84489999999999998</c:v>
                </c:pt>
                <c:pt idx="6916">
                  <c:v>0.85640000000000005</c:v>
                </c:pt>
                <c:pt idx="6917">
                  <c:v>0.86450000000000005</c:v>
                </c:pt>
                <c:pt idx="6918">
                  <c:v>0.86060000000000003</c:v>
                </c:pt>
                <c:pt idx="6919">
                  <c:v>0.86909999999999998</c:v>
                </c:pt>
                <c:pt idx="6920">
                  <c:v>0.88280000000000003</c:v>
                </c:pt>
                <c:pt idx="6921">
                  <c:v>0.87590000000000001</c:v>
                </c:pt>
                <c:pt idx="6922">
                  <c:v>0.86980000000000002</c:v>
                </c:pt>
                <c:pt idx="6923">
                  <c:v>0.87309999999999999</c:v>
                </c:pt>
                <c:pt idx="6924">
                  <c:v>0.86260000000000003</c:v>
                </c:pt>
                <c:pt idx="6925">
                  <c:v>0.875</c:v>
                </c:pt>
                <c:pt idx="6926">
                  <c:v>0.86429999999999996</c:v>
                </c:pt>
                <c:pt idx="6927">
                  <c:v>0.85229999999999995</c:v>
                </c:pt>
                <c:pt idx="6928">
                  <c:v>0.83660000000000001</c:v>
                </c:pt>
                <c:pt idx="6929">
                  <c:v>0.8448</c:v>
                </c:pt>
                <c:pt idx="6930">
                  <c:v>0.84460000000000002</c:v>
                </c:pt>
                <c:pt idx="6931">
                  <c:v>0.84189999999999998</c:v>
                </c:pt>
                <c:pt idx="6932">
                  <c:v>0.84799999999999998</c:v>
                </c:pt>
                <c:pt idx="6933">
                  <c:v>0.87250000000000005</c:v>
                </c:pt>
                <c:pt idx="6934">
                  <c:v>0.877</c:v>
                </c:pt>
                <c:pt idx="6935">
                  <c:v>0.87319999999999998</c:v>
                </c:pt>
                <c:pt idx="6936">
                  <c:v>0.87209999999999999</c:v>
                </c:pt>
                <c:pt idx="6937">
                  <c:v>0.88149999999999995</c:v>
                </c:pt>
                <c:pt idx="6938">
                  <c:v>0.88029999999999997</c:v>
                </c:pt>
                <c:pt idx="6939">
                  <c:v>0.87570000000000003</c:v>
                </c:pt>
                <c:pt idx="6940">
                  <c:v>0.86870000000000003</c:v>
                </c:pt>
                <c:pt idx="6941">
                  <c:v>0.878</c:v>
                </c:pt>
                <c:pt idx="6942">
                  <c:v>0.88219999999999998</c:v>
                </c:pt>
                <c:pt idx="6943">
                  <c:v>0.87760000000000005</c:v>
                </c:pt>
                <c:pt idx="6944">
                  <c:v>0.89190000000000003</c:v>
                </c:pt>
                <c:pt idx="6945">
                  <c:v>0.89539999999999997</c:v>
                </c:pt>
                <c:pt idx="6946">
                  <c:v>0.90190000000000003</c:v>
                </c:pt>
                <c:pt idx="6947">
                  <c:v>0.89500000000000002</c:v>
                </c:pt>
                <c:pt idx="6948">
                  <c:v>0.89729999999999999</c:v>
                </c:pt>
                <c:pt idx="6949">
                  <c:v>0.89859999999999995</c:v>
                </c:pt>
                <c:pt idx="6950">
                  <c:v>0.89859999999999995</c:v>
                </c:pt>
                <c:pt idx="6951">
                  <c:v>0.9083</c:v>
                </c:pt>
                <c:pt idx="6952">
                  <c:v>0.91080000000000005</c:v>
                </c:pt>
                <c:pt idx="6953">
                  <c:v>0.91590000000000005</c:v>
                </c:pt>
                <c:pt idx="6954">
                  <c:v>0.91639999999999999</c:v>
                </c:pt>
                <c:pt idx="6955">
                  <c:v>0.91830000000000001</c:v>
                </c:pt>
                <c:pt idx="6956">
                  <c:v>0.91190000000000004</c:v>
                </c:pt>
                <c:pt idx="6957">
                  <c:v>0.90490000000000004</c:v>
                </c:pt>
                <c:pt idx="6958">
                  <c:v>0.89939999999999998</c:v>
                </c:pt>
                <c:pt idx="6959">
                  <c:v>0.90259999999999996</c:v>
                </c:pt>
                <c:pt idx="6960">
                  <c:v>0.89239999999999997</c:v>
                </c:pt>
                <c:pt idx="6961">
                  <c:v>0.90149999999999997</c:v>
                </c:pt>
                <c:pt idx="6962">
                  <c:v>0.90129999999999999</c:v>
                </c:pt>
                <c:pt idx="6963">
                  <c:v>0.89790000000000003</c:v>
                </c:pt>
                <c:pt idx="6964">
                  <c:v>0.89</c:v>
                </c:pt>
                <c:pt idx="6965">
                  <c:v>0.89070000000000005</c:v>
                </c:pt>
                <c:pt idx="6966">
                  <c:v>0.88939999999999997</c:v>
                </c:pt>
                <c:pt idx="6967">
                  <c:v>0.88370000000000004</c:v>
                </c:pt>
                <c:pt idx="6968">
                  <c:v>0.88819999999999999</c:v>
                </c:pt>
                <c:pt idx="6969">
                  <c:v>0.88739999999999997</c:v>
                </c:pt>
                <c:pt idx="6970">
                  <c:v>0.8982</c:v>
                </c:pt>
                <c:pt idx="6971">
                  <c:v>0.89180000000000004</c:v>
                </c:pt>
                <c:pt idx="6972">
                  <c:v>0.9</c:v>
                </c:pt>
                <c:pt idx="6973">
                  <c:v>0.90690000000000004</c:v>
                </c:pt>
                <c:pt idx="6974">
                  <c:v>0.90810000000000002</c:v>
                </c:pt>
                <c:pt idx="6975">
                  <c:v>0.91700000000000004</c:v>
                </c:pt>
                <c:pt idx="6976">
                  <c:v>0.91359999999999997</c:v>
                </c:pt>
                <c:pt idx="6977">
                  <c:v>0.91379999999999995</c:v>
                </c:pt>
                <c:pt idx="6978">
                  <c:v>0.92100000000000004</c:v>
                </c:pt>
                <c:pt idx="6979">
                  <c:v>0.92349999999999999</c:v>
                </c:pt>
                <c:pt idx="6980">
                  <c:v>0.92979999999999996</c:v>
                </c:pt>
                <c:pt idx="6981">
                  <c:v>0.93310000000000004</c:v>
                </c:pt>
                <c:pt idx="6982">
                  <c:v>0.93779999999999997</c:v>
                </c:pt>
                <c:pt idx="6983">
                  <c:v>0.93400000000000005</c:v>
                </c:pt>
                <c:pt idx="6984">
                  <c:v>0.94479999999999997</c:v>
                </c:pt>
                <c:pt idx="6985">
                  <c:v>0.94440000000000002</c:v>
                </c:pt>
                <c:pt idx="6986">
                  <c:v>0.9456</c:v>
                </c:pt>
                <c:pt idx="6987">
                  <c:v>0.95589999999999997</c:v>
                </c:pt>
                <c:pt idx="6988">
                  <c:v>0.95679999999999998</c:v>
                </c:pt>
                <c:pt idx="6989">
                  <c:v>0.95040000000000002</c:v>
                </c:pt>
                <c:pt idx="6990">
                  <c:v>0.95809999999999995</c:v>
                </c:pt>
                <c:pt idx="6991">
                  <c:v>0.95889999999999997</c:v>
                </c:pt>
                <c:pt idx="6992">
                  <c:v>0.96750000000000003</c:v>
                </c:pt>
                <c:pt idx="6993">
                  <c:v>0.9667</c:v>
                </c:pt>
                <c:pt idx="6994">
                  <c:v>0.9657</c:v>
                </c:pt>
                <c:pt idx="6995">
                  <c:v>0.9657</c:v>
                </c:pt>
                <c:pt idx="6996">
                  <c:v>0.95860000000000001</c:v>
                </c:pt>
                <c:pt idx="6997">
                  <c:v>0.97109999999999996</c:v>
                </c:pt>
                <c:pt idx="6998">
                  <c:v>0.98319999999999996</c:v>
                </c:pt>
                <c:pt idx="6999">
                  <c:v>0.98350000000000004</c:v>
                </c:pt>
                <c:pt idx="7000">
                  <c:v>0.98660000000000003</c:v>
                </c:pt>
                <c:pt idx="7001">
                  <c:v>0.97860000000000003</c:v>
                </c:pt>
                <c:pt idx="7002">
                  <c:v>0.98670000000000002</c:v>
                </c:pt>
                <c:pt idx="7003">
                  <c:v>0.995</c:v>
                </c:pt>
                <c:pt idx="7004">
                  <c:v>0.99139999999999995</c:v>
                </c:pt>
                <c:pt idx="7005">
                  <c:v>0.98540000000000005</c:v>
                </c:pt>
                <c:pt idx="7006">
                  <c:v>0.98680000000000001</c:v>
                </c:pt>
                <c:pt idx="7007">
                  <c:v>0.97570000000000001</c:v>
                </c:pt>
                <c:pt idx="7008">
                  <c:v>0.98219999999999996</c:v>
                </c:pt>
                <c:pt idx="7009">
                  <c:v>0.98350000000000004</c:v>
                </c:pt>
                <c:pt idx="7010">
                  <c:v>0.99339999999999995</c:v>
                </c:pt>
                <c:pt idx="7011">
                  <c:v>0.9909</c:v>
                </c:pt>
                <c:pt idx="7012">
                  <c:v>0.97389999999999999</c:v>
                </c:pt>
                <c:pt idx="7013">
                  <c:v>0.97550000000000003</c:v>
                </c:pt>
                <c:pt idx="7014">
                  <c:v>0.97609999999999997</c:v>
                </c:pt>
                <c:pt idx="7015">
                  <c:v>0.98809999999999998</c:v>
                </c:pt>
                <c:pt idx="7016">
                  <c:v>0.99739999999999995</c:v>
                </c:pt>
                <c:pt idx="7017">
                  <c:v>0.99729999999999996</c:v>
                </c:pt>
                <c:pt idx="7018">
                  <c:v>1.0059</c:v>
                </c:pt>
                <c:pt idx="7019">
                  <c:v>1.0153000000000001</c:v>
                </c:pt>
                <c:pt idx="7020">
                  <c:v>1.0132000000000001</c:v>
                </c:pt>
                <c:pt idx="7021">
                  <c:v>1.0115000000000001</c:v>
                </c:pt>
                <c:pt idx="7022">
                  <c:v>1.0038</c:v>
                </c:pt>
                <c:pt idx="7023">
                  <c:v>1.0044999999999999</c:v>
                </c:pt>
                <c:pt idx="7024">
                  <c:v>0.99350000000000005</c:v>
                </c:pt>
                <c:pt idx="7025">
                  <c:v>0.98550000000000004</c:v>
                </c:pt>
                <c:pt idx="7026">
                  <c:v>0.98640000000000005</c:v>
                </c:pt>
                <c:pt idx="7027">
                  <c:v>0.97629999999999995</c:v>
                </c:pt>
                <c:pt idx="7028">
                  <c:v>0.98440000000000005</c:v>
                </c:pt>
                <c:pt idx="7029">
                  <c:v>0.98570000000000002</c:v>
                </c:pt>
                <c:pt idx="7030">
                  <c:v>0.99299999999999999</c:v>
                </c:pt>
                <c:pt idx="7031">
                  <c:v>0.98540000000000005</c:v>
                </c:pt>
                <c:pt idx="7032">
                  <c:v>0.97889999999999999</c:v>
                </c:pt>
                <c:pt idx="7033">
                  <c:v>0.97850000000000004</c:v>
                </c:pt>
                <c:pt idx="7034">
                  <c:v>0.97350000000000003</c:v>
                </c:pt>
                <c:pt idx="7035">
                  <c:v>0.96340000000000003</c:v>
                </c:pt>
                <c:pt idx="7036">
                  <c:v>0.96179999999999999</c:v>
                </c:pt>
                <c:pt idx="7037">
                  <c:v>0.95709999999999995</c:v>
                </c:pt>
                <c:pt idx="7038">
                  <c:v>0.96389999999999998</c:v>
                </c:pt>
                <c:pt idx="7039">
                  <c:v>0.9758</c:v>
                </c:pt>
                <c:pt idx="7040">
                  <c:v>0.98770000000000002</c:v>
                </c:pt>
                <c:pt idx="7041">
                  <c:v>0.99039999999999995</c:v>
                </c:pt>
                <c:pt idx="7042">
                  <c:v>0.97960000000000003</c:v>
                </c:pt>
                <c:pt idx="7043">
                  <c:v>0.9869</c:v>
                </c:pt>
                <c:pt idx="7044">
                  <c:v>0.98529999999999995</c:v>
                </c:pt>
                <c:pt idx="7045">
                  <c:v>0.98429999999999995</c:v>
                </c:pt>
                <c:pt idx="7046">
                  <c:v>0.995</c:v>
                </c:pt>
                <c:pt idx="7047">
                  <c:v>0.99580000000000002</c:v>
                </c:pt>
                <c:pt idx="7048">
                  <c:v>0.98640000000000005</c:v>
                </c:pt>
                <c:pt idx="7049">
                  <c:v>0.9909</c:v>
                </c:pt>
                <c:pt idx="7050">
                  <c:v>0.98799999999999999</c:v>
                </c:pt>
                <c:pt idx="7051">
                  <c:v>0.99639999999999995</c:v>
                </c:pt>
                <c:pt idx="7052">
                  <c:v>0.99729999999999996</c:v>
                </c:pt>
                <c:pt idx="7053">
                  <c:v>1.0013000000000001</c:v>
                </c:pt>
                <c:pt idx="7054">
                  <c:v>1.0039</c:v>
                </c:pt>
                <c:pt idx="7055">
                  <c:v>1.0039</c:v>
                </c:pt>
                <c:pt idx="7056">
                  <c:v>1.0039</c:v>
                </c:pt>
                <c:pt idx="7057">
                  <c:v>1.0105999999999999</c:v>
                </c:pt>
                <c:pt idx="7058">
                  <c:v>1.0169999999999999</c:v>
                </c:pt>
                <c:pt idx="7059">
                  <c:v>1.0163</c:v>
                </c:pt>
                <c:pt idx="7060">
                  <c:v>1.0163</c:v>
                </c:pt>
                <c:pt idx="7061">
                  <c:v>1.0099</c:v>
                </c:pt>
                <c:pt idx="7062">
                  <c:v>1.0014000000000001</c:v>
                </c:pt>
                <c:pt idx="7063">
                  <c:v>0.99670000000000003</c:v>
                </c:pt>
                <c:pt idx="7064">
                  <c:v>0.99329999999999996</c:v>
                </c:pt>
                <c:pt idx="7065">
                  <c:v>0.99580000000000002</c:v>
                </c:pt>
                <c:pt idx="7066">
                  <c:v>0.98460000000000003</c:v>
                </c:pt>
                <c:pt idx="7067">
                  <c:v>0.98480000000000001</c:v>
                </c:pt>
                <c:pt idx="7068">
                  <c:v>0.99470000000000003</c:v>
                </c:pt>
                <c:pt idx="7069">
                  <c:v>0.99639999999999995</c:v>
                </c:pt>
                <c:pt idx="7070">
                  <c:v>0.98770000000000002</c:v>
                </c:pt>
                <c:pt idx="7071">
                  <c:v>0.99390000000000001</c:v>
                </c:pt>
                <c:pt idx="7072">
                  <c:v>1.0033000000000001</c:v>
                </c:pt>
                <c:pt idx="7073">
                  <c:v>0.99660000000000004</c:v>
                </c:pt>
                <c:pt idx="7074">
                  <c:v>0.98609999999999998</c:v>
                </c:pt>
                <c:pt idx="7075">
                  <c:v>0.98809999999999998</c:v>
                </c:pt>
                <c:pt idx="7076">
                  <c:v>0.99590000000000001</c:v>
                </c:pt>
                <c:pt idx="7077">
                  <c:v>0.99590000000000001</c:v>
                </c:pt>
                <c:pt idx="7078">
                  <c:v>0.99639999999999995</c:v>
                </c:pt>
                <c:pt idx="7079">
                  <c:v>0.98939999999999995</c:v>
                </c:pt>
                <c:pt idx="7080">
                  <c:v>0.99239999999999995</c:v>
                </c:pt>
                <c:pt idx="7081">
                  <c:v>1.0037</c:v>
                </c:pt>
                <c:pt idx="7082">
                  <c:v>1.0125</c:v>
                </c:pt>
                <c:pt idx="7083">
                  <c:v>1.0105</c:v>
                </c:pt>
                <c:pt idx="7084">
                  <c:v>1.0185999999999999</c:v>
                </c:pt>
                <c:pt idx="7085">
                  <c:v>1.0135000000000001</c:v>
                </c:pt>
                <c:pt idx="7086">
                  <c:v>1.0145999999999999</c:v>
                </c:pt>
                <c:pt idx="7087">
                  <c:v>1.0133000000000001</c:v>
                </c:pt>
                <c:pt idx="7088">
                  <c:v>1.0074000000000001</c:v>
                </c:pt>
                <c:pt idx="7089">
                  <c:v>0.99909999999999999</c:v>
                </c:pt>
                <c:pt idx="7090">
                  <c:v>1.004</c:v>
                </c:pt>
                <c:pt idx="7091">
                  <c:v>1.0043</c:v>
                </c:pt>
                <c:pt idx="7092">
                  <c:v>0.99980000000000002</c:v>
                </c:pt>
                <c:pt idx="7093">
                  <c:v>1.0035000000000001</c:v>
                </c:pt>
                <c:pt idx="7094">
                  <c:v>1.0125999999999999</c:v>
                </c:pt>
                <c:pt idx="7095">
                  <c:v>1.0117</c:v>
                </c:pt>
                <c:pt idx="7096">
                  <c:v>1.0037</c:v>
                </c:pt>
                <c:pt idx="7097">
                  <c:v>1.0019</c:v>
                </c:pt>
                <c:pt idx="7098">
                  <c:v>1.0075000000000001</c:v>
                </c:pt>
                <c:pt idx="7099">
                  <c:v>1.0134000000000001</c:v>
                </c:pt>
                <c:pt idx="7100">
                  <c:v>1.0163</c:v>
                </c:pt>
                <c:pt idx="7101">
                  <c:v>1.0156000000000001</c:v>
                </c:pt>
                <c:pt idx="7102">
                  <c:v>1.0092000000000001</c:v>
                </c:pt>
                <c:pt idx="7103">
                  <c:v>1.0153000000000001</c:v>
                </c:pt>
                <c:pt idx="7104">
                  <c:v>1.0139</c:v>
                </c:pt>
                <c:pt idx="7105">
                  <c:v>1.0126999999999999</c:v>
                </c:pt>
                <c:pt idx="7106">
                  <c:v>1.0123</c:v>
                </c:pt>
                <c:pt idx="7107">
                  <c:v>1.0067999999999999</c:v>
                </c:pt>
                <c:pt idx="7108">
                  <c:v>1.0049999999999999</c:v>
                </c:pt>
                <c:pt idx="7109">
                  <c:v>1.0032000000000001</c:v>
                </c:pt>
                <c:pt idx="7110">
                  <c:v>1.0076000000000001</c:v>
                </c:pt>
                <c:pt idx="7111">
                  <c:v>0.99639999999999995</c:v>
                </c:pt>
                <c:pt idx="7112">
                  <c:v>0.99099999999999999</c:v>
                </c:pt>
                <c:pt idx="7113">
                  <c:v>0.97940000000000005</c:v>
                </c:pt>
                <c:pt idx="7114">
                  <c:v>0.99360000000000004</c:v>
                </c:pt>
                <c:pt idx="7115">
                  <c:v>1.0018</c:v>
                </c:pt>
                <c:pt idx="7116">
                  <c:v>1.006</c:v>
                </c:pt>
                <c:pt idx="7117">
                  <c:v>1.0101</c:v>
                </c:pt>
                <c:pt idx="7118">
                  <c:v>1.0128999999999999</c:v>
                </c:pt>
                <c:pt idx="7119">
                  <c:v>1.0206999999999999</c:v>
                </c:pt>
                <c:pt idx="7120">
                  <c:v>1.026</c:v>
                </c:pt>
                <c:pt idx="7121">
                  <c:v>1.0256000000000001</c:v>
                </c:pt>
                <c:pt idx="7122">
                  <c:v>1.0325</c:v>
                </c:pt>
                <c:pt idx="7123">
                  <c:v>1.0334000000000001</c:v>
                </c:pt>
                <c:pt idx="7124">
                  <c:v>1.0345</c:v>
                </c:pt>
                <c:pt idx="7125">
                  <c:v>1.0385</c:v>
                </c:pt>
                <c:pt idx="7126">
                  <c:v>1.0327999999999999</c:v>
                </c:pt>
                <c:pt idx="7127">
                  <c:v>1.0356000000000001</c:v>
                </c:pt>
                <c:pt idx="7128">
                  <c:v>1.0465</c:v>
                </c:pt>
                <c:pt idx="7129">
                  <c:v>1.0522</c:v>
                </c:pt>
                <c:pt idx="7130">
                  <c:v>1.0564</c:v>
                </c:pt>
                <c:pt idx="7131">
                  <c:v>1.0438000000000001</c:v>
                </c:pt>
                <c:pt idx="7132">
                  <c:v>1.0478000000000001</c:v>
                </c:pt>
                <c:pt idx="7133">
                  <c:v>1.0533999999999999</c:v>
                </c:pt>
                <c:pt idx="7134">
                  <c:v>1.0524</c:v>
                </c:pt>
                <c:pt idx="7135">
                  <c:v>1.0563</c:v>
                </c:pt>
                <c:pt idx="7136">
                  <c:v>1.0463</c:v>
                </c:pt>
                <c:pt idx="7137">
                  <c:v>1.0583</c:v>
                </c:pt>
                <c:pt idx="7138">
                  <c:v>1.0769</c:v>
                </c:pt>
                <c:pt idx="7139">
                  <c:v>1.0769</c:v>
                </c:pt>
                <c:pt idx="7140">
                  <c:v>1.0769</c:v>
                </c:pt>
                <c:pt idx="7141">
                  <c:v>1.0769</c:v>
                </c:pt>
                <c:pt idx="7142">
                  <c:v>1.0834999999999999</c:v>
                </c:pt>
                <c:pt idx="7143">
                  <c:v>1.0925</c:v>
                </c:pt>
                <c:pt idx="7144">
                  <c:v>1.0900000000000001</c:v>
                </c:pt>
                <c:pt idx="7145">
                  <c:v>1.0939000000000001</c:v>
                </c:pt>
                <c:pt idx="7146">
                  <c:v>1.0919000000000001</c:v>
                </c:pt>
                <c:pt idx="7147">
                  <c:v>1.0829</c:v>
                </c:pt>
                <c:pt idx="7148">
                  <c:v>1.0741000000000001</c:v>
                </c:pt>
                <c:pt idx="7149">
                  <c:v>1.0698000000000001</c:v>
                </c:pt>
                <c:pt idx="7150">
                  <c:v>1.0767</c:v>
                </c:pt>
                <c:pt idx="7151">
                  <c:v>1.0749</c:v>
                </c:pt>
                <c:pt idx="7152">
                  <c:v>1.0866</c:v>
                </c:pt>
                <c:pt idx="7153">
                  <c:v>1.0617000000000001</c:v>
                </c:pt>
                <c:pt idx="7154">
                  <c:v>1.0669999999999999</c:v>
                </c:pt>
                <c:pt idx="7155">
                  <c:v>1.0553999999999999</c:v>
                </c:pt>
                <c:pt idx="7156">
                  <c:v>1.0606</c:v>
                </c:pt>
                <c:pt idx="7157">
                  <c:v>1.0630999999999999</c:v>
                </c:pt>
                <c:pt idx="7158">
                  <c:v>1.0641</c:v>
                </c:pt>
                <c:pt idx="7159">
                  <c:v>1.0665</c:v>
                </c:pt>
                <c:pt idx="7160">
                  <c:v>1.0557000000000001</c:v>
                </c:pt>
                <c:pt idx="7161">
                  <c:v>1.0547</c:v>
                </c:pt>
                <c:pt idx="7162">
                  <c:v>1.0462</c:v>
                </c:pt>
                <c:pt idx="7163">
                  <c:v>1.0610999999999999</c:v>
                </c:pt>
                <c:pt idx="7164">
                  <c:v>1.0684</c:v>
                </c:pt>
                <c:pt idx="7165">
                  <c:v>1.0683</c:v>
                </c:pt>
                <c:pt idx="7166">
                  <c:v>1.0709</c:v>
                </c:pt>
                <c:pt idx="7167">
                  <c:v>1.0748</c:v>
                </c:pt>
                <c:pt idx="7168">
                  <c:v>1.0621</c:v>
                </c:pt>
                <c:pt idx="7169">
                  <c:v>1.0666</c:v>
                </c:pt>
                <c:pt idx="7170">
                  <c:v>1.0741000000000001</c:v>
                </c:pt>
                <c:pt idx="7171">
                  <c:v>1.0681</c:v>
                </c:pt>
                <c:pt idx="7172">
                  <c:v>1.0670999999999999</c:v>
                </c:pt>
                <c:pt idx="7173">
                  <c:v>1.0581</c:v>
                </c:pt>
                <c:pt idx="7174">
                  <c:v>1.0598000000000001</c:v>
                </c:pt>
                <c:pt idx="7175">
                  <c:v>1.0598000000000001</c:v>
                </c:pt>
                <c:pt idx="7176">
                  <c:v>1.0636000000000001</c:v>
                </c:pt>
                <c:pt idx="7177">
                  <c:v>1.0707</c:v>
                </c:pt>
                <c:pt idx="7178">
                  <c:v>1.0527</c:v>
                </c:pt>
                <c:pt idx="7179">
                  <c:v>1.0522</c:v>
                </c:pt>
                <c:pt idx="7180">
                  <c:v>1.0543</c:v>
                </c:pt>
                <c:pt idx="7181">
                  <c:v>1.0562</c:v>
                </c:pt>
                <c:pt idx="7182">
                  <c:v>1.0592999999999999</c:v>
                </c:pt>
                <c:pt idx="7183">
                  <c:v>1.0549999999999999</c:v>
                </c:pt>
                <c:pt idx="7184">
                  <c:v>1.054</c:v>
                </c:pt>
                <c:pt idx="7185">
                  <c:v>1.0425</c:v>
                </c:pt>
                <c:pt idx="7186">
                  <c:v>1.0445</c:v>
                </c:pt>
                <c:pt idx="7187">
                  <c:v>1.0564</c:v>
                </c:pt>
                <c:pt idx="7188">
                  <c:v>1.0739000000000001</c:v>
                </c:pt>
                <c:pt idx="7189">
                  <c:v>1.0714999999999999</c:v>
                </c:pt>
                <c:pt idx="7190">
                  <c:v>1.0727</c:v>
                </c:pt>
                <c:pt idx="7191">
                  <c:v>1.0674999999999999</c:v>
                </c:pt>
                <c:pt idx="7192">
                  <c:v>1.073</c:v>
                </c:pt>
                <c:pt idx="7193">
                  <c:v>1.0730999999999999</c:v>
                </c:pt>
                <c:pt idx="7194">
                  <c:v>1.0772999999999999</c:v>
                </c:pt>
                <c:pt idx="7195">
                  <c:v>1.0719000000000001</c:v>
                </c:pt>
                <c:pt idx="7196">
                  <c:v>1.0606</c:v>
                </c:pt>
                <c:pt idx="7197">
                  <c:v>1.0643</c:v>
                </c:pt>
                <c:pt idx="7198">
                  <c:v>1.0729</c:v>
                </c:pt>
                <c:pt idx="7199">
                  <c:v>1.0703</c:v>
                </c:pt>
                <c:pt idx="7200">
                  <c:v>1.0603</c:v>
                </c:pt>
                <c:pt idx="7201">
                  <c:v>1.0615000000000001</c:v>
                </c:pt>
                <c:pt idx="7202">
                  <c:v>1.0713999999999999</c:v>
                </c:pt>
                <c:pt idx="7203">
                  <c:v>1.0737000000000001</c:v>
                </c:pt>
                <c:pt idx="7204">
                  <c:v>1.0849</c:v>
                </c:pt>
                <c:pt idx="7205">
                  <c:v>1.0823</c:v>
                </c:pt>
                <c:pt idx="7206">
                  <c:v>1.0924</c:v>
                </c:pt>
                <c:pt idx="7207">
                  <c:v>1.1052</c:v>
                </c:pt>
                <c:pt idx="7208">
                  <c:v>1.1054999999999999</c:v>
                </c:pt>
                <c:pt idx="7209">
                  <c:v>1.0953999999999999</c:v>
                </c:pt>
                <c:pt idx="7210">
                  <c:v>1.0953999999999999</c:v>
                </c:pt>
                <c:pt idx="7211">
                  <c:v>1.0924</c:v>
                </c:pt>
                <c:pt idx="7212">
                  <c:v>1.0745</c:v>
                </c:pt>
                <c:pt idx="7213">
                  <c:v>1.0657000000000001</c:v>
                </c:pt>
                <c:pt idx="7214">
                  <c:v>1.0476000000000001</c:v>
                </c:pt>
                <c:pt idx="7215">
                  <c:v>1.0307999999999999</c:v>
                </c:pt>
                <c:pt idx="7216">
                  <c:v>1.0176000000000001</c:v>
                </c:pt>
                <c:pt idx="7217">
                  <c:v>1.0345</c:v>
                </c:pt>
                <c:pt idx="7218">
                  <c:v>1.0269999999999999</c:v>
                </c:pt>
                <c:pt idx="7219">
                  <c:v>1.0289999999999999</c:v>
                </c:pt>
                <c:pt idx="7220">
                  <c:v>1.0428999999999999</c:v>
                </c:pt>
                <c:pt idx="7221">
                  <c:v>1.0467</c:v>
                </c:pt>
                <c:pt idx="7222">
                  <c:v>1.0489999999999999</c:v>
                </c:pt>
                <c:pt idx="7223">
                  <c:v>1.0505</c:v>
                </c:pt>
                <c:pt idx="7224">
                  <c:v>1.0338000000000001</c:v>
                </c:pt>
                <c:pt idx="7225">
                  <c:v>1.0392999999999999</c:v>
                </c:pt>
                <c:pt idx="7226">
                  <c:v>1.0461</c:v>
                </c:pt>
                <c:pt idx="7227">
                  <c:v>1.0481</c:v>
                </c:pt>
                <c:pt idx="7228">
                  <c:v>1.0437000000000001</c:v>
                </c:pt>
                <c:pt idx="7229">
                  <c:v>1.0488</c:v>
                </c:pt>
                <c:pt idx="7230">
                  <c:v>1.0623</c:v>
                </c:pt>
                <c:pt idx="7231">
                  <c:v>1.0674999999999999</c:v>
                </c:pt>
                <c:pt idx="7232">
                  <c:v>1.0690999999999999</c:v>
                </c:pt>
                <c:pt idx="7233">
                  <c:v>1.0703</c:v>
                </c:pt>
                <c:pt idx="7234">
                  <c:v>1.0702</c:v>
                </c:pt>
                <c:pt idx="7235">
                  <c:v>1.0588</c:v>
                </c:pt>
                <c:pt idx="7236">
                  <c:v>1.0508999999999999</c:v>
                </c:pt>
                <c:pt idx="7237">
                  <c:v>1.0596000000000001</c:v>
                </c:pt>
                <c:pt idx="7238">
                  <c:v>1.0596000000000001</c:v>
                </c:pt>
                <c:pt idx="7239">
                  <c:v>1.0613999999999999</c:v>
                </c:pt>
                <c:pt idx="7240">
                  <c:v>1.0339</c:v>
                </c:pt>
                <c:pt idx="7241">
                  <c:v>1.0343</c:v>
                </c:pt>
                <c:pt idx="7242">
                  <c:v>1.0215000000000001</c:v>
                </c:pt>
                <c:pt idx="7243">
                  <c:v>1.0215000000000001</c:v>
                </c:pt>
                <c:pt idx="7244">
                  <c:v>1.0345</c:v>
                </c:pt>
                <c:pt idx="7245">
                  <c:v>1.0223</c:v>
                </c:pt>
                <c:pt idx="7246">
                  <c:v>1.0190999999999999</c:v>
                </c:pt>
                <c:pt idx="7247">
                  <c:v>1.0278</c:v>
                </c:pt>
                <c:pt idx="7248">
                  <c:v>1.0026999999999999</c:v>
                </c:pt>
                <c:pt idx="7249">
                  <c:v>0.97599999999999998</c:v>
                </c:pt>
                <c:pt idx="7250">
                  <c:v>0.96719999999999995</c:v>
                </c:pt>
                <c:pt idx="7251">
                  <c:v>0.9889</c:v>
                </c:pt>
                <c:pt idx="7252">
                  <c:v>0.98529999999999995</c:v>
                </c:pt>
                <c:pt idx="7253">
                  <c:v>0.98080000000000001</c:v>
                </c:pt>
                <c:pt idx="7254">
                  <c:v>0.97809999999999997</c:v>
                </c:pt>
                <c:pt idx="7255">
                  <c:v>0.97809999999999997</c:v>
                </c:pt>
                <c:pt idx="7256">
                  <c:v>0.95</c:v>
                </c:pt>
                <c:pt idx="7257">
                  <c:v>0.95440000000000003</c:v>
                </c:pt>
                <c:pt idx="7258">
                  <c:v>0.96409999999999996</c:v>
                </c:pt>
                <c:pt idx="7259">
                  <c:v>0.97819999999999996</c:v>
                </c:pt>
                <c:pt idx="7260">
                  <c:v>0.98380000000000001</c:v>
                </c:pt>
                <c:pt idx="7261">
                  <c:v>0.99719999999999998</c:v>
                </c:pt>
                <c:pt idx="7262">
                  <c:v>0.99150000000000005</c:v>
                </c:pt>
                <c:pt idx="7263">
                  <c:v>1.0199</c:v>
                </c:pt>
                <c:pt idx="7264">
                  <c:v>1.0192000000000001</c:v>
                </c:pt>
                <c:pt idx="7265">
                  <c:v>1.0302</c:v>
                </c:pt>
                <c:pt idx="7266">
                  <c:v>1.0202</c:v>
                </c:pt>
                <c:pt idx="7267">
                  <c:v>1.0317000000000001</c:v>
                </c:pt>
                <c:pt idx="7268">
                  <c:v>1.0177</c:v>
                </c:pt>
                <c:pt idx="7269">
                  <c:v>1.0216000000000001</c:v>
                </c:pt>
                <c:pt idx="7270">
                  <c:v>1.0398000000000001</c:v>
                </c:pt>
                <c:pt idx="7271">
                  <c:v>1.0469999999999999</c:v>
                </c:pt>
                <c:pt idx="7272">
                  <c:v>1.0376000000000001</c:v>
                </c:pt>
                <c:pt idx="7273">
                  <c:v>1.0488999999999999</c:v>
                </c:pt>
                <c:pt idx="7274">
                  <c:v>1.0664</c:v>
                </c:pt>
                <c:pt idx="7275">
                  <c:v>1.0508999999999999</c:v>
                </c:pt>
                <c:pt idx="7276">
                  <c:v>1.0455000000000001</c:v>
                </c:pt>
                <c:pt idx="7277">
                  <c:v>1.0355000000000001</c:v>
                </c:pt>
                <c:pt idx="7278">
                  <c:v>1.0248999999999999</c:v>
                </c:pt>
                <c:pt idx="7279">
                  <c:v>1.0383</c:v>
                </c:pt>
                <c:pt idx="7280">
                  <c:v>1.0368999999999999</c:v>
                </c:pt>
                <c:pt idx="7281">
                  <c:v>1.0325</c:v>
                </c:pt>
                <c:pt idx="7282">
                  <c:v>1.0355000000000001</c:v>
                </c:pt>
                <c:pt idx="7283">
                  <c:v>1.0145999999999999</c:v>
                </c:pt>
                <c:pt idx="7284">
                  <c:v>1.016</c:v>
                </c:pt>
                <c:pt idx="7285">
                  <c:v>1.0297000000000001</c:v>
                </c:pt>
                <c:pt idx="7286">
                  <c:v>1.0168999999999999</c:v>
                </c:pt>
                <c:pt idx="7287">
                  <c:v>1.0085999999999999</c:v>
                </c:pt>
                <c:pt idx="7288">
                  <c:v>1.01</c:v>
                </c:pt>
                <c:pt idx="7289">
                  <c:v>0.99970000000000003</c:v>
                </c:pt>
                <c:pt idx="7290">
                  <c:v>0.99790000000000001</c:v>
                </c:pt>
                <c:pt idx="7291">
                  <c:v>0.98419999999999996</c:v>
                </c:pt>
                <c:pt idx="7292">
                  <c:v>0.97709999999999997</c:v>
                </c:pt>
                <c:pt idx="7293">
                  <c:v>0.97260000000000002</c:v>
                </c:pt>
                <c:pt idx="7294">
                  <c:v>0.96989999999999998</c:v>
                </c:pt>
                <c:pt idx="7295">
                  <c:v>0.98370000000000002</c:v>
                </c:pt>
                <c:pt idx="7296">
                  <c:v>0.99319999999999997</c:v>
                </c:pt>
                <c:pt idx="7297">
                  <c:v>1.0021</c:v>
                </c:pt>
                <c:pt idx="7298">
                  <c:v>1.0256000000000001</c:v>
                </c:pt>
                <c:pt idx="7299">
                  <c:v>1.0223</c:v>
                </c:pt>
                <c:pt idx="7300">
                  <c:v>1.0214000000000001</c:v>
                </c:pt>
                <c:pt idx="7301">
                  <c:v>1.0176000000000001</c:v>
                </c:pt>
                <c:pt idx="7302">
                  <c:v>1.0266</c:v>
                </c:pt>
                <c:pt idx="7303">
                  <c:v>1.0268999999999999</c:v>
                </c:pt>
                <c:pt idx="7304">
                  <c:v>1.0130999999999999</c:v>
                </c:pt>
                <c:pt idx="7305">
                  <c:v>1.0165999999999999</c:v>
                </c:pt>
                <c:pt idx="7306">
                  <c:v>1.0093000000000001</c:v>
                </c:pt>
                <c:pt idx="7307">
                  <c:v>1.0017</c:v>
                </c:pt>
                <c:pt idx="7308">
                  <c:v>0.98950000000000005</c:v>
                </c:pt>
                <c:pt idx="7309">
                  <c:v>0.99850000000000005</c:v>
                </c:pt>
                <c:pt idx="7310">
                  <c:v>0.9909</c:v>
                </c:pt>
                <c:pt idx="7311">
                  <c:v>0.99380000000000002</c:v>
                </c:pt>
                <c:pt idx="7312">
                  <c:v>1.0138</c:v>
                </c:pt>
                <c:pt idx="7313">
                  <c:v>1.0082</c:v>
                </c:pt>
                <c:pt idx="7314">
                  <c:v>1.0169999999999999</c:v>
                </c:pt>
                <c:pt idx="7315">
                  <c:v>1.0169999999999999</c:v>
                </c:pt>
                <c:pt idx="7316">
                  <c:v>1.0169999999999999</c:v>
                </c:pt>
                <c:pt idx="7317">
                  <c:v>1.0156000000000001</c:v>
                </c:pt>
                <c:pt idx="7318">
                  <c:v>1.0101</c:v>
                </c:pt>
                <c:pt idx="7319">
                  <c:v>1.0156000000000001</c:v>
                </c:pt>
                <c:pt idx="7320">
                  <c:v>1.0156000000000001</c:v>
                </c:pt>
                <c:pt idx="7321">
                  <c:v>1.0294000000000001</c:v>
                </c:pt>
                <c:pt idx="7322">
                  <c:v>1.0353000000000001</c:v>
                </c:pt>
                <c:pt idx="7323">
                  <c:v>1.0323</c:v>
                </c:pt>
                <c:pt idx="7324">
                  <c:v>1.0221</c:v>
                </c:pt>
                <c:pt idx="7325">
                  <c:v>1.0169999999999999</c:v>
                </c:pt>
                <c:pt idx="7326">
                  <c:v>1.0310999999999999</c:v>
                </c:pt>
                <c:pt idx="7327">
                  <c:v>1.0284</c:v>
                </c:pt>
                <c:pt idx="7328">
                  <c:v>1.0296000000000001</c:v>
                </c:pt>
                <c:pt idx="7329">
                  <c:v>1.032</c:v>
                </c:pt>
                <c:pt idx="7330">
                  <c:v>1.0278</c:v>
                </c:pt>
                <c:pt idx="7331">
                  <c:v>1.0377000000000001</c:v>
                </c:pt>
                <c:pt idx="7332">
                  <c:v>1.04</c:v>
                </c:pt>
                <c:pt idx="7333">
                  <c:v>1.0395000000000001</c:v>
                </c:pt>
                <c:pt idx="7334">
                  <c:v>1.0401</c:v>
                </c:pt>
                <c:pt idx="7335">
                  <c:v>1.0489999999999999</c:v>
                </c:pt>
                <c:pt idx="7336">
                  <c:v>1.0494000000000001</c:v>
                </c:pt>
                <c:pt idx="7337">
                  <c:v>1.0512999999999999</c:v>
                </c:pt>
                <c:pt idx="7338">
                  <c:v>1.0512999999999999</c:v>
                </c:pt>
                <c:pt idx="7339">
                  <c:v>1.0615000000000001</c:v>
                </c:pt>
                <c:pt idx="7340">
                  <c:v>1.0589</c:v>
                </c:pt>
                <c:pt idx="7341">
                  <c:v>1.0637000000000001</c:v>
                </c:pt>
                <c:pt idx="7342">
                  <c:v>1.0609999999999999</c:v>
                </c:pt>
                <c:pt idx="7343">
                  <c:v>1.0714999999999999</c:v>
                </c:pt>
                <c:pt idx="7344">
                  <c:v>1.0682</c:v>
                </c:pt>
                <c:pt idx="7345">
                  <c:v>1.0718000000000001</c:v>
                </c:pt>
                <c:pt idx="7346">
                  <c:v>1.0778000000000001</c:v>
                </c:pt>
                <c:pt idx="7347">
                  <c:v>1.0791999999999999</c:v>
                </c:pt>
                <c:pt idx="7348">
                  <c:v>1.08</c:v>
                </c:pt>
                <c:pt idx="7349">
                  <c:v>1.0712999999999999</c:v>
                </c:pt>
                <c:pt idx="7350">
                  <c:v>1.0740000000000001</c:v>
                </c:pt>
                <c:pt idx="7351">
                  <c:v>1.0678000000000001</c:v>
                </c:pt>
                <c:pt idx="7352">
                  <c:v>1.0737000000000001</c:v>
                </c:pt>
                <c:pt idx="7353">
                  <c:v>1.0683</c:v>
                </c:pt>
                <c:pt idx="7354">
                  <c:v>1.0771999999999999</c:v>
                </c:pt>
                <c:pt idx="7355">
                  <c:v>1.0777000000000001</c:v>
                </c:pt>
                <c:pt idx="7356">
                  <c:v>1.0724</c:v>
                </c:pt>
                <c:pt idx="7357">
                  <c:v>1.0651999999999999</c:v>
                </c:pt>
                <c:pt idx="7358">
                  <c:v>1.0646</c:v>
                </c:pt>
                <c:pt idx="7359">
                  <c:v>1.0738000000000001</c:v>
                </c:pt>
                <c:pt idx="7360">
                  <c:v>1.0689</c:v>
                </c:pt>
                <c:pt idx="7361">
                  <c:v>1.0777000000000001</c:v>
                </c:pt>
                <c:pt idx="7362">
                  <c:v>1.0815999999999999</c:v>
                </c:pt>
                <c:pt idx="7363">
                  <c:v>1.0763</c:v>
                </c:pt>
                <c:pt idx="7364">
                  <c:v>1.0792999999999999</c:v>
                </c:pt>
                <c:pt idx="7365">
                  <c:v>1.0717000000000001</c:v>
                </c:pt>
                <c:pt idx="7366">
                  <c:v>1.0613999999999999</c:v>
                </c:pt>
                <c:pt idx="7367">
                  <c:v>1.0539000000000001</c:v>
                </c:pt>
                <c:pt idx="7368">
                  <c:v>1.0602</c:v>
                </c:pt>
                <c:pt idx="7369">
                  <c:v>1.0658000000000001</c:v>
                </c:pt>
                <c:pt idx="7370">
                  <c:v>1.0532999999999999</c:v>
                </c:pt>
                <c:pt idx="7371">
                  <c:v>1.0552999999999999</c:v>
                </c:pt>
                <c:pt idx="7372">
                  <c:v>1.0547</c:v>
                </c:pt>
                <c:pt idx="7373">
                  <c:v>1.0467</c:v>
                </c:pt>
                <c:pt idx="7374">
                  <c:v>1.0536000000000001</c:v>
                </c:pt>
                <c:pt idx="7375">
                  <c:v>1.0608</c:v>
                </c:pt>
                <c:pt idx="7376">
                  <c:v>1.0569999999999999</c:v>
                </c:pt>
                <c:pt idx="7377">
                  <c:v>1.0491999999999999</c:v>
                </c:pt>
                <c:pt idx="7378">
                  <c:v>1.0395000000000001</c:v>
                </c:pt>
                <c:pt idx="7379">
                  <c:v>1.0397000000000001</c:v>
                </c:pt>
                <c:pt idx="7380">
                  <c:v>1.0450999999999999</c:v>
                </c:pt>
                <c:pt idx="7381">
                  <c:v>1.0517000000000001</c:v>
                </c:pt>
                <c:pt idx="7382">
                  <c:v>1.0427</c:v>
                </c:pt>
                <c:pt idx="7383">
                  <c:v>1.0370999999999999</c:v>
                </c:pt>
                <c:pt idx="7384">
                  <c:v>1.0402</c:v>
                </c:pt>
                <c:pt idx="7385">
                  <c:v>1.0390999999999999</c:v>
                </c:pt>
                <c:pt idx="7386">
                  <c:v>1.0401</c:v>
                </c:pt>
                <c:pt idx="7387">
                  <c:v>1.0283</c:v>
                </c:pt>
                <c:pt idx="7388">
                  <c:v>1.0304</c:v>
                </c:pt>
                <c:pt idx="7389">
                  <c:v>1.0304</c:v>
                </c:pt>
                <c:pt idx="7390">
                  <c:v>1.0304</c:v>
                </c:pt>
                <c:pt idx="7391">
                  <c:v>1.0318000000000001</c:v>
                </c:pt>
                <c:pt idx="7392">
                  <c:v>1.0288999999999999</c:v>
                </c:pt>
                <c:pt idx="7393">
                  <c:v>1.0379</c:v>
                </c:pt>
                <c:pt idx="7394">
                  <c:v>1.0396000000000001</c:v>
                </c:pt>
                <c:pt idx="7395">
                  <c:v>1.0330999999999999</c:v>
                </c:pt>
                <c:pt idx="7396">
                  <c:v>1.0318000000000001</c:v>
                </c:pt>
                <c:pt idx="7397">
                  <c:v>1.0402</c:v>
                </c:pt>
                <c:pt idx="7398">
                  <c:v>1.0354000000000001</c:v>
                </c:pt>
                <c:pt idx="7399">
                  <c:v>1.0336000000000001</c:v>
                </c:pt>
                <c:pt idx="7400">
                  <c:v>1.0339</c:v>
                </c:pt>
                <c:pt idx="7401">
                  <c:v>1.0262</c:v>
                </c:pt>
                <c:pt idx="7402">
                  <c:v>1.0262</c:v>
                </c:pt>
                <c:pt idx="7403">
                  <c:v>1.0381</c:v>
                </c:pt>
                <c:pt idx="7404">
                  <c:v>1.0368999999999999</c:v>
                </c:pt>
                <c:pt idx="7405">
                  <c:v>1.0452999999999999</c:v>
                </c:pt>
                <c:pt idx="7406">
                  <c:v>1.0339</c:v>
                </c:pt>
                <c:pt idx="7407">
                  <c:v>1.0342</c:v>
                </c:pt>
                <c:pt idx="7408">
                  <c:v>1.0305</c:v>
                </c:pt>
                <c:pt idx="7409">
                  <c:v>1.0266999999999999</c:v>
                </c:pt>
                <c:pt idx="7410">
                  <c:v>1.0145999999999999</c:v>
                </c:pt>
                <c:pt idx="7411">
                  <c:v>1.0192000000000001</c:v>
                </c:pt>
                <c:pt idx="7412">
                  <c:v>1.0074000000000001</c:v>
                </c:pt>
                <c:pt idx="7413">
                  <c:v>1.0105</c:v>
                </c:pt>
                <c:pt idx="7414">
                  <c:v>1.0053000000000001</c:v>
                </c:pt>
                <c:pt idx="7415">
                  <c:v>1.0013000000000001</c:v>
                </c:pt>
                <c:pt idx="7416">
                  <c:v>0.99950000000000006</c:v>
                </c:pt>
                <c:pt idx="7417">
                  <c:v>0.99150000000000005</c:v>
                </c:pt>
                <c:pt idx="7418">
                  <c:v>0.99580000000000002</c:v>
                </c:pt>
                <c:pt idx="7419">
                  <c:v>0.98180000000000001</c:v>
                </c:pt>
                <c:pt idx="7420">
                  <c:v>0.98540000000000005</c:v>
                </c:pt>
                <c:pt idx="7421">
                  <c:v>0.99250000000000005</c:v>
                </c:pt>
                <c:pt idx="7422">
                  <c:v>0.97770000000000001</c:v>
                </c:pt>
                <c:pt idx="7423">
                  <c:v>0.9758</c:v>
                </c:pt>
                <c:pt idx="7424">
                  <c:v>0.97440000000000004</c:v>
                </c:pt>
                <c:pt idx="7425">
                  <c:v>0.98670000000000002</c:v>
                </c:pt>
                <c:pt idx="7426">
                  <c:v>0.98640000000000005</c:v>
                </c:pt>
                <c:pt idx="7427">
                  <c:v>0.97960000000000003</c:v>
                </c:pt>
                <c:pt idx="7428">
                  <c:v>0.97270000000000001</c:v>
                </c:pt>
                <c:pt idx="7429">
                  <c:v>0.97</c:v>
                </c:pt>
                <c:pt idx="7430">
                  <c:v>0.96750000000000003</c:v>
                </c:pt>
                <c:pt idx="7431">
                  <c:v>0.97940000000000005</c:v>
                </c:pt>
                <c:pt idx="7432">
                  <c:v>0.9829</c:v>
                </c:pt>
                <c:pt idx="7433">
                  <c:v>0.99619999999999997</c:v>
                </c:pt>
                <c:pt idx="7434">
                  <c:v>0.98519999999999996</c:v>
                </c:pt>
                <c:pt idx="7435">
                  <c:v>0.98519999999999996</c:v>
                </c:pt>
                <c:pt idx="7436">
                  <c:v>0.98980000000000001</c:v>
                </c:pt>
                <c:pt idx="7437">
                  <c:v>0.99460000000000004</c:v>
                </c:pt>
                <c:pt idx="7438">
                  <c:v>0.99560000000000004</c:v>
                </c:pt>
                <c:pt idx="7439">
                  <c:v>1.0015000000000001</c:v>
                </c:pt>
                <c:pt idx="7440">
                  <c:v>1.012</c:v>
                </c:pt>
                <c:pt idx="7441">
                  <c:v>1.0130999999999999</c:v>
                </c:pt>
                <c:pt idx="7442">
                  <c:v>1.0189999999999999</c:v>
                </c:pt>
                <c:pt idx="7443">
                  <c:v>1.0164</c:v>
                </c:pt>
                <c:pt idx="7444">
                  <c:v>1.0057</c:v>
                </c:pt>
                <c:pt idx="7445">
                  <c:v>1.0031000000000001</c:v>
                </c:pt>
                <c:pt idx="7446">
                  <c:v>1.0034000000000001</c:v>
                </c:pt>
                <c:pt idx="7447">
                  <c:v>1.0065</c:v>
                </c:pt>
                <c:pt idx="7448">
                  <c:v>1.0118</c:v>
                </c:pt>
                <c:pt idx="7449">
                  <c:v>1.0190999999999999</c:v>
                </c:pt>
                <c:pt idx="7450">
                  <c:v>1.0226999999999999</c:v>
                </c:pt>
                <c:pt idx="7451">
                  <c:v>1.0269999999999999</c:v>
                </c:pt>
                <c:pt idx="7452">
                  <c:v>1.0295000000000001</c:v>
                </c:pt>
                <c:pt idx="7453">
                  <c:v>1.0266999999999999</c:v>
                </c:pt>
                <c:pt idx="7454">
                  <c:v>1.026</c:v>
                </c:pt>
                <c:pt idx="7455">
                  <c:v>1.0189999999999999</c:v>
                </c:pt>
                <c:pt idx="7456">
                  <c:v>1.0176000000000001</c:v>
                </c:pt>
                <c:pt idx="7457">
                  <c:v>1.0214000000000001</c:v>
                </c:pt>
                <c:pt idx="7458">
                  <c:v>1.0169999999999999</c:v>
                </c:pt>
                <c:pt idx="7459">
                  <c:v>1.0163</c:v>
                </c:pt>
                <c:pt idx="7460">
                  <c:v>1.0234000000000001</c:v>
                </c:pt>
                <c:pt idx="7461">
                  <c:v>1.0294000000000001</c:v>
                </c:pt>
                <c:pt idx="7462">
                  <c:v>1.03</c:v>
                </c:pt>
                <c:pt idx="7463">
                  <c:v>1.0389999999999999</c:v>
                </c:pt>
                <c:pt idx="7464">
                  <c:v>1.0403</c:v>
                </c:pt>
                <c:pt idx="7465">
                  <c:v>1.0314000000000001</c:v>
                </c:pt>
                <c:pt idx="7466">
                  <c:v>1.0304</c:v>
                </c:pt>
                <c:pt idx="7467">
                  <c:v>1.022</c:v>
                </c:pt>
                <c:pt idx="7468">
                  <c:v>1.0330999999999999</c:v>
                </c:pt>
                <c:pt idx="7469">
                  <c:v>1.0426</c:v>
                </c:pt>
                <c:pt idx="7470">
                  <c:v>1.0464</c:v>
                </c:pt>
                <c:pt idx="7471">
                  <c:v>1.0526</c:v>
                </c:pt>
                <c:pt idx="7472">
                  <c:v>1.0507</c:v>
                </c:pt>
                <c:pt idx="7473">
                  <c:v>1.0483</c:v>
                </c:pt>
                <c:pt idx="7474">
                  <c:v>1.0479000000000001</c:v>
                </c:pt>
                <c:pt idx="7475">
                  <c:v>1.0479000000000001</c:v>
                </c:pt>
                <c:pt idx="7476">
                  <c:v>1.0580000000000001</c:v>
                </c:pt>
                <c:pt idx="7477">
                  <c:v>1.0550999999999999</c:v>
                </c:pt>
                <c:pt idx="7478">
                  <c:v>1.0592999999999999</c:v>
                </c:pt>
                <c:pt idx="7479">
                  <c:v>1.0519000000000001</c:v>
                </c:pt>
                <c:pt idx="7480">
                  <c:v>1.0549999999999999</c:v>
                </c:pt>
                <c:pt idx="7481">
                  <c:v>1.0516000000000001</c:v>
                </c:pt>
                <c:pt idx="7482">
                  <c:v>1.0476000000000001</c:v>
                </c:pt>
                <c:pt idx="7483">
                  <c:v>1.0483</c:v>
                </c:pt>
                <c:pt idx="7484">
                  <c:v>1.0471999999999999</c:v>
                </c:pt>
                <c:pt idx="7485">
                  <c:v>1.0446</c:v>
                </c:pt>
                <c:pt idx="7486">
                  <c:v>1.0481</c:v>
                </c:pt>
                <c:pt idx="7487">
                  <c:v>1.0437000000000001</c:v>
                </c:pt>
                <c:pt idx="7488">
                  <c:v>1.0516000000000001</c:v>
                </c:pt>
                <c:pt idx="7489">
                  <c:v>1.0438000000000001</c:v>
                </c:pt>
                <c:pt idx="7490">
                  <c:v>1.0384</c:v>
                </c:pt>
                <c:pt idx="7491">
                  <c:v>1.0374000000000001</c:v>
                </c:pt>
                <c:pt idx="7492">
                  <c:v>1.0373000000000001</c:v>
                </c:pt>
                <c:pt idx="7493">
                  <c:v>1.0337000000000001</c:v>
                </c:pt>
                <c:pt idx="7494">
                  <c:v>1.0301</c:v>
                </c:pt>
                <c:pt idx="7495">
                  <c:v>1.0266</c:v>
                </c:pt>
                <c:pt idx="7496">
                  <c:v>1.0276000000000001</c:v>
                </c:pt>
                <c:pt idx="7497">
                  <c:v>1.0205</c:v>
                </c:pt>
                <c:pt idx="7498">
                  <c:v>1.0226</c:v>
                </c:pt>
                <c:pt idx="7499">
                  <c:v>1.0321</c:v>
                </c:pt>
                <c:pt idx="7500">
                  <c:v>1.0350999999999999</c:v>
                </c:pt>
                <c:pt idx="7501">
                  <c:v>1.0334000000000001</c:v>
                </c:pt>
                <c:pt idx="7502">
                  <c:v>1.0469999999999999</c:v>
                </c:pt>
                <c:pt idx="7503">
                  <c:v>1.0470999999999999</c:v>
                </c:pt>
                <c:pt idx="7504">
                  <c:v>1.0579000000000001</c:v>
                </c:pt>
                <c:pt idx="7505">
                  <c:v>1.0533999999999999</c:v>
                </c:pt>
                <c:pt idx="7506">
                  <c:v>1.0451999999999999</c:v>
                </c:pt>
                <c:pt idx="7507">
                  <c:v>1.0469999999999999</c:v>
                </c:pt>
                <c:pt idx="7508">
                  <c:v>1.0388999999999999</c:v>
                </c:pt>
                <c:pt idx="7509">
                  <c:v>1.0468999999999999</c:v>
                </c:pt>
                <c:pt idx="7510">
                  <c:v>1.0422</c:v>
                </c:pt>
                <c:pt idx="7511">
                  <c:v>1.0422</c:v>
                </c:pt>
                <c:pt idx="7512">
                  <c:v>1.0353000000000001</c:v>
                </c:pt>
                <c:pt idx="7513">
                  <c:v>1.0419</c:v>
                </c:pt>
                <c:pt idx="7514">
                  <c:v>1.0464</c:v>
                </c:pt>
                <c:pt idx="7515">
                  <c:v>1.0464</c:v>
                </c:pt>
                <c:pt idx="7516">
                  <c:v>1.0305</c:v>
                </c:pt>
                <c:pt idx="7517">
                  <c:v>1.0213000000000001</c:v>
                </c:pt>
                <c:pt idx="7518">
                  <c:v>1.0222</c:v>
                </c:pt>
                <c:pt idx="7519">
                  <c:v>1.0263</c:v>
                </c:pt>
                <c:pt idx="7520">
                  <c:v>1.0161</c:v>
                </c:pt>
                <c:pt idx="7521">
                  <c:v>1.0228999999999999</c:v>
                </c:pt>
                <c:pt idx="7522">
                  <c:v>1.0227999999999999</c:v>
                </c:pt>
                <c:pt idx="7523">
                  <c:v>1.028</c:v>
                </c:pt>
                <c:pt idx="7524">
                  <c:v>1.0270999999999999</c:v>
                </c:pt>
                <c:pt idx="7525">
                  <c:v>1.0216000000000001</c:v>
                </c:pt>
                <c:pt idx="7526">
                  <c:v>1.0264</c:v>
                </c:pt>
                <c:pt idx="7527">
                  <c:v>1.0308999999999999</c:v>
                </c:pt>
                <c:pt idx="7528">
                  <c:v>1.0386</c:v>
                </c:pt>
                <c:pt idx="7529">
                  <c:v>1.0364</c:v>
                </c:pt>
                <c:pt idx="7530">
                  <c:v>1.0326</c:v>
                </c:pt>
                <c:pt idx="7531">
                  <c:v>1.0323</c:v>
                </c:pt>
                <c:pt idx="7532">
                  <c:v>1.0315000000000001</c:v>
                </c:pt>
                <c:pt idx="7533">
                  <c:v>1.0363</c:v>
                </c:pt>
                <c:pt idx="7534">
                  <c:v>1.0313000000000001</c:v>
                </c:pt>
                <c:pt idx="7535">
                  <c:v>1.0357000000000001</c:v>
                </c:pt>
                <c:pt idx="7536">
                  <c:v>1.0341</c:v>
                </c:pt>
                <c:pt idx="7537">
                  <c:v>1.0378000000000001</c:v>
                </c:pt>
                <c:pt idx="7538">
                  <c:v>1.0371999999999999</c:v>
                </c:pt>
                <c:pt idx="7539">
                  <c:v>1.0396000000000001</c:v>
                </c:pt>
                <c:pt idx="7540">
                  <c:v>1.0363</c:v>
                </c:pt>
                <c:pt idx="7541">
                  <c:v>1.0428999999999999</c:v>
                </c:pt>
                <c:pt idx="7542">
                  <c:v>1.0450999999999999</c:v>
                </c:pt>
                <c:pt idx="7543">
                  <c:v>1.0409999999999999</c:v>
                </c:pt>
                <c:pt idx="7544">
                  <c:v>1.042</c:v>
                </c:pt>
                <c:pt idx="7545">
                  <c:v>1.042</c:v>
                </c:pt>
                <c:pt idx="7546">
                  <c:v>1.0404</c:v>
                </c:pt>
                <c:pt idx="7547">
                  <c:v>1.0452999999999999</c:v>
                </c:pt>
                <c:pt idx="7548">
                  <c:v>1.0368999999999999</c:v>
                </c:pt>
                <c:pt idx="7549">
                  <c:v>1.0326</c:v>
                </c:pt>
                <c:pt idx="7550">
                  <c:v>1.0374000000000001</c:v>
                </c:pt>
                <c:pt idx="7551">
                  <c:v>1.0409999999999999</c:v>
                </c:pt>
                <c:pt idx="7552">
                  <c:v>1.0351999999999999</c:v>
                </c:pt>
                <c:pt idx="7553">
                  <c:v>1.0382</c:v>
                </c:pt>
                <c:pt idx="7554">
                  <c:v>1.0396000000000001</c:v>
                </c:pt>
                <c:pt idx="7555">
                  <c:v>1.0457000000000001</c:v>
                </c:pt>
                <c:pt idx="7556">
                  <c:v>1.0486</c:v>
                </c:pt>
                <c:pt idx="7557">
                  <c:v>1.0458000000000001</c:v>
                </c:pt>
                <c:pt idx="7558">
                  <c:v>1.0466</c:v>
                </c:pt>
                <c:pt idx="7559">
                  <c:v>1.0430999999999999</c:v>
                </c:pt>
                <c:pt idx="7560">
                  <c:v>1.0414000000000001</c:v>
                </c:pt>
                <c:pt idx="7561">
                  <c:v>1.0439000000000001</c:v>
                </c:pt>
                <c:pt idx="7562">
                  <c:v>1.0477000000000001</c:v>
                </c:pt>
                <c:pt idx="7563">
                  <c:v>1.0463</c:v>
                </c:pt>
                <c:pt idx="7564">
                  <c:v>1.048</c:v>
                </c:pt>
                <c:pt idx="7565">
                  <c:v>1.0471999999999999</c:v>
                </c:pt>
                <c:pt idx="7566">
                  <c:v>1.0482</c:v>
                </c:pt>
                <c:pt idx="7567">
                  <c:v>1.0524</c:v>
                </c:pt>
                <c:pt idx="7568">
                  <c:v>1.0549999999999999</c:v>
                </c:pt>
                <c:pt idx="7569">
                  <c:v>1.054</c:v>
                </c:pt>
                <c:pt idx="7570">
                  <c:v>1.0541</c:v>
                </c:pt>
                <c:pt idx="7571">
                  <c:v>1.0541</c:v>
                </c:pt>
                <c:pt idx="7572">
                  <c:v>1.0517000000000001</c:v>
                </c:pt>
                <c:pt idx="7573">
                  <c:v>1.0482</c:v>
                </c:pt>
                <c:pt idx="7574">
                  <c:v>1.0450999999999999</c:v>
                </c:pt>
                <c:pt idx="7575">
                  <c:v>1.0405</c:v>
                </c:pt>
                <c:pt idx="7576">
                  <c:v>1.0405</c:v>
                </c:pt>
                <c:pt idx="7577">
                  <c:v>1.0405</c:v>
                </c:pt>
                <c:pt idx="7578">
                  <c:v>1.0357000000000001</c:v>
                </c:pt>
                <c:pt idx="7579">
                  <c:v>1.038</c:v>
                </c:pt>
                <c:pt idx="7580">
                  <c:v>1.0384</c:v>
                </c:pt>
                <c:pt idx="7581">
                  <c:v>1.0384</c:v>
                </c:pt>
                <c:pt idx="7582">
                  <c:v>1.0468</c:v>
                </c:pt>
                <c:pt idx="7583">
                  <c:v>1.0490999999999999</c:v>
                </c:pt>
                <c:pt idx="7584">
                  <c:v>1.0434000000000001</c:v>
                </c:pt>
                <c:pt idx="7585">
                  <c:v>1.0471999999999999</c:v>
                </c:pt>
                <c:pt idx="7586">
                  <c:v>1.048</c:v>
                </c:pt>
                <c:pt idx="7587">
                  <c:v>1.0504</c:v>
                </c:pt>
                <c:pt idx="7588">
                  <c:v>1.0548999999999999</c:v>
                </c:pt>
                <c:pt idx="7589">
                  <c:v>1.0583</c:v>
                </c:pt>
                <c:pt idx="7590">
                  <c:v>1.056</c:v>
                </c:pt>
                <c:pt idx="7591">
                  <c:v>1.0546</c:v>
                </c:pt>
                <c:pt idx="7592">
                  <c:v>1.0564</c:v>
                </c:pt>
                <c:pt idx="7593">
                  <c:v>1.0508</c:v>
                </c:pt>
                <c:pt idx="7594">
                  <c:v>1.0518000000000001</c:v>
                </c:pt>
                <c:pt idx="7595">
                  <c:v>1.0517000000000001</c:v>
                </c:pt>
                <c:pt idx="7596">
                  <c:v>1.0549999999999999</c:v>
                </c:pt>
                <c:pt idx="7597">
                  <c:v>1.0537000000000001</c:v>
                </c:pt>
                <c:pt idx="7598">
                  <c:v>1.0515000000000001</c:v>
                </c:pt>
                <c:pt idx="7599">
                  <c:v>1.0449999999999999</c:v>
                </c:pt>
                <c:pt idx="7600">
                  <c:v>1.0449999999999999</c:v>
                </c:pt>
                <c:pt idx="7601">
                  <c:v>1.0445</c:v>
                </c:pt>
                <c:pt idx="7602">
                  <c:v>1.0475000000000001</c:v>
                </c:pt>
                <c:pt idx="7603">
                  <c:v>1.0394000000000001</c:v>
                </c:pt>
                <c:pt idx="7604">
                  <c:v>1.0389999999999999</c:v>
                </c:pt>
                <c:pt idx="7605">
                  <c:v>1.0427999999999999</c:v>
                </c:pt>
                <c:pt idx="7606">
                  <c:v>1.04</c:v>
                </c:pt>
                <c:pt idx="7607">
                  <c:v>1.0353000000000001</c:v>
                </c:pt>
                <c:pt idx="7608">
                  <c:v>1.0318000000000001</c:v>
                </c:pt>
                <c:pt idx="7609">
                  <c:v>1.0286999999999999</c:v>
                </c:pt>
                <c:pt idx="7610">
                  <c:v>1.0301</c:v>
                </c:pt>
                <c:pt idx="7611">
                  <c:v>1.0250999999999999</c:v>
                </c:pt>
                <c:pt idx="7612">
                  <c:v>1.0359</c:v>
                </c:pt>
                <c:pt idx="7613">
                  <c:v>1.0351999999999999</c:v>
                </c:pt>
                <c:pt idx="7614">
                  <c:v>1.0366</c:v>
                </c:pt>
                <c:pt idx="7615">
                  <c:v>1.0287999999999999</c:v>
                </c:pt>
                <c:pt idx="7616">
                  <c:v>1.0329999999999999</c:v>
                </c:pt>
                <c:pt idx="7617">
                  <c:v>1.036</c:v>
                </c:pt>
                <c:pt idx="7618">
                  <c:v>1.0241</c:v>
                </c:pt>
                <c:pt idx="7619">
                  <c:v>1.0314000000000001</c:v>
                </c:pt>
                <c:pt idx="7620">
                  <c:v>1.0282</c:v>
                </c:pt>
                <c:pt idx="7621">
                  <c:v>1.0275000000000001</c:v>
                </c:pt>
                <c:pt idx="7622">
                  <c:v>1.0214000000000001</c:v>
                </c:pt>
                <c:pt idx="7623">
                  <c:v>1.0275000000000001</c:v>
                </c:pt>
                <c:pt idx="7624">
                  <c:v>1.0232000000000001</c:v>
                </c:pt>
                <c:pt idx="7625">
                  <c:v>1.0124</c:v>
                </c:pt>
                <c:pt idx="7626">
                  <c:v>1.0241</c:v>
                </c:pt>
                <c:pt idx="7627">
                  <c:v>1.0277000000000001</c:v>
                </c:pt>
                <c:pt idx="7628">
                  <c:v>1.0250999999999999</c:v>
                </c:pt>
                <c:pt idx="7629">
                  <c:v>1.0241</c:v>
                </c:pt>
                <c:pt idx="7630">
                  <c:v>1.0221</c:v>
                </c:pt>
                <c:pt idx="7631">
                  <c:v>1.0282</c:v>
                </c:pt>
                <c:pt idx="7632">
                  <c:v>1.0309999999999999</c:v>
                </c:pt>
                <c:pt idx="7633">
                  <c:v>1.0368999999999999</c:v>
                </c:pt>
                <c:pt idx="7634">
                  <c:v>1.0376000000000001</c:v>
                </c:pt>
                <c:pt idx="7635">
                  <c:v>1.0364</c:v>
                </c:pt>
                <c:pt idx="7636">
                  <c:v>1.0387</c:v>
                </c:pt>
                <c:pt idx="7637">
                  <c:v>1.038</c:v>
                </c:pt>
                <c:pt idx="7638">
                  <c:v>1.0371999999999999</c:v>
                </c:pt>
                <c:pt idx="7639">
                  <c:v>1.0430999999999999</c:v>
                </c:pt>
                <c:pt idx="7640">
                  <c:v>1.0449999999999999</c:v>
                </c:pt>
                <c:pt idx="7641">
                  <c:v>1.0462</c:v>
                </c:pt>
                <c:pt idx="7642">
                  <c:v>1.0466</c:v>
                </c:pt>
                <c:pt idx="7643">
                  <c:v>1.0426</c:v>
                </c:pt>
                <c:pt idx="7644">
                  <c:v>1.0426</c:v>
                </c:pt>
                <c:pt idx="7645">
                  <c:v>1.0426</c:v>
                </c:pt>
                <c:pt idx="7646">
                  <c:v>1.0457000000000001</c:v>
                </c:pt>
                <c:pt idx="7647">
                  <c:v>1.0457000000000001</c:v>
                </c:pt>
                <c:pt idx="7648">
                  <c:v>1.0462</c:v>
                </c:pt>
                <c:pt idx="7649">
                  <c:v>1.0419</c:v>
                </c:pt>
                <c:pt idx="7650">
                  <c:v>1.0370999999999999</c:v>
                </c:pt>
                <c:pt idx="7651">
                  <c:v>1.0430999999999999</c:v>
                </c:pt>
                <c:pt idx="7652">
                  <c:v>1.0505</c:v>
                </c:pt>
                <c:pt idx="7653">
                  <c:v>1.0518000000000001</c:v>
                </c:pt>
                <c:pt idx="7654">
                  <c:v>1.0552999999999999</c:v>
                </c:pt>
                <c:pt idx="7655">
                  <c:v>1.0445</c:v>
                </c:pt>
                <c:pt idx="7656">
                  <c:v>1.0362</c:v>
                </c:pt>
                <c:pt idx="7657">
                  <c:v>1.0356000000000001</c:v>
                </c:pt>
                <c:pt idx="7658">
                  <c:v>1.0305</c:v>
                </c:pt>
                <c:pt idx="7659">
                  <c:v>1.0336000000000001</c:v>
                </c:pt>
                <c:pt idx="7660">
                  <c:v>1.0288999999999999</c:v>
                </c:pt>
                <c:pt idx="7661">
                  <c:v>1.0236000000000001</c:v>
                </c:pt>
                <c:pt idx="7662">
                  <c:v>1.0254000000000001</c:v>
                </c:pt>
                <c:pt idx="7663">
                  <c:v>1.0254000000000001</c:v>
                </c:pt>
                <c:pt idx="7664">
                  <c:v>1.0308999999999999</c:v>
                </c:pt>
                <c:pt idx="7665">
                  <c:v>1.0311999999999999</c:v>
                </c:pt>
                <c:pt idx="7666">
                  <c:v>1.0367999999999999</c:v>
                </c:pt>
                <c:pt idx="7667">
                  <c:v>1.0367</c:v>
                </c:pt>
                <c:pt idx="7668">
                  <c:v>1.0230999999999999</c:v>
                </c:pt>
                <c:pt idx="7669">
                  <c:v>1.0270999999999999</c:v>
                </c:pt>
                <c:pt idx="7670">
                  <c:v>1.0289999999999999</c:v>
                </c:pt>
                <c:pt idx="7671">
                  <c:v>1.0193000000000001</c:v>
                </c:pt>
                <c:pt idx="7672">
                  <c:v>1.0186999999999999</c:v>
                </c:pt>
                <c:pt idx="7673">
                  <c:v>1.0237000000000001</c:v>
                </c:pt>
                <c:pt idx="7674">
                  <c:v>1.0071000000000001</c:v>
                </c:pt>
                <c:pt idx="7675">
                  <c:v>0.99960000000000004</c:v>
                </c:pt>
                <c:pt idx="7676">
                  <c:v>0.99890000000000001</c:v>
                </c:pt>
                <c:pt idx="7677">
                  <c:v>0.98919999999999997</c:v>
                </c:pt>
                <c:pt idx="7678">
                  <c:v>0.98609999999999998</c:v>
                </c:pt>
                <c:pt idx="7679">
                  <c:v>0.97599999999999998</c:v>
                </c:pt>
                <c:pt idx="7680">
                  <c:v>0.97709999999999997</c:v>
                </c:pt>
                <c:pt idx="7681">
                  <c:v>0.98260000000000003</c:v>
                </c:pt>
                <c:pt idx="7682">
                  <c:v>0.97699999999999998</c:v>
                </c:pt>
                <c:pt idx="7683">
                  <c:v>0.96140000000000003</c:v>
                </c:pt>
                <c:pt idx="7684">
                  <c:v>0.96860000000000002</c:v>
                </c:pt>
                <c:pt idx="7685">
                  <c:v>0.96330000000000005</c:v>
                </c:pt>
                <c:pt idx="7686">
                  <c:v>0.96489999999999998</c:v>
                </c:pt>
                <c:pt idx="7687">
                  <c:v>0.95389999999999997</c:v>
                </c:pt>
                <c:pt idx="7688">
                  <c:v>0.96740000000000004</c:v>
                </c:pt>
                <c:pt idx="7689">
                  <c:v>0.96489999999999998</c:v>
                </c:pt>
                <c:pt idx="7690">
                  <c:v>0.96350000000000002</c:v>
                </c:pt>
                <c:pt idx="7691">
                  <c:v>0.97330000000000005</c:v>
                </c:pt>
                <c:pt idx="7692">
                  <c:v>0.9617</c:v>
                </c:pt>
                <c:pt idx="7693">
                  <c:v>0.94430000000000003</c:v>
                </c:pt>
                <c:pt idx="7694">
                  <c:v>0.95040000000000002</c:v>
                </c:pt>
                <c:pt idx="7695">
                  <c:v>0.95040000000000002</c:v>
                </c:pt>
                <c:pt idx="7696">
                  <c:v>0.94069999999999998</c:v>
                </c:pt>
                <c:pt idx="7697">
                  <c:v>0.94179999999999997</c:v>
                </c:pt>
                <c:pt idx="7698">
                  <c:v>0.94630000000000003</c:v>
                </c:pt>
                <c:pt idx="7699">
                  <c:v>0.95809999999999995</c:v>
                </c:pt>
                <c:pt idx="7700">
                  <c:v>0.96250000000000002</c:v>
                </c:pt>
                <c:pt idx="7701">
                  <c:v>0.95140000000000002</c:v>
                </c:pt>
                <c:pt idx="7702">
                  <c:v>0.94850000000000001</c:v>
                </c:pt>
                <c:pt idx="7703">
                  <c:v>0.92400000000000004</c:v>
                </c:pt>
                <c:pt idx="7704">
                  <c:v>0.92330000000000001</c:v>
                </c:pt>
                <c:pt idx="7705">
                  <c:v>0.92020000000000002</c:v>
                </c:pt>
                <c:pt idx="7706">
                  <c:v>0.92520000000000002</c:v>
                </c:pt>
                <c:pt idx="7707">
                  <c:v>0.92689999999999995</c:v>
                </c:pt>
                <c:pt idx="7708">
                  <c:v>0.93179999999999996</c:v>
                </c:pt>
                <c:pt idx="7709">
                  <c:v>0.92749999999999999</c:v>
                </c:pt>
                <c:pt idx="7710">
                  <c:v>0.9194</c:v>
                </c:pt>
                <c:pt idx="7711">
                  <c:v>0.91720000000000002</c:v>
                </c:pt>
                <c:pt idx="7712">
                  <c:v>0.9083</c:v>
                </c:pt>
                <c:pt idx="7713">
                  <c:v>0.91200000000000003</c:v>
                </c:pt>
                <c:pt idx="7714">
                  <c:v>0.91379999999999995</c:v>
                </c:pt>
                <c:pt idx="7715">
                  <c:v>0.90510000000000002</c:v>
                </c:pt>
                <c:pt idx="7716">
                  <c:v>0.91369999999999996</c:v>
                </c:pt>
                <c:pt idx="7717">
                  <c:v>0.91890000000000005</c:v>
                </c:pt>
                <c:pt idx="7718">
                  <c:v>0.92949999999999999</c:v>
                </c:pt>
                <c:pt idx="7719">
                  <c:v>0.91700000000000004</c:v>
                </c:pt>
                <c:pt idx="7720">
                  <c:v>0.91069999999999995</c:v>
                </c:pt>
                <c:pt idx="7721">
                  <c:v>0.9194</c:v>
                </c:pt>
                <c:pt idx="7722">
                  <c:v>0.92149999999999999</c:v>
                </c:pt>
                <c:pt idx="7723">
                  <c:v>0.91790000000000005</c:v>
                </c:pt>
                <c:pt idx="7724">
                  <c:v>0.91810000000000003</c:v>
                </c:pt>
                <c:pt idx="7725">
                  <c:v>0.92230000000000001</c:v>
                </c:pt>
                <c:pt idx="7726">
                  <c:v>0.92579999999999996</c:v>
                </c:pt>
                <c:pt idx="7727">
                  <c:v>0.92530000000000001</c:v>
                </c:pt>
                <c:pt idx="7728">
                  <c:v>0.91639999999999999</c:v>
                </c:pt>
                <c:pt idx="7729">
                  <c:v>0.92710000000000004</c:v>
                </c:pt>
                <c:pt idx="7730">
                  <c:v>0.92569999999999997</c:v>
                </c:pt>
                <c:pt idx="7731">
                  <c:v>0.90720000000000001</c:v>
                </c:pt>
                <c:pt idx="7732">
                  <c:v>0.90369999999999995</c:v>
                </c:pt>
                <c:pt idx="7733">
                  <c:v>0.89690000000000003</c:v>
                </c:pt>
                <c:pt idx="7734">
                  <c:v>0.89090000000000003</c:v>
                </c:pt>
                <c:pt idx="7735">
                  <c:v>0.89090000000000003</c:v>
                </c:pt>
                <c:pt idx="7736">
                  <c:v>0.89770000000000005</c:v>
                </c:pt>
                <c:pt idx="7737">
                  <c:v>0.89570000000000005</c:v>
                </c:pt>
                <c:pt idx="7738">
                  <c:v>0.90800000000000003</c:v>
                </c:pt>
                <c:pt idx="7739">
                  <c:v>0.91180000000000005</c:v>
                </c:pt>
                <c:pt idx="7740">
                  <c:v>0.92030000000000001</c:v>
                </c:pt>
                <c:pt idx="7741">
                  <c:v>0.91269999999999996</c:v>
                </c:pt>
                <c:pt idx="7742">
                  <c:v>0.90990000000000004</c:v>
                </c:pt>
                <c:pt idx="7743">
                  <c:v>0.91659999999999997</c:v>
                </c:pt>
                <c:pt idx="7744">
                  <c:v>0.91469999999999996</c:v>
                </c:pt>
                <c:pt idx="7745">
                  <c:v>0.92159999999999997</c:v>
                </c:pt>
                <c:pt idx="7746">
                  <c:v>0.90600000000000003</c:v>
                </c:pt>
                <c:pt idx="7747">
                  <c:v>0.90369999999999995</c:v>
                </c:pt>
                <c:pt idx="7748">
                  <c:v>0.89910000000000001</c:v>
                </c:pt>
                <c:pt idx="7749">
                  <c:v>0.90090000000000003</c:v>
                </c:pt>
                <c:pt idx="7750">
                  <c:v>0.90400000000000003</c:v>
                </c:pt>
                <c:pt idx="7751">
                  <c:v>0.89590000000000003</c:v>
                </c:pt>
                <c:pt idx="7752">
                  <c:v>0.89239999999999997</c:v>
                </c:pt>
                <c:pt idx="7753">
                  <c:v>0.89729999999999999</c:v>
                </c:pt>
                <c:pt idx="7754">
                  <c:v>0.89470000000000005</c:v>
                </c:pt>
                <c:pt idx="7755">
                  <c:v>0.89690000000000003</c:v>
                </c:pt>
                <c:pt idx="7756">
                  <c:v>0.90329999999999999</c:v>
                </c:pt>
                <c:pt idx="7757">
                  <c:v>0.90969999999999995</c:v>
                </c:pt>
                <c:pt idx="7758">
                  <c:v>0.91610000000000003</c:v>
                </c:pt>
                <c:pt idx="7759">
                  <c:v>0.91310000000000002</c:v>
                </c:pt>
                <c:pt idx="7760">
                  <c:v>0.91910000000000003</c:v>
                </c:pt>
                <c:pt idx="7761">
                  <c:v>0.92749999999999999</c:v>
                </c:pt>
                <c:pt idx="7762">
                  <c:v>0.92889999999999995</c:v>
                </c:pt>
                <c:pt idx="7763">
                  <c:v>0.92490000000000006</c:v>
                </c:pt>
                <c:pt idx="7764">
                  <c:v>0.92349999999999999</c:v>
                </c:pt>
                <c:pt idx="7765">
                  <c:v>0.93240000000000001</c:v>
                </c:pt>
                <c:pt idx="7766">
                  <c:v>0.93130000000000002</c:v>
                </c:pt>
                <c:pt idx="7767">
                  <c:v>0.93500000000000005</c:v>
                </c:pt>
                <c:pt idx="7768">
                  <c:v>0.9496</c:v>
                </c:pt>
                <c:pt idx="7769">
                  <c:v>0.94540000000000002</c:v>
                </c:pt>
                <c:pt idx="7770">
                  <c:v>0.94320000000000004</c:v>
                </c:pt>
                <c:pt idx="7771">
                  <c:v>0.94110000000000005</c:v>
                </c:pt>
                <c:pt idx="7772">
                  <c:v>0.93810000000000004</c:v>
                </c:pt>
                <c:pt idx="7773">
                  <c:v>0.93759999999999999</c:v>
                </c:pt>
                <c:pt idx="7774">
                  <c:v>0.93589999999999995</c:v>
                </c:pt>
                <c:pt idx="7775">
                  <c:v>0.93089999999999995</c:v>
                </c:pt>
                <c:pt idx="7776">
                  <c:v>0.93959999999999999</c:v>
                </c:pt>
                <c:pt idx="7777">
                  <c:v>0.93689999999999996</c:v>
                </c:pt>
                <c:pt idx="7778">
                  <c:v>0.93910000000000005</c:v>
                </c:pt>
                <c:pt idx="7779">
                  <c:v>0.94430000000000003</c:v>
                </c:pt>
                <c:pt idx="7780">
                  <c:v>0.94430000000000003</c:v>
                </c:pt>
                <c:pt idx="7781">
                  <c:v>0.94340000000000002</c:v>
                </c:pt>
                <c:pt idx="7782">
                  <c:v>0.94340000000000002</c:v>
                </c:pt>
                <c:pt idx="7783">
                  <c:v>0.93969999999999998</c:v>
                </c:pt>
                <c:pt idx="7784">
                  <c:v>0.94699999999999995</c:v>
                </c:pt>
                <c:pt idx="7785">
                  <c:v>0.94689999999999996</c:v>
                </c:pt>
                <c:pt idx="7786">
                  <c:v>0.95330000000000004</c:v>
                </c:pt>
                <c:pt idx="7787">
                  <c:v>0.95250000000000001</c:v>
                </c:pt>
                <c:pt idx="7788">
                  <c:v>0.95420000000000005</c:v>
                </c:pt>
                <c:pt idx="7789">
                  <c:v>0.9617</c:v>
                </c:pt>
                <c:pt idx="7790">
                  <c:v>0.96719999999999995</c:v>
                </c:pt>
                <c:pt idx="7791">
                  <c:v>0.96489999999999998</c:v>
                </c:pt>
                <c:pt idx="7792">
                  <c:v>0.96550000000000002</c:v>
                </c:pt>
                <c:pt idx="7793">
                  <c:v>0.96509999999999996</c:v>
                </c:pt>
                <c:pt idx="7794">
                  <c:v>0.96150000000000002</c:v>
                </c:pt>
                <c:pt idx="7795">
                  <c:v>0.96089999999999998</c:v>
                </c:pt>
                <c:pt idx="7796">
                  <c:v>0.95150000000000001</c:v>
                </c:pt>
                <c:pt idx="7797">
                  <c:v>0.94820000000000004</c:v>
                </c:pt>
                <c:pt idx="7798">
                  <c:v>0.94899999999999995</c:v>
                </c:pt>
                <c:pt idx="7799">
                  <c:v>0.94810000000000005</c:v>
                </c:pt>
                <c:pt idx="7800">
                  <c:v>0.94810000000000005</c:v>
                </c:pt>
                <c:pt idx="7801">
                  <c:v>0.94669999999999999</c:v>
                </c:pt>
                <c:pt idx="7802">
                  <c:v>0.95179999999999998</c:v>
                </c:pt>
                <c:pt idx="7803">
                  <c:v>0.94769999999999999</c:v>
                </c:pt>
                <c:pt idx="7804">
                  <c:v>0.94650000000000001</c:v>
                </c:pt>
                <c:pt idx="7805">
                  <c:v>0.93820000000000003</c:v>
                </c:pt>
                <c:pt idx="7806">
                  <c:v>0.93359999999999999</c:v>
                </c:pt>
                <c:pt idx="7807">
                  <c:v>0.93059999999999998</c:v>
                </c:pt>
                <c:pt idx="7808">
                  <c:v>0.93469999999999998</c:v>
                </c:pt>
                <c:pt idx="7809">
                  <c:v>0.93440000000000001</c:v>
                </c:pt>
                <c:pt idx="7810">
                  <c:v>0.93979999999999997</c:v>
                </c:pt>
                <c:pt idx="7811">
                  <c:v>0.93859999999999999</c:v>
                </c:pt>
                <c:pt idx="7812">
                  <c:v>0.94059999999999999</c:v>
                </c:pt>
                <c:pt idx="7813">
                  <c:v>0.92959999999999998</c:v>
                </c:pt>
                <c:pt idx="7814">
                  <c:v>0.91769999999999996</c:v>
                </c:pt>
                <c:pt idx="7815">
                  <c:v>0.91439999999999999</c:v>
                </c:pt>
                <c:pt idx="7816">
                  <c:v>0.91949999999999998</c:v>
                </c:pt>
                <c:pt idx="7817">
                  <c:v>0.9123</c:v>
                </c:pt>
                <c:pt idx="7818">
                  <c:v>0.91339999999999999</c:v>
                </c:pt>
                <c:pt idx="7819">
                  <c:v>0.90869999999999995</c:v>
                </c:pt>
                <c:pt idx="7820">
                  <c:v>0.91510000000000002</c:v>
                </c:pt>
                <c:pt idx="7821">
                  <c:v>0.90680000000000005</c:v>
                </c:pt>
                <c:pt idx="7822">
                  <c:v>0.90669999999999995</c:v>
                </c:pt>
                <c:pt idx="7823">
                  <c:v>0.90410000000000001</c:v>
                </c:pt>
                <c:pt idx="7824">
                  <c:v>0.90580000000000005</c:v>
                </c:pt>
                <c:pt idx="7825">
                  <c:v>0.91049999999999998</c:v>
                </c:pt>
                <c:pt idx="7826">
                  <c:v>0.91039999999999999</c:v>
                </c:pt>
                <c:pt idx="7827">
                  <c:v>0.91339999999999999</c:v>
                </c:pt>
                <c:pt idx="7828">
                  <c:v>0.90249999999999997</c:v>
                </c:pt>
                <c:pt idx="7829">
                  <c:v>0.89339999999999997</c:v>
                </c:pt>
                <c:pt idx="7830">
                  <c:v>0.89539999999999997</c:v>
                </c:pt>
                <c:pt idx="7831">
                  <c:v>0.89410000000000001</c:v>
                </c:pt>
                <c:pt idx="7832">
                  <c:v>0.89039999999999997</c:v>
                </c:pt>
                <c:pt idx="7833">
                  <c:v>0.88360000000000005</c:v>
                </c:pt>
                <c:pt idx="7834">
                  <c:v>0.8871</c:v>
                </c:pt>
                <c:pt idx="7835">
                  <c:v>0.89449999999999996</c:v>
                </c:pt>
                <c:pt idx="7836">
                  <c:v>0.89200000000000002</c:v>
                </c:pt>
                <c:pt idx="7837">
                  <c:v>0.89200000000000002</c:v>
                </c:pt>
                <c:pt idx="7838">
                  <c:v>0.89200000000000002</c:v>
                </c:pt>
                <c:pt idx="7839">
                  <c:v>0.89059999999999995</c:v>
                </c:pt>
                <c:pt idx="7840">
                  <c:v>0.88649999999999995</c:v>
                </c:pt>
                <c:pt idx="7841">
                  <c:v>0.89480000000000004</c:v>
                </c:pt>
                <c:pt idx="7842">
                  <c:v>0.89480000000000004</c:v>
                </c:pt>
                <c:pt idx="7843">
                  <c:v>0.89119999999999999</c:v>
                </c:pt>
                <c:pt idx="7844">
                  <c:v>0.8982</c:v>
                </c:pt>
                <c:pt idx="7845">
                  <c:v>0.89490000000000003</c:v>
                </c:pt>
                <c:pt idx="7846">
                  <c:v>0.89200000000000002</c:v>
                </c:pt>
                <c:pt idx="7847">
                  <c:v>0.8931</c:v>
                </c:pt>
                <c:pt idx="7848">
                  <c:v>0.88819999999999999</c:v>
                </c:pt>
                <c:pt idx="7849">
                  <c:v>0.89049999999999996</c:v>
                </c:pt>
                <c:pt idx="7850">
                  <c:v>0.90359999999999996</c:v>
                </c:pt>
                <c:pt idx="7851">
                  <c:v>0.90349999999999997</c:v>
                </c:pt>
                <c:pt idx="7852">
                  <c:v>0.89129999999999998</c:v>
                </c:pt>
                <c:pt idx="7853">
                  <c:v>0.88139999999999996</c:v>
                </c:pt>
                <c:pt idx="7854">
                  <c:v>0.8821</c:v>
                </c:pt>
                <c:pt idx="7855">
                  <c:v>0.878</c:v>
                </c:pt>
                <c:pt idx="7856">
                  <c:v>0.88190000000000002</c:v>
                </c:pt>
                <c:pt idx="7857">
                  <c:v>0.88660000000000005</c:v>
                </c:pt>
                <c:pt idx="7858">
                  <c:v>0.87980000000000003</c:v>
                </c:pt>
                <c:pt idx="7859">
                  <c:v>0.87160000000000004</c:v>
                </c:pt>
                <c:pt idx="7860">
                  <c:v>0.87160000000000004</c:v>
                </c:pt>
                <c:pt idx="7861">
                  <c:v>0.87870000000000004</c:v>
                </c:pt>
                <c:pt idx="7862">
                  <c:v>0.88060000000000005</c:v>
                </c:pt>
                <c:pt idx="7863">
                  <c:v>0.87260000000000004</c:v>
                </c:pt>
                <c:pt idx="7864">
                  <c:v>0.87629999999999997</c:v>
                </c:pt>
                <c:pt idx="7865">
                  <c:v>0.87549999999999994</c:v>
                </c:pt>
                <c:pt idx="7866">
                  <c:v>0.88800000000000001</c:v>
                </c:pt>
                <c:pt idx="7867">
                  <c:v>0.88919999999999999</c:v>
                </c:pt>
                <c:pt idx="7868">
                  <c:v>0.89639999999999997</c:v>
                </c:pt>
                <c:pt idx="7869">
                  <c:v>0.89400000000000002</c:v>
                </c:pt>
                <c:pt idx="7870">
                  <c:v>0.89329999999999998</c:v>
                </c:pt>
                <c:pt idx="7871">
                  <c:v>0.90090000000000003</c:v>
                </c:pt>
                <c:pt idx="7872">
                  <c:v>0.90500000000000003</c:v>
                </c:pt>
                <c:pt idx="7873">
                  <c:v>0.89339999999999997</c:v>
                </c:pt>
                <c:pt idx="7874">
                  <c:v>0.89959999999999996</c:v>
                </c:pt>
                <c:pt idx="7875">
                  <c:v>0.90490000000000004</c:v>
                </c:pt>
                <c:pt idx="7876">
                  <c:v>0.90569999999999995</c:v>
                </c:pt>
                <c:pt idx="7877">
                  <c:v>0.90169999999999995</c:v>
                </c:pt>
                <c:pt idx="7878">
                  <c:v>0.89539999999999997</c:v>
                </c:pt>
                <c:pt idx="7879">
                  <c:v>0.8992</c:v>
                </c:pt>
                <c:pt idx="7880">
                  <c:v>0.89680000000000004</c:v>
                </c:pt>
                <c:pt idx="7881">
                  <c:v>0.90339999999999998</c:v>
                </c:pt>
                <c:pt idx="7882">
                  <c:v>0.90110000000000001</c:v>
                </c:pt>
                <c:pt idx="7883">
                  <c:v>0.89400000000000002</c:v>
                </c:pt>
                <c:pt idx="7884">
                  <c:v>0.89470000000000005</c:v>
                </c:pt>
                <c:pt idx="7885">
                  <c:v>0.89119999999999999</c:v>
                </c:pt>
                <c:pt idx="7886">
                  <c:v>0.89300000000000002</c:v>
                </c:pt>
                <c:pt idx="7887">
                  <c:v>0.89600000000000002</c:v>
                </c:pt>
                <c:pt idx="7888">
                  <c:v>0.9012</c:v>
                </c:pt>
                <c:pt idx="7889">
                  <c:v>0.90880000000000005</c:v>
                </c:pt>
                <c:pt idx="7890">
                  <c:v>0.90369999999999995</c:v>
                </c:pt>
                <c:pt idx="7891">
                  <c:v>0.90290000000000004</c:v>
                </c:pt>
                <c:pt idx="7892">
                  <c:v>0.89639999999999997</c:v>
                </c:pt>
                <c:pt idx="7893">
                  <c:v>0.90720000000000001</c:v>
                </c:pt>
                <c:pt idx="7894">
                  <c:v>0.90100000000000002</c:v>
                </c:pt>
                <c:pt idx="7895">
                  <c:v>0.90539999999999998</c:v>
                </c:pt>
                <c:pt idx="7896">
                  <c:v>0.9083</c:v>
                </c:pt>
                <c:pt idx="7897">
                  <c:v>0.91190000000000004</c:v>
                </c:pt>
                <c:pt idx="7898">
                  <c:v>0.90200000000000002</c:v>
                </c:pt>
                <c:pt idx="7899">
                  <c:v>0.90610000000000002</c:v>
                </c:pt>
                <c:pt idx="7900">
                  <c:v>0.90810000000000002</c:v>
                </c:pt>
                <c:pt idx="7901">
                  <c:v>0.91359999999999997</c:v>
                </c:pt>
                <c:pt idx="7902">
                  <c:v>0.91949999999999998</c:v>
                </c:pt>
                <c:pt idx="7903">
                  <c:v>0.92390000000000005</c:v>
                </c:pt>
              </c:numCache>
            </c:numRef>
          </c:val>
          <c:smooth val="0"/>
        </c:ser>
        <c:dLbls>
          <c:showLegendKey val="0"/>
          <c:showVal val="0"/>
          <c:showCatName val="0"/>
          <c:showSerName val="0"/>
          <c:showPercent val="0"/>
          <c:showBubbleSize val="0"/>
        </c:dLbls>
        <c:marker val="1"/>
        <c:smooth val="0"/>
        <c:axId val="563231840"/>
        <c:axId val="563233016"/>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563235760"/>
        <c:axId val="563229880"/>
      </c:lineChart>
      <c:dateAx>
        <c:axId val="563231840"/>
        <c:scaling>
          <c:orientation val="minMax"/>
          <c:max val="41725"/>
          <c:min val="38803"/>
        </c:scaling>
        <c:delete val="0"/>
        <c:axPos val="b"/>
        <c:numFmt formatCode="d\-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3233016"/>
        <c:crosses val="autoZero"/>
        <c:auto val="1"/>
        <c:lblOffset val="100"/>
        <c:baseTimeUnit val="days"/>
        <c:majorUnit val="2"/>
        <c:majorTimeUnit val="years"/>
      </c:dateAx>
      <c:valAx>
        <c:axId val="563233016"/>
        <c:scaling>
          <c:orientation val="minMax"/>
          <c:max val="1.2"/>
          <c:min val="0.5"/>
        </c:scaling>
        <c:delete val="0"/>
        <c:axPos val="l"/>
        <c:title>
          <c:tx>
            <c:rich>
              <a:bodyPr rot="0" vert="horz"/>
              <a:lstStyle/>
              <a:p>
                <a:pPr>
                  <a:defRPr sz="800" b="0" i="0">
                    <a:solidFill>
                      <a:srgbClr val="000000"/>
                    </a:solidFill>
                    <a:latin typeface="Arial"/>
                    <a:ea typeface="Arial"/>
                    <a:cs typeface="Arial"/>
                  </a:defRPr>
                </a:pPr>
                <a:r>
                  <a:rPr lang="en-AU"/>
                  <a:t>$US</a:t>
                </a:r>
              </a:p>
            </c:rich>
          </c:tx>
          <c:layout>
            <c:manualLayout>
              <c:xMode val="edge"/>
              <c:yMode val="edge"/>
              <c:x val="7.071684587813620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3231840"/>
        <c:crosses val="autoZero"/>
        <c:crossBetween val="midCat"/>
      </c:valAx>
      <c:valAx>
        <c:axId val="563229880"/>
        <c:scaling>
          <c:orientation val="minMax"/>
          <c:max val="1.2000000000000002"/>
          <c:min val="0.5"/>
        </c:scaling>
        <c:delete val="0"/>
        <c:axPos val="r"/>
        <c:title>
          <c:tx>
            <c:rich>
              <a:bodyPr rot="0" vert="horz"/>
              <a:lstStyle/>
              <a:p>
                <a:pPr>
                  <a:defRPr sz="800" b="0" i="0">
                    <a:solidFill>
                      <a:srgbClr val="000000"/>
                    </a:solidFill>
                    <a:latin typeface="Arial"/>
                    <a:ea typeface="Arial"/>
                    <a:cs typeface="Arial"/>
                  </a:defRPr>
                </a:pPr>
                <a:r>
                  <a:rPr lang="en-AU"/>
                  <a:t>$US</a:t>
                </a:r>
              </a:p>
            </c:rich>
          </c:tx>
          <c:layout>
            <c:manualLayout>
              <c:xMode val="edge"/>
              <c:yMode val="edge"/>
              <c:x val="0.88901218637992818"/>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3235760"/>
        <c:crosses val="max"/>
        <c:crossBetween val="midCat"/>
        <c:majorUnit val="0.1"/>
        <c:minorUnit val="0.04"/>
      </c:valAx>
      <c:catAx>
        <c:axId val="563235760"/>
        <c:scaling>
          <c:orientation val="minMax"/>
        </c:scaling>
        <c:delete val="1"/>
        <c:axPos val="b"/>
        <c:majorTickMark val="out"/>
        <c:minorTickMark val="none"/>
        <c:tickLblPos val="nextTo"/>
        <c:crossAx val="5632298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8.017741935483871E-3"/>
          <c:y val="2.2678472222222221E-2"/>
          <c:w val="0.98862007168458776"/>
          <c:h val="0.88015624999999997"/>
        </c:manualLayout>
      </c:layout>
      <c:barChart>
        <c:barDir val="col"/>
        <c:grouping val="clustered"/>
        <c:varyColors val="0"/>
        <c:ser>
          <c:idx val="0"/>
          <c:order val="0"/>
          <c:tx>
            <c:v>APRA-regulated Funds (default investment strategy)</c:v>
          </c:tx>
          <c:invertIfNegative val="0"/>
          <c:cat>
            <c:strRef>
              <c:f>'ATO SMSF data'!$B$30:$B$35</c:f>
              <c:strCache>
                <c:ptCount val="6"/>
                <c:pt idx="0">
                  <c:v>Cash</c:v>
                </c:pt>
                <c:pt idx="1">
                  <c:v>Fixed interest</c:v>
                </c:pt>
                <c:pt idx="2">
                  <c:v>Australian shares</c:v>
                </c:pt>
                <c:pt idx="3">
                  <c:v>International shares</c:v>
                </c:pt>
                <c:pt idx="4">
                  <c:v>Listed and unlisted property</c:v>
                </c:pt>
                <c:pt idx="5">
                  <c:v>Other assets</c:v>
                </c:pt>
              </c:strCache>
            </c:strRef>
          </c:cat>
          <c:val>
            <c:numRef>
              <c:f>'ATO SMSF data'!$D$30:$D$35</c:f>
              <c:numCache>
                <c:formatCode>0</c:formatCode>
                <c:ptCount val="6"/>
                <c:pt idx="0">
                  <c:v>8.1595438172694692</c:v>
                </c:pt>
                <c:pt idx="1">
                  <c:v>14.437419684250496</c:v>
                </c:pt>
                <c:pt idx="2">
                  <c:v>26.486659272433165</c:v>
                </c:pt>
                <c:pt idx="3">
                  <c:v>24.929579579901702</c:v>
                </c:pt>
                <c:pt idx="4">
                  <c:v>9.5080975438129798</c:v>
                </c:pt>
                <c:pt idx="5">
                  <c:v>16.478485569445368</c:v>
                </c:pt>
              </c:numCache>
            </c:numRef>
          </c:val>
        </c:ser>
        <c:ser>
          <c:idx val="1"/>
          <c:order val="1"/>
          <c:tx>
            <c:v>SMSFs</c:v>
          </c:tx>
          <c:invertIfNegative val="0"/>
          <c:cat>
            <c:strRef>
              <c:f>'ATO SMSF data'!$B$30:$B$35</c:f>
              <c:strCache>
                <c:ptCount val="6"/>
                <c:pt idx="0">
                  <c:v>Cash</c:v>
                </c:pt>
                <c:pt idx="1">
                  <c:v>Fixed interest</c:v>
                </c:pt>
                <c:pt idx="2">
                  <c:v>Australian shares</c:v>
                </c:pt>
                <c:pt idx="3">
                  <c:v>International shares</c:v>
                </c:pt>
                <c:pt idx="4">
                  <c:v>Listed and unlisted property</c:v>
                </c:pt>
                <c:pt idx="5">
                  <c:v>Other assets</c:v>
                </c:pt>
              </c:strCache>
            </c:strRef>
          </c:cat>
          <c:val>
            <c:numRef>
              <c:f>'ATO SMSF data'!$F$30:$F$35</c:f>
              <c:numCache>
                <c:formatCode>0</c:formatCode>
                <c:ptCount val="6"/>
                <c:pt idx="0">
                  <c:v>29.83831435721671</c:v>
                </c:pt>
                <c:pt idx="1">
                  <c:v>1.4334790693797519</c:v>
                </c:pt>
                <c:pt idx="2">
                  <c:v>31.525028826365059</c:v>
                </c:pt>
                <c:pt idx="3" formatCode="0.0">
                  <c:v>0.37191468586704346</c:v>
                </c:pt>
                <c:pt idx="4">
                  <c:v>15.962760900930581</c:v>
                </c:pt>
                <c:pt idx="5">
                  <c:v>20.868502160240851</c:v>
                </c:pt>
              </c:numCache>
            </c:numRef>
          </c:val>
        </c:ser>
        <c:dLbls>
          <c:showLegendKey val="0"/>
          <c:showVal val="0"/>
          <c:showCatName val="0"/>
          <c:showSerName val="0"/>
          <c:showPercent val="0"/>
          <c:showBubbleSize val="0"/>
        </c:dLbls>
        <c:gapWidth val="50"/>
        <c:axId val="503789408"/>
        <c:axId val="503790976"/>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axId val="503795680"/>
        <c:axId val="503786272"/>
      </c:barChart>
      <c:catAx>
        <c:axId val="503789408"/>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0976"/>
        <c:crosses val="autoZero"/>
        <c:auto val="1"/>
        <c:lblAlgn val="ctr"/>
        <c:lblOffset val="100"/>
        <c:noMultiLvlLbl val="0"/>
      </c:catAx>
      <c:valAx>
        <c:axId val="503790976"/>
        <c:scaling>
          <c:orientation val="minMax"/>
          <c:max val="40"/>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0985663082437273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89408"/>
        <c:crosses val="autoZero"/>
        <c:crossBetween val="between"/>
        <c:majorUnit val="10"/>
      </c:valAx>
      <c:valAx>
        <c:axId val="503786272"/>
        <c:scaling>
          <c:orientation val="minMax"/>
          <c:max val="4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93209677419354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03795680"/>
        <c:crosses val="max"/>
        <c:crossBetween val="between"/>
        <c:majorUnit val="10"/>
        <c:minorUnit val="2"/>
      </c:valAx>
      <c:catAx>
        <c:axId val="503795680"/>
        <c:scaling>
          <c:orientation val="minMax"/>
        </c:scaling>
        <c:delete val="1"/>
        <c:axPos val="b"/>
        <c:majorTickMark val="out"/>
        <c:minorTickMark val="none"/>
        <c:tickLblPos val="nextTo"/>
        <c:crossAx val="50378627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609738187302964E-3"/>
          <c:y val="2.6031876955721622E-2"/>
          <c:w val="0.98854878272658708"/>
          <c:h val="0.97396812304427838"/>
        </c:manualLayout>
      </c:layout>
      <c:barChart>
        <c:barDir val="col"/>
        <c:grouping val="clustered"/>
        <c:varyColors val="0"/>
        <c:ser>
          <c:idx val="0"/>
          <c:order val="0"/>
          <c:spPr>
            <a:solidFill>
              <a:schemeClr val="accent1"/>
            </a:solidFill>
          </c:spPr>
          <c:invertIfNegative val="0"/>
          <c:dPt>
            <c:idx val="4"/>
            <c:invertIfNegative val="0"/>
            <c:bubble3D val="0"/>
            <c:spPr>
              <a:solidFill>
                <a:schemeClr val="accent2"/>
              </a:solidFill>
            </c:spPr>
          </c:dPt>
          <c:dPt>
            <c:idx val="6"/>
            <c:invertIfNegative val="0"/>
            <c:bubble3D val="0"/>
          </c:dPt>
          <c:cat>
            <c:strRef>
              <c:f>'Data F7'!$K$8:$K$22</c:f>
              <c:strCache>
                <c:ptCount val="15"/>
                <c:pt idx="0">
                  <c:v>Spain</c:v>
                </c:pt>
                <c:pt idx="1">
                  <c:v>Hungary</c:v>
                </c:pt>
                <c:pt idx="2">
                  <c:v>Mexico</c:v>
                </c:pt>
                <c:pt idx="3">
                  <c:v>Czech Republic</c:v>
                </c:pt>
                <c:pt idx="4">
                  <c:v>Australia</c:v>
                </c:pt>
                <c:pt idx="5">
                  <c:v>Greece</c:v>
                </c:pt>
                <c:pt idx="6">
                  <c:v>Belgium</c:v>
                </c:pt>
                <c:pt idx="7">
                  <c:v>Finland</c:v>
                </c:pt>
                <c:pt idx="8">
                  <c:v>Norway</c:v>
                </c:pt>
                <c:pt idx="9">
                  <c:v>Switzerland</c:v>
                </c:pt>
                <c:pt idx="10">
                  <c:v>United Kingdom*</c:v>
                </c:pt>
                <c:pt idx="11">
                  <c:v>Iceland</c:v>
                </c:pt>
                <c:pt idx="12">
                  <c:v>Germany</c:v>
                </c:pt>
                <c:pt idx="13">
                  <c:v>Netherlands</c:v>
                </c:pt>
                <c:pt idx="14">
                  <c:v>Denmark</c:v>
                </c:pt>
              </c:strCache>
            </c:strRef>
          </c:cat>
          <c:val>
            <c:numRef>
              <c:f>'Data F7'!$L$8:$L$22</c:f>
              <c:numCache>
                <c:formatCode>General</c:formatCode>
                <c:ptCount val="15"/>
                <c:pt idx="0">
                  <c:v>1.3986256279956113</c:v>
                </c:pt>
                <c:pt idx="1">
                  <c:v>1.1923217908162091</c:v>
                </c:pt>
                <c:pt idx="2">
                  <c:v>0.87027729693028089</c:v>
                </c:pt>
                <c:pt idx="3">
                  <c:v>0.79898689039168325</c:v>
                </c:pt>
                <c:pt idx="4">
                  <c:v>0.77250158299131655</c:v>
                </c:pt>
                <c:pt idx="5">
                  <c:v>0.6476664178224989</c:v>
                </c:pt>
                <c:pt idx="6">
                  <c:v>0.46859598587893969</c:v>
                </c:pt>
                <c:pt idx="7">
                  <c:v>0.45565543022121546</c:v>
                </c:pt>
                <c:pt idx="8">
                  <c:v>0.27112235837604637</c:v>
                </c:pt>
                <c:pt idx="9">
                  <c:v>0.27052362479572523</c:v>
                </c:pt>
                <c:pt idx="10">
                  <c:v>0.25800000000000001</c:v>
                </c:pt>
                <c:pt idx="11">
                  <c:v>0.23579046173927096</c:v>
                </c:pt>
                <c:pt idx="12">
                  <c:v>0.21069577334192005</c:v>
                </c:pt>
                <c:pt idx="13">
                  <c:v>0.17850001666277868</c:v>
                </c:pt>
                <c:pt idx="14">
                  <c:v>9.3505544046723288E-2</c:v>
                </c:pt>
              </c:numCache>
            </c:numRef>
          </c:val>
        </c:ser>
        <c:dLbls>
          <c:showLegendKey val="0"/>
          <c:showVal val="0"/>
          <c:showCatName val="0"/>
          <c:showSerName val="0"/>
          <c:showPercent val="0"/>
          <c:showBubbleSize val="0"/>
        </c:dLbls>
        <c:gapWidth val="50"/>
        <c:axId val="503796072"/>
        <c:axId val="503790584"/>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50"/>
        <c:axId val="503791368"/>
        <c:axId val="503789800"/>
      </c:barChart>
      <c:catAx>
        <c:axId val="503796072"/>
        <c:scaling>
          <c:orientation val="minMax"/>
        </c:scaling>
        <c:delete val="0"/>
        <c:axPos val="b"/>
        <c:numFmt formatCode="General" sourceLinked="0"/>
        <c:majorTickMark val="in"/>
        <c:minorTickMark val="none"/>
        <c:tickLblPos val="low"/>
        <c:spPr>
          <a:ln w="12700">
            <a:solidFill>
              <a:srgbClr val="808080"/>
            </a:solidFill>
            <a:prstDash val="solid"/>
          </a:ln>
        </c:spPr>
        <c:txPr>
          <a:bodyPr rot="-2940000" vert="horz"/>
          <a:lstStyle/>
          <a:p>
            <a:pPr>
              <a:defRPr sz="800" b="0" i="0">
                <a:solidFill>
                  <a:srgbClr val="000000"/>
                </a:solidFill>
                <a:latin typeface="Arial"/>
                <a:ea typeface="Arial"/>
                <a:cs typeface="Arial"/>
              </a:defRPr>
            </a:pPr>
            <a:endParaRPr lang="en-US"/>
          </a:p>
        </c:txPr>
        <c:crossAx val="503790584"/>
        <c:crosses val="autoZero"/>
        <c:auto val="1"/>
        <c:lblAlgn val="ctr"/>
        <c:lblOffset val="100"/>
        <c:noMultiLvlLbl val="0"/>
      </c:catAx>
      <c:valAx>
        <c:axId val="503790584"/>
        <c:scaling>
          <c:orientation val="minMax"/>
          <c:max val="1.5"/>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0385356003016628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6072"/>
        <c:crosses val="autoZero"/>
        <c:crossBetween val="between"/>
        <c:majorUnit val="0.5"/>
      </c:valAx>
      <c:valAx>
        <c:axId val="503789800"/>
        <c:scaling>
          <c:orientation val="minMax"/>
          <c:max val="1.5"/>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923449243696693"/>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03791368"/>
        <c:crosses val="max"/>
        <c:crossBetween val="between"/>
        <c:majorUnit val="0.5"/>
        <c:minorUnit val="0.1"/>
      </c:valAx>
      <c:catAx>
        <c:axId val="503791368"/>
        <c:scaling>
          <c:orientation val="minMax"/>
        </c:scaling>
        <c:delete val="1"/>
        <c:axPos val="b"/>
        <c:majorTickMark val="out"/>
        <c:minorTickMark val="none"/>
        <c:tickLblPos val="nextTo"/>
        <c:crossAx val="50378980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
          <c:y val="2.0158730158730157E-2"/>
          <c:w val="0.98862007168458776"/>
          <c:h val="0.97480158730158728"/>
        </c:manualLayout>
      </c:layout>
      <c:lineChart>
        <c:grouping val="standard"/>
        <c:varyColors val="0"/>
        <c:ser>
          <c:idx val="0"/>
          <c:order val="0"/>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premiums'!$G$12:$G$52</c:f>
              <c:numCache>
                <c:formatCode>0.0</c:formatCode>
                <c:ptCount val="41"/>
                <c:pt idx="0">
                  <c:v>100</c:v>
                </c:pt>
                <c:pt idx="1">
                  <c:v>100.57803468208093</c:v>
                </c:pt>
                <c:pt idx="2">
                  <c:v>100.77071290944124</c:v>
                </c:pt>
                <c:pt idx="3">
                  <c:v>100.57803468208093</c:v>
                </c:pt>
                <c:pt idx="4">
                  <c:v>100.38535645472062</c:v>
                </c:pt>
                <c:pt idx="5">
                  <c:v>100.67437379576107</c:v>
                </c:pt>
                <c:pt idx="6">
                  <c:v>101.05973025048169</c:v>
                </c:pt>
                <c:pt idx="7">
                  <c:v>101.54142581888249</c:v>
                </c:pt>
                <c:pt idx="8">
                  <c:v>102.11946050096338</c:v>
                </c:pt>
                <c:pt idx="9">
                  <c:v>102.60115606936418</c:v>
                </c:pt>
                <c:pt idx="10">
                  <c:v>102.79383429672448</c:v>
                </c:pt>
                <c:pt idx="11">
                  <c:v>102.69749518304432</c:v>
                </c:pt>
                <c:pt idx="12">
                  <c:v>102.60115606936418</c:v>
                </c:pt>
                <c:pt idx="13">
                  <c:v>102.69749518304432</c:v>
                </c:pt>
                <c:pt idx="14">
                  <c:v>103.27552986512525</c:v>
                </c:pt>
                <c:pt idx="15">
                  <c:v>104.04624277456647</c:v>
                </c:pt>
                <c:pt idx="16">
                  <c:v>105.00963391136801</c:v>
                </c:pt>
                <c:pt idx="17">
                  <c:v>105.78034682080926</c:v>
                </c:pt>
                <c:pt idx="18">
                  <c:v>106.64739884393065</c:v>
                </c:pt>
                <c:pt idx="19">
                  <c:v>107.41811175337187</c:v>
                </c:pt>
                <c:pt idx="20">
                  <c:v>108.28516377649326</c:v>
                </c:pt>
                <c:pt idx="21">
                  <c:v>109.4412331406551</c:v>
                </c:pt>
                <c:pt idx="22">
                  <c:v>111.07899807321773</c:v>
                </c:pt>
                <c:pt idx="23">
                  <c:v>112.90944123314065</c:v>
                </c:pt>
                <c:pt idx="24">
                  <c:v>114.73988439306358</c:v>
                </c:pt>
                <c:pt idx="25">
                  <c:v>115.9922928709056</c:v>
                </c:pt>
                <c:pt idx="26">
                  <c:v>116.57032755298651</c:v>
                </c:pt>
                <c:pt idx="27">
                  <c:v>116.95568400770713</c:v>
                </c:pt>
                <c:pt idx="28">
                  <c:v>117.43737957610792</c:v>
                </c:pt>
                <c:pt idx="29">
                  <c:v>117.91907514450868</c:v>
                </c:pt>
                <c:pt idx="30">
                  <c:v>118.20809248554913</c:v>
                </c:pt>
                <c:pt idx="31">
                  <c:v>118.11175337186897</c:v>
                </c:pt>
                <c:pt idx="32">
                  <c:v>118.3044315992293</c:v>
                </c:pt>
                <c:pt idx="33">
                  <c:v>118.97880539499037</c:v>
                </c:pt>
                <c:pt idx="34">
                  <c:v>120.03853564547207</c:v>
                </c:pt>
                <c:pt idx="35">
                  <c:v>121.29094412331408</c:v>
                </c:pt>
                <c:pt idx="36">
                  <c:v>122.44701348747591</c:v>
                </c:pt>
                <c:pt idx="37">
                  <c:v>123.69942196531794</c:v>
                </c:pt>
                <c:pt idx="38">
                  <c:v>125.14450867052025</c:v>
                </c:pt>
                <c:pt idx="39">
                  <c:v>126.30057803468209</c:v>
                </c:pt>
                <c:pt idx="40">
                  <c:v>126.878612716763</c:v>
                </c:pt>
              </c:numCache>
            </c:numRef>
          </c:val>
          <c:smooth val="0"/>
        </c:ser>
        <c:dLbls>
          <c:showLegendKey val="0"/>
          <c:showVal val="0"/>
          <c:showCatName val="0"/>
          <c:showSerName val="0"/>
          <c:showPercent val="0"/>
          <c:showBubbleSize val="0"/>
        </c:dLbls>
        <c:marker val="1"/>
        <c:smooth val="0"/>
        <c:axId val="503792544"/>
        <c:axId val="503792936"/>
      </c:lineChart>
      <c:lineChart>
        <c:grouping val="standard"/>
        <c:varyColors val="0"/>
        <c:ser>
          <c:idx val="1"/>
          <c:order val="1"/>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premiums'!$H$12:$H$52</c:f>
              <c:numCache>
                <c:formatCode>0.0</c:formatCode>
                <c:ptCount val="41"/>
                <c:pt idx="0">
                  <c:v>100</c:v>
                </c:pt>
                <c:pt idx="1">
                  <c:v>101.50309460654287</c:v>
                </c:pt>
                <c:pt idx="2">
                  <c:v>103.0946065428824</c:v>
                </c:pt>
                <c:pt idx="3">
                  <c:v>104.77453580901856</c:v>
                </c:pt>
                <c:pt idx="4">
                  <c:v>106.18921308576481</c:v>
                </c:pt>
                <c:pt idx="5">
                  <c:v>107.16180371352786</c:v>
                </c:pt>
                <c:pt idx="6">
                  <c:v>107.69230769230769</c:v>
                </c:pt>
                <c:pt idx="7">
                  <c:v>108.13439434129091</c:v>
                </c:pt>
                <c:pt idx="8">
                  <c:v>108.57648099027411</c:v>
                </c:pt>
                <c:pt idx="9">
                  <c:v>109.28381962864722</c:v>
                </c:pt>
                <c:pt idx="10">
                  <c:v>109.99115826702035</c:v>
                </c:pt>
                <c:pt idx="11">
                  <c:v>110.52166224580017</c:v>
                </c:pt>
                <c:pt idx="12">
                  <c:v>110.87533156498675</c:v>
                </c:pt>
                <c:pt idx="13">
                  <c:v>111.31741821396994</c:v>
                </c:pt>
                <c:pt idx="14">
                  <c:v>111.84792219274979</c:v>
                </c:pt>
                <c:pt idx="15">
                  <c:v>112.55526083112291</c:v>
                </c:pt>
                <c:pt idx="16">
                  <c:v>113.35101679929265</c:v>
                </c:pt>
                <c:pt idx="17">
                  <c:v>114.23519009725906</c:v>
                </c:pt>
                <c:pt idx="18">
                  <c:v>115.11936339522546</c:v>
                </c:pt>
                <c:pt idx="19">
                  <c:v>115.82670203359859</c:v>
                </c:pt>
                <c:pt idx="20">
                  <c:v>116.35720601237843</c:v>
                </c:pt>
                <c:pt idx="21">
                  <c:v>118.0371352785146</c:v>
                </c:pt>
                <c:pt idx="22">
                  <c:v>121.75066312997347</c:v>
                </c:pt>
                <c:pt idx="23">
                  <c:v>126.25994694960214</c:v>
                </c:pt>
                <c:pt idx="24">
                  <c:v>129.79664014146775</c:v>
                </c:pt>
                <c:pt idx="25">
                  <c:v>131.56498673740055</c:v>
                </c:pt>
                <c:pt idx="26">
                  <c:v>132.27232537577365</c:v>
                </c:pt>
                <c:pt idx="27">
                  <c:v>133.2449160035367</c:v>
                </c:pt>
                <c:pt idx="28">
                  <c:v>134.48275862068965</c:v>
                </c:pt>
                <c:pt idx="29">
                  <c:v>135.72060123784263</c:v>
                </c:pt>
                <c:pt idx="30">
                  <c:v>136.95844385499558</c:v>
                </c:pt>
                <c:pt idx="31">
                  <c:v>137.84261715296199</c:v>
                </c:pt>
                <c:pt idx="32">
                  <c:v>138.90362511052166</c:v>
                </c:pt>
                <c:pt idx="33">
                  <c:v>140.4951370468612</c:v>
                </c:pt>
                <c:pt idx="34">
                  <c:v>142.61715296198057</c:v>
                </c:pt>
                <c:pt idx="35">
                  <c:v>145.26967285587978</c:v>
                </c:pt>
                <c:pt idx="36">
                  <c:v>148.0106100795756</c:v>
                </c:pt>
                <c:pt idx="37">
                  <c:v>150.5747126436782</c:v>
                </c:pt>
                <c:pt idx="38">
                  <c:v>153.31564986737402</c:v>
                </c:pt>
                <c:pt idx="39">
                  <c:v>155.70291777188331</c:v>
                </c:pt>
                <c:pt idx="40">
                  <c:v>156.94076038903626</c:v>
                </c:pt>
              </c:numCache>
            </c:numRef>
          </c:val>
          <c:smooth val="0"/>
        </c:ser>
        <c:ser>
          <c:idx val="2"/>
          <c:order val="2"/>
          <c:spPr>
            <a:ln w="25400"/>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premiums'!$I$12:$I$52</c:f>
              <c:numCache>
                <c:formatCode>0.0</c:formatCode>
                <c:ptCount val="41"/>
                <c:pt idx="0">
                  <c:v>100</c:v>
                </c:pt>
                <c:pt idx="1">
                  <c:v>100.78878177037687</c:v>
                </c:pt>
                <c:pt idx="2">
                  <c:v>101.48992112182296</c:v>
                </c:pt>
                <c:pt idx="3">
                  <c:v>102.45398773006136</c:v>
                </c:pt>
                <c:pt idx="4">
                  <c:v>103.94390885188432</c:v>
                </c:pt>
                <c:pt idx="5">
                  <c:v>105.6091148115688</c:v>
                </c:pt>
                <c:pt idx="6">
                  <c:v>106.92375109553025</c:v>
                </c:pt>
                <c:pt idx="7">
                  <c:v>107.88781770376863</c:v>
                </c:pt>
                <c:pt idx="8">
                  <c:v>108.85188431200703</c:v>
                </c:pt>
                <c:pt idx="9">
                  <c:v>110.07887817703769</c:v>
                </c:pt>
                <c:pt idx="10">
                  <c:v>111.4811568799299</c:v>
                </c:pt>
                <c:pt idx="11">
                  <c:v>112.8834355828221</c:v>
                </c:pt>
                <c:pt idx="12">
                  <c:v>114.11042944785275</c:v>
                </c:pt>
                <c:pt idx="13">
                  <c:v>115.16213847502192</c:v>
                </c:pt>
                <c:pt idx="14">
                  <c:v>116.30148992112181</c:v>
                </c:pt>
                <c:pt idx="15">
                  <c:v>117.44084136722175</c:v>
                </c:pt>
                <c:pt idx="16">
                  <c:v>119.01840490797548</c:v>
                </c:pt>
                <c:pt idx="17">
                  <c:v>120.77125328659073</c:v>
                </c:pt>
                <c:pt idx="18">
                  <c:v>122.61174408413673</c:v>
                </c:pt>
                <c:pt idx="19">
                  <c:v>124.53987730061348</c:v>
                </c:pt>
                <c:pt idx="20">
                  <c:v>126.29272567922875</c:v>
                </c:pt>
                <c:pt idx="21">
                  <c:v>129.44785276073617</c:v>
                </c:pt>
                <c:pt idx="22">
                  <c:v>135.23225241016655</c:v>
                </c:pt>
                <c:pt idx="23">
                  <c:v>142.94478527607362</c:v>
                </c:pt>
                <c:pt idx="24">
                  <c:v>150.13146362839615</c:v>
                </c:pt>
                <c:pt idx="25">
                  <c:v>155.21472392638037</c:v>
                </c:pt>
                <c:pt idx="26">
                  <c:v>159.0709903593339</c:v>
                </c:pt>
                <c:pt idx="27">
                  <c:v>163.54075372480281</c:v>
                </c:pt>
                <c:pt idx="28">
                  <c:v>168.4487291849255</c:v>
                </c:pt>
                <c:pt idx="29">
                  <c:v>173.70727432077123</c:v>
                </c:pt>
                <c:pt idx="30">
                  <c:v>178.965819456617</c:v>
                </c:pt>
                <c:pt idx="31">
                  <c:v>184.48729184925506</c:v>
                </c:pt>
                <c:pt idx="32">
                  <c:v>190.79754601226995</c:v>
                </c:pt>
                <c:pt idx="33">
                  <c:v>198.51007887817704</c:v>
                </c:pt>
                <c:pt idx="34">
                  <c:v>207.97546012269939</c:v>
                </c:pt>
                <c:pt idx="35">
                  <c:v>218.84312007011394</c:v>
                </c:pt>
                <c:pt idx="36">
                  <c:v>229.71078001752852</c:v>
                </c:pt>
                <c:pt idx="37">
                  <c:v>240.22787028922005</c:v>
                </c:pt>
                <c:pt idx="38">
                  <c:v>250.83260297984228</c:v>
                </c:pt>
                <c:pt idx="39">
                  <c:v>260.0350569675723</c:v>
                </c:pt>
                <c:pt idx="40">
                  <c:v>265.03067484662574</c:v>
                </c:pt>
              </c:numCache>
            </c:numRef>
          </c:val>
          <c:smooth val="0"/>
        </c:ser>
        <c:ser>
          <c:idx val="3"/>
          <c:order val="3"/>
          <c:spPr>
            <a:ln w="25400">
              <a:solidFill>
                <a:schemeClr val="tx1"/>
              </a:solidFill>
              <a:prstDash val="sysDash"/>
            </a:ln>
          </c:spPr>
          <c:marker>
            <c:symbol val="none"/>
          </c:marker>
          <c:cat>
            <c:numRef>
              <c:f>'[General Insurance (2).xlsx]Average premiums'!$A$12:$A$52</c:f>
              <c:numCache>
                <c:formatCode>mmm\-yy</c:formatCode>
                <c:ptCount val="41"/>
                <c:pt idx="0">
                  <c:v>37773</c:v>
                </c:pt>
                <c:pt idx="1">
                  <c:v>37865</c:v>
                </c:pt>
                <c:pt idx="2">
                  <c:v>37956</c:v>
                </c:pt>
                <c:pt idx="3">
                  <c:v>38047</c:v>
                </c:pt>
                <c:pt idx="4">
                  <c:v>38139</c:v>
                </c:pt>
                <c:pt idx="5">
                  <c:v>38231</c:v>
                </c:pt>
                <c:pt idx="6">
                  <c:v>38322</c:v>
                </c:pt>
                <c:pt idx="7">
                  <c:v>38412</c:v>
                </c:pt>
                <c:pt idx="8">
                  <c:v>38504</c:v>
                </c:pt>
                <c:pt idx="9">
                  <c:v>38596</c:v>
                </c:pt>
                <c:pt idx="10">
                  <c:v>38687</c:v>
                </c:pt>
                <c:pt idx="11">
                  <c:v>38777</c:v>
                </c:pt>
                <c:pt idx="12">
                  <c:v>38869</c:v>
                </c:pt>
                <c:pt idx="13">
                  <c:v>38961</c:v>
                </c:pt>
                <c:pt idx="14">
                  <c:v>39052</c:v>
                </c:pt>
                <c:pt idx="15">
                  <c:v>39142</c:v>
                </c:pt>
                <c:pt idx="16">
                  <c:v>39234</c:v>
                </c:pt>
                <c:pt idx="17">
                  <c:v>39326</c:v>
                </c:pt>
                <c:pt idx="18">
                  <c:v>39417</c:v>
                </c:pt>
                <c:pt idx="19">
                  <c:v>39508</c:v>
                </c:pt>
                <c:pt idx="20">
                  <c:v>39600</c:v>
                </c:pt>
                <c:pt idx="21">
                  <c:v>39692</c:v>
                </c:pt>
                <c:pt idx="22">
                  <c:v>39783</c:v>
                </c:pt>
                <c:pt idx="23">
                  <c:v>39873</c:v>
                </c:pt>
                <c:pt idx="24">
                  <c:v>39965</c:v>
                </c:pt>
                <c:pt idx="25">
                  <c:v>40057</c:v>
                </c:pt>
                <c:pt idx="26">
                  <c:v>40148</c:v>
                </c:pt>
                <c:pt idx="27">
                  <c:v>40238</c:v>
                </c:pt>
                <c:pt idx="28">
                  <c:v>40330</c:v>
                </c:pt>
                <c:pt idx="29">
                  <c:v>40422</c:v>
                </c:pt>
                <c:pt idx="30">
                  <c:v>40513</c:v>
                </c:pt>
                <c:pt idx="31">
                  <c:v>40603</c:v>
                </c:pt>
                <c:pt idx="32">
                  <c:v>40695</c:v>
                </c:pt>
                <c:pt idx="33">
                  <c:v>40787</c:v>
                </c:pt>
                <c:pt idx="34">
                  <c:v>40878</c:v>
                </c:pt>
                <c:pt idx="35">
                  <c:v>40969</c:v>
                </c:pt>
                <c:pt idx="36">
                  <c:v>41061</c:v>
                </c:pt>
                <c:pt idx="37">
                  <c:v>41153</c:v>
                </c:pt>
                <c:pt idx="38">
                  <c:v>41244</c:v>
                </c:pt>
                <c:pt idx="39">
                  <c:v>41334</c:v>
                </c:pt>
                <c:pt idx="40">
                  <c:v>41426</c:v>
                </c:pt>
              </c:numCache>
            </c:numRef>
          </c:cat>
          <c:val>
            <c:numRef>
              <c:f>'[General Insurance (2).xlsx]Average premiums'!$J$12:$J$52</c:f>
              <c:numCache>
                <c:formatCode>0.0</c:formatCode>
                <c:ptCount val="41"/>
                <c:pt idx="0">
                  <c:v>100</c:v>
                </c:pt>
                <c:pt idx="1">
                  <c:v>100.63613231552162</c:v>
                </c:pt>
                <c:pt idx="2">
                  <c:v>101.14503816793894</c:v>
                </c:pt>
                <c:pt idx="3">
                  <c:v>102.03562340966923</c:v>
                </c:pt>
                <c:pt idx="4">
                  <c:v>102.5445292620865</c:v>
                </c:pt>
                <c:pt idx="5">
                  <c:v>102.92620865139949</c:v>
                </c:pt>
                <c:pt idx="6">
                  <c:v>103.68956743002545</c:v>
                </c:pt>
                <c:pt idx="7">
                  <c:v>104.45292620865141</c:v>
                </c:pt>
                <c:pt idx="8">
                  <c:v>105.08905852417303</c:v>
                </c:pt>
                <c:pt idx="9">
                  <c:v>106.10687022900764</c:v>
                </c:pt>
                <c:pt idx="10">
                  <c:v>106.61577608142494</c:v>
                </c:pt>
                <c:pt idx="11">
                  <c:v>107.50636132315523</c:v>
                </c:pt>
                <c:pt idx="12">
                  <c:v>109.28753180661579</c:v>
                </c:pt>
                <c:pt idx="13">
                  <c:v>110.30534351145039</c:v>
                </c:pt>
                <c:pt idx="14">
                  <c:v>110.17811704834605</c:v>
                </c:pt>
                <c:pt idx="15">
                  <c:v>110.17811704834605</c:v>
                </c:pt>
                <c:pt idx="16">
                  <c:v>111.57760814249365</c:v>
                </c:pt>
                <c:pt idx="17">
                  <c:v>112.34096692111959</c:v>
                </c:pt>
                <c:pt idx="18">
                  <c:v>113.3587786259542</c:v>
                </c:pt>
                <c:pt idx="19">
                  <c:v>114.88549618320612</c:v>
                </c:pt>
                <c:pt idx="20">
                  <c:v>116.53944020356235</c:v>
                </c:pt>
                <c:pt idx="21">
                  <c:v>117.93893129770994</c:v>
                </c:pt>
                <c:pt idx="22">
                  <c:v>117.55725190839696</c:v>
                </c:pt>
                <c:pt idx="23">
                  <c:v>117.68447837150129</c:v>
                </c:pt>
                <c:pt idx="24">
                  <c:v>118.19338422391859</c:v>
                </c:pt>
                <c:pt idx="25">
                  <c:v>119.33842239185751</c:v>
                </c:pt>
                <c:pt idx="26">
                  <c:v>119.97455470737914</c:v>
                </c:pt>
                <c:pt idx="27">
                  <c:v>121.11959287531808</c:v>
                </c:pt>
                <c:pt idx="28">
                  <c:v>121.88295165394403</c:v>
                </c:pt>
                <c:pt idx="29">
                  <c:v>122.77353689567431</c:v>
                </c:pt>
                <c:pt idx="30">
                  <c:v>123.28244274809161</c:v>
                </c:pt>
                <c:pt idx="31">
                  <c:v>125.06361323155217</c:v>
                </c:pt>
                <c:pt idx="32">
                  <c:v>126.20865139949112</c:v>
                </c:pt>
                <c:pt idx="33">
                  <c:v>126.97201017811706</c:v>
                </c:pt>
                <c:pt idx="34">
                  <c:v>126.97201017811706</c:v>
                </c:pt>
                <c:pt idx="35">
                  <c:v>127.09923664122138</c:v>
                </c:pt>
                <c:pt idx="36">
                  <c:v>127.73536895674302</c:v>
                </c:pt>
                <c:pt idx="37">
                  <c:v>129.51653944020356</c:v>
                </c:pt>
                <c:pt idx="38">
                  <c:v>129.77099236641223</c:v>
                </c:pt>
                <c:pt idx="39">
                  <c:v>130.27989821882952</c:v>
                </c:pt>
                <c:pt idx="40">
                  <c:v>130.78880407124683</c:v>
                </c:pt>
              </c:numCache>
            </c:numRef>
          </c:val>
          <c:smooth val="0"/>
        </c:ser>
        <c:dLbls>
          <c:showLegendKey val="0"/>
          <c:showVal val="0"/>
          <c:showCatName val="0"/>
          <c:showSerName val="0"/>
          <c:showPercent val="0"/>
          <c:showBubbleSize val="0"/>
        </c:dLbls>
        <c:marker val="1"/>
        <c:smooth val="0"/>
        <c:axId val="503796464"/>
        <c:axId val="503793328"/>
      </c:lineChart>
      <c:dateAx>
        <c:axId val="503792544"/>
        <c:scaling>
          <c:orientation val="minMax"/>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2936"/>
        <c:crosses val="autoZero"/>
        <c:auto val="1"/>
        <c:lblOffset val="100"/>
        <c:baseTimeUnit val="months"/>
        <c:majorUnit val="24"/>
        <c:majorTimeUnit val="months"/>
      </c:dateAx>
      <c:valAx>
        <c:axId val="503792936"/>
        <c:scaling>
          <c:orientation val="minMax"/>
          <c:max val="300"/>
          <c:min val="60"/>
        </c:scaling>
        <c:delete val="0"/>
        <c:axPos val="l"/>
        <c:title>
          <c:tx>
            <c:rich>
              <a:bodyPr rot="0" vert="horz"/>
              <a:lstStyle/>
              <a:p>
                <a:pPr>
                  <a:defRPr sz="800" b="0" i="0">
                    <a:solidFill>
                      <a:srgbClr val="000000"/>
                    </a:solidFill>
                    <a:latin typeface="Arial"/>
                    <a:ea typeface="Arial"/>
                    <a:cs typeface="Arial"/>
                  </a:defRPr>
                </a:pPr>
                <a:r>
                  <a:rPr lang="en-AU"/>
                  <a:t>Index: (Jun-03=100)</a:t>
                </a:r>
              </a:p>
            </c:rich>
          </c:tx>
          <c:layout>
            <c:manualLayout>
              <c:xMode val="edge"/>
              <c:yMode val="edge"/>
              <c:x val="6.100358422939068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2544"/>
        <c:crosses val="autoZero"/>
        <c:crossBetween val="midCat"/>
        <c:majorUnit val="40"/>
      </c:valAx>
      <c:valAx>
        <c:axId val="503793328"/>
        <c:scaling>
          <c:orientation val="minMax"/>
          <c:max val="300"/>
          <c:min val="60"/>
        </c:scaling>
        <c:delete val="0"/>
        <c:axPos val="r"/>
        <c:title>
          <c:tx>
            <c:rich>
              <a:bodyPr rot="0" vert="horz"/>
              <a:lstStyle/>
              <a:p>
                <a:pPr>
                  <a:defRPr sz="800" b="0" i="0">
                    <a:solidFill>
                      <a:srgbClr val="000000"/>
                    </a:solidFill>
                    <a:latin typeface="Arial"/>
                    <a:ea typeface="Arial"/>
                    <a:cs typeface="Arial"/>
                  </a:defRPr>
                </a:pPr>
                <a:r>
                  <a:rPr lang="en-AU"/>
                  <a:t>Index: (Jun-03=100)</a:t>
                </a:r>
              </a:p>
            </c:rich>
          </c:tx>
          <c:layout>
            <c:manualLayout>
              <c:xMode val="edge"/>
              <c:yMode val="edge"/>
              <c:x val="0.7537870967741934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03796464"/>
        <c:crosses val="max"/>
        <c:crossBetween val="midCat"/>
        <c:majorUnit val="40"/>
        <c:minorUnit val="4"/>
      </c:valAx>
      <c:dateAx>
        <c:axId val="503796464"/>
        <c:scaling>
          <c:orientation val="minMax"/>
        </c:scaling>
        <c:delete val="1"/>
        <c:axPos val="b"/>
        <c:numFmt formatCode="mmm\-yy" sourceLinked="1"/>
        <c:majorTickMark val="out"/>
        <c:minorTickMark val="none"/>
        <c:tickLblPos val="nextTo"/>
        <c:crossAx val="503793328"/>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a:latin typeface="Arial" pitchFamily="34" charset="0"/>
          <a:cs typeface="Arial"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2.0158730158730157E-2"/>
          <c:w val="0.98862007168458776"/>
          <c:h val="0.97480158730158728"/>
        </c:manualLayout>
      </c:layout>
      <c:lineChart>
        <c:grouping val="standard"/>
        <c:varyColors val="0"/>
        <c:ser>
          <c:idx val="1"/>
          <c:order val="0"/>
          <c:tx>
            <c:strRef>
              <c:f>'[AGA 2012 study charts.xlsx]Sheet2'!$A$3</c:f>
              <c:strCache>
                <c:ptCount val="1"/>
                <c:pt idx="0">
                  <c:v>Premium index 2007 = 100</c:v>
                </c:pt>
              </c:strCache>
            </c:strRef>
          </c:tx>
          <c:spPr>
            <a:ln>
              <a:solidFill>
                <a:schemeClr val="accent1"/>
              </a:solidFill>
            </a:ln>
          </c:spPr>
          <c:marker>
            <c:symbol val="none"/>
          </c:marker>
          <c:cat>
            <c:numRef>
              <c:f>'[AGA 2012 study charts.xlsx]Sheet2'!$B$1:$G$1</c:f>
              <c:numCache>
                <c:formatCode>General</c:formatCode>
                <c:ptCount val="6"/>
                <c:pt idx="0">
                  <c:v>2007</c:v>
                </c:pt>
                <c:pt idx="1">
                  <c:v>2008</c:v>
                </c:pt>
                <c:pt idx="2">
                  <c:v>2009</c:v>
                </c:pt>
                <c:pt idx="3">
                  <c:v>2010</c:v>
                </c:pt>
                <c:pt idx="4">
                  <c:v>2011</c:v>
                </c:pt>
                <c:pt idx="5">
                  <c:v>2012</c:v>
                </c:pt>
              </c:numCache>
            </c:numRef>
          </c:cat>
          <c:val>
            <c:numRef>
              <c:f>'[AGA 2012 study charts.xlsx]Sheet2'!$B$3:$G$3</c:f>
              <c:numCache>
                <c:formatCode>General</c:formatCode>
                <c:ptCount val="6"/>
                <c:pt idx="0">
                  <c:v>100</c:v>
                </c:pt>
                <c:pt idx="1">
                  <c:v>108.11609862681968</c:v>
                </c:pt>
                <c:pt idx="2">
                  <c:v>119.7232166441018</c:v>
                </c:pt>
                <c:pt idx="3">
                  <c:v>150.51107554830404</c:v>
                </c:pt>
                <c:pt idx="4">
                  <c:v>179.3754873945887</c:v>
                </c:pt>
                <c:pt idx="5">
                  <c:v>302.15278120546031</c:v>
                </c:pt>
              </c:numCache>
            </c:numRef>
          </c:val>
          <c:smooth val="0"/>
        </c:ser>
        <c:dLbls>
          <c:showLegendKey val="0"/>
          <c:showVal val="0"/>
          <c:showCatName val="0"/>
          <c:showSerName val="0"/>
          <c:showPercent val="0"/>
          <c:showBubbleSize val="0"/>
        </c:dLbls>
        <c:marker val="1"/>
        <c:smooth val="0"/>
        <c:axId val="503794896"/>
        <c:axId val="503795288"/>
      </c:lineChart>
      <c:lineChart>
        <c:grouping val="standard"/>
        <c:varyColors val="0"/>
        <c:ser>
          <c:idx val="0"/>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503787056"/>
        <c:axId val="503785880"/>
      </c:lineChart>
      <c:catAx>
        <c:axId val="503794896"/>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5288"/>
        <c:crosses val="autoZero"/>
        <c:auto val="1"/>
        <c:lblAlgn val="ctr"/>
        <c:lblOffset val="100"/>
        <c:noMultiLvlLbl val="0"/>
      </c:catAx>
      <c:valAx>
        <c:axId val="503795288"/>
        <c:scaling>
          <c:orientation val="minMax"/>
        </c:scaling>
        <c:delete val="0"/>
        <c:axPos val="l"/>
        <c:title>
          <c:tx>
            <c:rich>
              <a:bodyPr rot="0" vert="horz"/>
              <a:lstStyle/>
              <a:p>
                <a:pPr>
                  <a:defRPr sz="800" b="0" i="0">
                    <a:solidFill>
                      <a:srgbClr val="000000"/>
                    </a:solidFill>
                    <a:latin typeface="Arial"/>
                    <a:ea typeface="Arial"/>
                    <a:cs typeface="Arial"/>
                  </a:defRPr>
                </a:pPr>
                <a:r>
                  <a:rPr lang="en-AU"/>
                  <a:t>Index: 2007=100</a:t>
                </a:r>
              </a:p>
            </c:rich>
          </c:tx>
          <c:layout>
            <c:manualLayout>
              <c:xMode val="edge"/>
              <c:yMode val="edge"/>
              <c:x val="6.4946236559139794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4896"/>
        <c:crosses val="autoZero"/>
        <c:crossBetween val="midCat"/>
      </c:valAx>
      <c:valAx>
        <c:axId val="503785880"/>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AU"/>
                  <a:t>Index: 2007=100</a:t>
                </a:r>
              </a:p>
            </c:rich>
          </c:tx>
          <c:layout>
            <c:manualLayout>
              <c:xMode val="edge"/>
              <c:yMode val="edge"/>
              <c:x val="0.7914100358422938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03787056"/>
        <c:crosses val="max"/>
        <c:crossBetween val="between"/>
        <c:majorUnit val="50"/>
        <c:minorUnit val="10"/>
      </c:valAx>
      <c:catAx>
        <c:axId val="503787056"/>
        <c:scaling>
          <c:orientation val="minMax"/>
        </c:scaling>
        <c:delete val="1"/>
        <c:axPos val="b"/>
        <c:majorTickMark val="out"/>
        <c:minorTickMark val="none"/>
        <c:tickLblPos val="nextTo"/>
        <c:crossAx val="5037858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12186379928315E-2"/>
          <c:y val="4.7713095238095235E-2"/>
          <c:w val="0.93217562724014336"/>
          <c:h val="0.87537301587301586"/>
        </c:manualLayout>
      </c:layout>
      <c:lineChart>
        <c:grouping val="standard"/>
        <c:varyColors val="0"/>
        <c:ser>
          <c:idx val="0"/>
          <c:order val="0"/>
          <c:tx>
            <c:strRef>
              <c:f>'[Insurance Net profit after tax (2).xlsx]Annual'!$A$3</c:f>
              <c:strCache>
                <c:ptCount val="1"/>
                <c:pt idx="0">
                  <c:v>Net profit / loss after tax ($m)</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(2).xlsx]Annual'!$B$3:$L$3</c:f>
              <c:numCache>
                <c:formatCode>General</c:formatCode>
                <c:ptCount val="11"/>
                <c:pt idx="0">
                  <c:v>2898</c:v>
                </c:pt>
                <c:pt idx="1">
                  <c:v>4718</c:v>
                </c:pt>
                <c:pt idx="2">
                  <c:v>4640</c:v>
                </c:pt>
                <c:pt idx="3">
                  <c:v>4633</c:v>
                </c:pt>
                <c:pt idx="4">
                  <c:v>4107</c:v>
                </c:pt>
                <c:pt idx="5">
                  <c:v>1700</c:v>
                </c:pt>
                <c:pt idx="6">
                  <c:v>3600</c:v>
                </c:pt>
                <c:pt idx="7">
                  <c:v>3985</c:v>
                </c:pt>
                <c:pt idx="8">
                  <c:v>2571</c:v>
                </c:pt>
                <c:pt idx="9">
                  <c:v>4822</c:v>
                </c:pt>
                <c:pt idx="10">
                  <c:v>4457</c:v>
                </c:pt>
              </c:numCache>
            </c:numRef>
          </c:val>
          <c:smooth val="0"/>
        </c:ser>
        <c:dLbls>
          <c:showLegendKey val="0"/>
          <c:showVal val="0"/>
          <c:showCatName val="0"/>
          <c:showSerName val="0"/>
          <c:showPercent val="0"/>
          <c:showBubbleSize val="0"/>
        </c:dLbls>
        <c:marker val="1"/>
        <c:smooth val="0"/>
        <c:axId val="503799992"/>
        <c:axId val="503798816"/>
      </c:lineChart>
      <c:lineChart>
        <c:grouping val="standard"/>
        <c:varyColors val="0"/>
        <c:ser>
          <c:idx val="1"/>
          <c:order val="1"/>
          <c:tx>
            <c:strRef>
              <c:f>'[Insurance Net profit after tax (2).xlsx]Annual'!$A$4</c:f>
              <c:strCache>
                <c:ptCount val="1"/>
                <c:pt idx="0">
                  <c:v>2003 - 2007 average</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(2).xlsx]Annual'!$B$4:$L$4</c:f>
              <c:numCache>
                <c:formatCode>General</c:formatCode>
                <c:ptCount val="11"/>
                <c:pt idx="0">
                  <c:v>4199.2</c:v>
                </c:pt>
                <c:pt idx="1">
                  <c:v>4199.2</c:v>
                </c:pt>
                <c:pt idx="2">
                  <c:v>4199.2</c:v>
                </c:pt>
                <c:pt idx="3">
                  <c:v>4199.2</c:v>
                </c:pt>
                <c:pt idx="4">
                  <c:v>4199.2</c:v>
                </c:pt>
              </c:numCache>
            </c:numRef>
          </c:val>
          <c:smooth val="0"/>
        </c:ser>
        <c:ser>
          <c:idx val="2"/>
          <c:order val="2"/>
          <c:tx>
            <c:strRef>
              <c:f>'[Insurance Net profit after tax (2).xlsx]Annual'!$A$5</c:f>
              <c:strCache>
                <c:ptCount val="1"/>
                <c:pt idx="0">
                  <c:v>2008 - 2013 avearge</c:v>
                </c:pt>
              </c:strCache>
            </c:strRef>
          </c:tx>
          <c:marker>
            <c:symbol val="none"/>
          </c:marker>
          <c:cat>
            <c:numRef>
              <c:f>'[Insurance Net profit after tax (2).xlsx]Annual'!$B$2:$L$2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'[Insurance Net profit after tax (2).xlsx]Annual'!$B$5:$L$5</c:f>
              <c:numCache>
                <c:formatCode>General</c:formatCode>
                <c:ptCount val="11"/>
                <c:pt idx="5">
                  <c:v>3522.5</c:v>
                </c:pt>
                <c:pt idx="6">
                  <c:v>3522.5</c:v>
                </c:pt>
                <c:pt idx="7">
                  <c:v>3522.5</c:v>
                </c:pt>
                <c:pt idx="8">
                  <c:v>3522.5</c:v>
                </c:pt>
                <c:pt idx="9">
                  <c:v>3522.5</c:v>
                </c:pt>
                <c:pt idx="10">
                  <c:v>3522.5</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503800776"/>
        <c:axId val="503800384"/>
      </c:lineChart>
      <c:catAx>
        <c:axId val="50379999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8816"/>
        <c:crosses val="autoZero"/>
        <c:auto val="1"/>
        <c:lblAlgn val="ctr"/>
        <c:lblOffset val="100"/>
        <c:noMultiLvlLbl val="0"/>
      </c:catAx>
      <c:valAx>
        <c:axId val="503798816"/>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4.051971326164875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9992"/>
        <c:crosses val="autoZero"/>
        <c:crossBetween val="midCat"/>
        <c:dispUnits>
          <c:builtInUnit val="thousands"/>
        </c:dispUnits>
      </c:valAx>
      <c:valAx>
        <c:axId val="503800384"/>
        <c:scaling>
          <c:orientation val="minMax"/>
          <c:max val="6000"/>
          <c:min val="0"/>
        </c:scaling>
        <c:delete val="0"/>
        <c:axPos val="r"/>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0.8944695340501792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03800776"/>
        <c:crosses val="max"/>
        <c:crossBetween val="midCat"/>
        <c:majorUnit val="1000"/>
        <c:minorUnit val="200"/>
        <c:dispUnits>
          <c:builtInUnit val="thousands"/>
        </c:dispUnits>
      </c:valAx>
      <c:catAx>
        <c:axId val="503800776"/>
        <c:scaling>
          <c:orientation val="minMax"/>
        </c:scaling>
        <c:delete val="1"/>
        <c:axPos val="b"/>
        <c:numFmt formatCode="General" sourceLinked="1"/>
        <c:majorTickMark val="out"/>
        <c:minorTickMark val="none"/>
        <c:tickLblPos val="nextTo"/>
        <c:crossAx val="50380038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5931899641577062E-2"/>
          <c:y val="3.9687500000000001E-2"/>
          <c:w val="0.98406810035842296"/>
          <c:h val="0.88015624999999997"/>
        </c:manualLayout>
      </c:layout>
      <c:barChart>
        <c:barDir val="col"/>
        <c:grouping val="clustered"/>
        <c:varyColors val="0"/>
        <c:ser>
          <c:idx val="0"/>
          <c:order val="0"/>
          <c:tx>
            <c:strRef>
              <c:f>Sheet1!$K$1</c:f>
              <c:strCache>
                <c:ptCount val="1"/>
                <c:pt idx="0">
                  <c:v>Capital raised</c:v>
                </c:pt>
              </c:strCache>
            </c:strRef>
          </c:tx>
          <c:invertIfNegative val="0"/>
          <c:cat>
            <c:strRef>
              <c:f>Sheet1!$F$2:$F$9</c:f>
              <c:strCache>
                <c:ptCount val="8"/>
                <c:pt idx="0">
                  <c:v>2005-06</c:v>
                </c:pt>
                <c:pt idx="1">
                  <c:v>2006-07</c:v>
                </c:pt>
                <c:pt idx="2">
                  <c:v>2007-08</c:v>
                </c:pt>
                <c:pt idx="3">
                  <c:v>2008-09</c:v>
                </c:pt>
                <c:pt idx="4">
                  <c:v>2009-10</c:v>
                </c:pt>
                <c:pt idx="5">
                  <c:v>2010-11</c:v>
                </c:pt>
                <c:pt idx="6">
                  <c:v>2011-12</c:v>
                </c:pt>
                <c:pt idx="7">
                  <c:v>2012-13</c:v>
                </c:pt>
              </c:strCache>
            </c:strRef>
          </c:cat>
          <c:val>
            <c:numRef>
              <c:f>Sheet1!$K$2:$K$9</c:f>
              <c:numCache>
                <c:formatCode>General</c:formatCode>
                <c:ptCount val="8"/>
                <c:pt idx="0">
                  <c:v>51.435029999999998</c:v>
                </c:pt>
                <c:pt idx="1">
                  <c:v>77.905059999999992</c:v>
                </c:pt>
                <c:pt idx="2">
                  <c:v>61.848420000000004</c:v>
                </c:pt>
                <c:pt idx="3">
                  <c:v>89.964520000000007</c:v>
                </c:pt>
                <c:pt idx="4">
                  <c:v>76.5441</c:v>
                </c:pt>
                <c:pt idx="5">
                  <c:v>62.299799999999998</c:v>
                </c:pt>
                <c:pt idx="6">
                  <c:v>42.745350000000002</c:v>
                </c:pt>
                <c:pt idx="7">
                  <c:v>42.355199999999996</c:v>
                </c:pt>
              </c:numCache>
            </c:numRef>
          </c:val>
        </c:ser>
        <c:dLbls>
          <c:showLegendKey val="0"/>
          <c:showVal val="0"/>
          <c:showCatName val="0"/>
          <c:showSerName val="0"/>
          <c:showPercent val="0"/>
          <c:showBubbleSize val="0"/>
        </c:dLbls>
        <c:gapWidth val="150"/>
        <c:axId val="503801168"/>
        <c:axId val="503798424"/>
      </c:barChart>
      <c:barChart>
        <c:barDir val="col"/>
        <c:grouping val="clustered"/>
        <c:varyColors val="0"/>
        <c:ser>
          <c:idx val="2"/>
          <c:order val="1"/>
          <c:tx>
            <c:v>DUMMY</c:v>
          </c:tx>
          <c:spPr>
            <a:noFill/>
            <a:ln w="25400">
              <a:noFill/>
            </a:ln>
            <a:effectLst/>
          </c:spPr>
          <c:invertIfNegative val="0"/>
        </c:ser>
        <c:dLbls>
          <c:showLegendKey val="0"/>
          <c:showVal val="0"/>
          <c:showCatName val="0"/>
          <c:showSerName val="0"/>
          <c:showPercent val="0"/>
          <c:showBubbleSize val="0"/>
        </c:dLbls>
        <c:gapWidth val="150"/>
        <c:axId val="561304600"/>
        <c:axId val="503799208"/>
      </c:barChart>
      <c:catAx>
        <c:axId val="50380116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798424"/>
        <c:crosses val="autoZero"/>
        <c:auto val="1"/>
        <c:lblAlgn val="ctr"/>
        <c:lblOffset val="100"/>
        <c:noMultiLvlLbl val="0"/>
      </c:catAx>
      <c:valAx>
        <c:axId val="503798424"/>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6.145161290322580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03801168"/>
        <c:crosses val="autoZero"/>
        <c:crossBetween val="between"/>
        <c:majorUnit val="20"/>
      </c:valAx>
      <c:valAx>
        <c:axId val="503799208"/>
        <c:scaling>
          <c:orientation val="minMax"/>
          <c:max val="100"/>
          <c:min val="0"/>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8864283154121863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1304600"/>
        <c:crosses val="max"/>
        <c:crossBetween val="between"/>
        <c:majorUnit val="20"/>
        <c:minorUnit val="2"/>
      </c:valAx>
      <c:catAx>
        <c:axId val="561304600"/>
        <c:scaling>
          <c:orientation val="minMax"/>
        </c:scaling>
        <c:delete val="1"/>
        <c:axPos val="b"/>
        <c:majorTickMark val="out"/>
        <c:minorTickMark val="none"/>
        <c:tickLblPos val="nextTo"/>
        <c:crossAx val="5037992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1"/>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barChart>
        <c:barDir val="col"/>
        <c:grouping val="clustered"/>
        <c:varyColors val="0"/>
        <c:ser>
          <c:idx val="0"/>
          <c:order val="0"/>
          <c:invertIfNegative val="0"/>
          <c:cat>
            <c:strRef>
              <c:f>Sheet1!$A$7:$A$57</c:f>
              <c:strCache>
                <c:ptCount val="51"/>
                <c:pt idx="0">
                  <c:v>1962-63</c:v>
                </c:pt>
                <c:pt idx="1">
                  <c:v>1963-64</c:v>
                </c:pt>
                <c:pt idx="2">
                  <c:v>1964-65</c:v>
                </c:pt>
                <c:pt idx="3">
                  <c:v>1965-66</c:v>
                </c:pt>
                <c:pt idx="4">
                  <c:v>1966-67</c:v>
                </c:pt>
                <c:pt idx="5">
                  <c:v>1967-68</c:v>
                </c:pt>
                <c:pt idx="6">
                  <c:v>1968-69</c:v>
                </c:pt>
                <c:pt idx="7">
                  <c:v>1969-70</c:v>
                </c:pt>
                <c:pt idx="8">
                  <c:v>1970-71</c:v>
                </c:pt>
                <c:pt idx="9">
                  <c:v>1971-72</c:v>
                </c:pt>
                <c:pt idx="10">
                  <c:v>1972-73</c:v>
                </c:pt>
                <c:pt idx="11">
                  <c:v>1973-74</c:v>
                </c:pt>
                <c:pt idx="12">
                  <c:v>1974-75</c:v>
                </c:pt>
                <c:pt idx="13">
                  <c:v>1975-76</c:v>
                </c:pt>
                <c:pt idx="14">
                  <c:v>1976-77</c:v>
                </c:pt>
                <c:pt idx="15">
                  <c:v>1977-78</c:v>
                </c:pt>
                <c:pt idx="16">
                  <c:v>1978-79</c:v>
                </c:pt>
                <c:pt idx="17">
                  <c:v>1979-80</c:v>
                </c:pt>
                <c:pt idx="18">
                  <c:v>1980-81</c:v>
                </c:pt>
                <c:pt idx="19">
                  <c:v>1981-82</c:v>
                </c:pt>
                <c:pt idx="20">
                  <c:v>1982-83</c:v>
                </c:pt>
                <c:pt idx="21">
                  <c:v>1983-84</c:v>
                </c:pt>
                <c:pt idx="22">
                  <c:v>1984-85</c:v>
                </c:pt>
                <c:pt idx="23">
                  <c:v>1985-86</c:v>
                </c:pt>
                <c:pt idx="24">
                  <c:v>1986-87</c:v>
                </c:pt>
                <c:pt idx="25">
                  <c:v>1987-88</c:v>
                </c:pt>
                <c:pt idx="26">
                  <c:v>1988-89</c:v>
                </c:pt>
                <c:pt idx="27">
                  <c:v>1989-90</c:v>
                </c:pt>
                <c:pt idx="28">
                  <c:v>1990-91</c:v>
                </c:pt>
                <c:pt idx="29">
                  <c:v>1991-92</c:v>
                </c:pt>
                <c:pt idx="30">
                  <c:v>1992-93</c:v>
                </c:pt>
                <c:pt idx="31">
                  <c:v>1993-94</c:v>
                </c:pt>
                <c:pt idx="32">
                  <c:v>1994-95</c:v>
                </c:pt>
                <c:pt idx="33">
                  <c:v>1995-96</c:v>
                </c:pt>
                <c:pt idx="34">
                  <c:v>1996-97</c:v>
                </c:pt>
                <c:pt idx="35">
                  <c:v>1997-98</c:v>
                </c:pt>
                <c:pt idx="36">
                  <c:v>1998-99</c:v>
                </c:pt>
                <c:pt idx="37">
                  <c:v>1999-00</c:v>
                </c:pt>
                <c:pt idx="38">
                  <c:v>2000-01</c:v>
                </c:pt>
                <c:pt idx="39">
                  <c:v>2001-02</c:v>
                </c:pt>
                <c:pt idx="40">
                  <c:v>2002-03</c:v>
                </c:pt>
                <c:pt idx="41">
                  <c:v>2003-04</c:v>
                </c:pt>
                <c:pt idx="42">
                  <c:v>2004-05</c:v>
                </c:pt>
                <c:pt idx="43">
                  <c:v>2005-06</c:v>
                </c:pt>
                <c:pt idx="44">
                  <c:v>2006-07</c:v>
                </c:pt>
                <c:pt idx="45">
                  <c:v>2007-08</c:v>
                </c:pt>
                <c:pt idx="46">
                  <c:v>2008-09</c:v>
                </c:pt>
                <c:pt idx="47">
                  <c:v>2009-10</c:v>
                </c:pt>
                <c:pt idx="48">
                  <c:v>2010-11</c:v>
                </c:pt>
                <c:pt idx="49">
                  <c:v>2011-12</c:v>
                </c:pt>
                <c:pt idx="50">
                  <c:v>2012-13</c:v>
                </c:pt>
              </c:strCache>
            </c:strRef>
          </c:cat>
          <c:val>
            <c:numRef>
              <c:f>Sheet1!$D$7:$D$57</c:f>
              <c:numCache>
                <c:formatCode>0.00</c:formatCode>
                <c:ptCount val="51"/>
                <c:pt idx="0">
                  <c:v>-1.4713528127274618</c:v>
                </c:pt>
                <c:pt idx="1">
                  <c:v>0.52698442572813253</c:v>
                </c:pt>
                <c:pt idx="2">
                  <c:v>-2.5780306949474046</c:v>
                </c:pt>
                <c:pt idx="3">
                  <c:v>-2.8833928058734259</c:v>
                </c:pt>
                <c:pt idx="4">
                  <c:v>-1.7660044150110374</c:v>
                </c:pt>
                <c:pt idx="5">
                  <c:v>-3.2734120869714092</c:v>
                </c:pt>
                <c:pt idx="6">
                  <c:v>-2.4303117271700305</c:v>
                </c:pt>
                <c:pt idx="7">
                  <c:v>-1.3278053274801507</c:v>
                </c:pt>
                <c:pt idx="8">
                  <c:v>-1.3500458272436771</c:v>
                </c:pt>
                <c:pt idx="9">
                  <c:v>-0.11899149098583328</c:v>
                </c:pt>
                <c:pt idx="10">
                  <c:v>2.0879341497691226</c:v>
                </c:pt>
                <c:pt idx="11">
                  <c:v>-0.96590344279134499</c:v>
                </c:pt>
                <c:pt idx="12">
                  <c:v>-1.2268905203756475</c:v>
                </c:pt>
                <c:pt idx="13">
                  <c:v>-1.2314561428777187</c:v>
                </c:pt>
                <c:pt idx="14">
                  <c:v>-2.0753618366328399</c:v>
                </c:pt>
                <c:pt idx="15">
                  <c:v>-2.4499162096282756</c:v>
                </c:pt>
                <c:pt idx="16">
                  <c:v>-2.6609948195257549</c:v>
                </c:pt>
                <c:pt idx="17">
                  <c:v>-1.182143759380619</c:v>
                </c:pt>
                <c:pt idx="18">
                  <c:v>-3.3758016134008098</c:v>
                </c:pt>
                <c:pt idx="19">
                  <c:v>-4.7565434457503848</c:v>
                </c:pt>
                <c:pt idx="20">
                  <c:v>-3.2413567340387335</c:v>
                </c:pt>
                <c:pt idx="21">
                  <c:v>-3.2882210672567282</c:v>
                </c:pt>
                <c:pt idx="22">
                  <c:v>-4.4255720488397587</c:v>
                </c:pt>
                <c:pt idx="23">
                  <c:v>-5.557173848052555</c:v>
                </c:pt>
                <c:pt idx="24">
                  <c:v>-4.0366236484129754</c:v>
                </c:pt>
                <c:pt idx="25">
                  <c:v>-3.2119769673704419</c:v>
                </c:pt>
                <c:pt idx="26">
                  <c:v>-4.9895807961895482</c:v>
                </c:pt>
                <c:pt idx="27">
                  <c:v>-5.7451551201767437</c:v>
                </c:pt>
                <c:pt idx="28">
                  <c:v>-4.0072512854880271</c:v>
                </c:pt>
                <c:pt idx="29">
                  <c:v>-3.0460595976402964</c:v>
                </c:pt>
                <c:pt idx="30">
                  <c:v>-3.1885996918835646</c:v>
                </c:pt>
                <c:pt idx="31">
                  <c:v>-3.2876747554923154</c:v>
                </c:pt>
                <c:pt idx="32">
                  <c:v>-5.3524546198797394</c:v>
                </c:pt>
                <c:pt idx="33">
                  <c:v>-3.8387853733926338</c:v>
                </c:pt>
                <c:pt idx="34">
                  <c:v>-2.9382136565972892</c:v>
                </c:pt>
                <c:pt idx="35">
                  <c:v>-3.8460624293315315</c:v>
                </c:pt>
                <c:pt idx="36">
                  <c:v>-5.3332817666737569</c:v>
                </c:pt>
                <c:pt idx="37">
                  <c:v>-4.8676602045863282</c:v>
                </c:pt>
                <c:pt idx="38">
                  <c:v>-2.5402373136951431</c:v>
                </c:pt>
                <c:pt idx="39">
                  <c:v>-2.5870885669601345</c:v>
                </c:pt>
                <c:pt idx="40">
                  <c:v>-4.8494689009725898</c:v>
                </c:pt>
                <c:pt idx="41">
                  <c:v>-5.5052065931618221</c:v>
                </c:pt>
                <c:pt idx="42">
                  <c:v>-6.4595523408737945</c:v>
                </c:pt>
                <c:pt idx="43">
                  <c:v>-5.755815817099263</c:v>
                </c:pt>
                <c:pt idx="44">
                  <c:v>-6.0788593874706223</c:v>
                </c:pt>
                <c:pt idx="45">
                  <c:v>-6.6712583114000301</c:v>
                </c:pt>
                <c:pt idx="46">
                  <c:v>-3.4149972907566335</c:v>
                </c:pt>
                <c:pt idx="47">
                  <c:v>-4.955242670813778</c:v>
                </c:pt>
                <c:pt idx="48">
                  <c:v>-2.9647323110608745</c:v>
                </c:pt>
                <c:pt idx="49">
                  <c:v>-3.2014599561797814</c:v>
                </c:pt>
                <c:pt idx="50">
                  <c:v>-3.6305039024896346</c:v>
                </c:pt>
              </c:numCache>
            </c:numRef>
          </c:val>
        </c:ser>
        <c:dLbls>
          <c:showLegendKey val="0"/>
          <c:showVal val="0"/>
          <c:showCatName val="0"/>
          <c:showSerName val="0"/>
          <c:showPercent val="0"/>
          <c:showBubbleSize val="0"/>
        </c:dLbls>
        <c:gapWidth val="150"/>
        <c:axId val="561306560"/>
        <c:axId val="561302248"/>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561303816"/>
        <c:axId val="561306952"/>
      </c:barChart>
      <c:catAx>
        <c:axId val="561306560"/>
        <c:scaling>
          <c:orientation val="minMax"/>
        </c:scaling>
        <c:delete val="0"/>
        <c:axPos val="b"/>
        <c:numFmt formatCode="General" sourceLinked="0"/>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2248"/>
        <c:crosses val="autoZero"/>
        <c:auto val="1"/>
        <c:lblAlgn val="ctr"/>
        <c:lblOffset val="100"/>
        <c:tickLblSkip val="10"/>
        <c:tickMarkSkip val="10"/>
        <c:noMultiLvlLbl val="0"/>
      </c:catAx>
      <c:valAx>
        <c:axId val="561302248"/>
        <c:scaling>
          <c:orientation val="minMax"/>
          <c:max val="2"/>
          <c:min val="-8"/>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4.5358422939068103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6560"/>
        <c:crosses val="autoZero"/>
        <c:crossBetween val="between"/>
        <c:majorUnit val="2"/>
      </c:valAx>
      <c:valAx>
        <c:axId val="561306952"/>
        <c:scaling>
          <c:orientation val="minMax"/>
          <c:max val="2"/>
          <c:min val="-8"/>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912150537634408"/>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1303816"/>
        <c:crosses val="max"/>
        <c:crossBetween val="between"/>
        <c:majorUnit val="2"/>
        <c:minorUnit val="0.2"/>
      </c:valAx>
      <c:catAx>
        <c:axId val="561303816"/>
        <c:scaling>
          <c:orientation val="minMax"/>
        </c:scaling>
        <c:delete val="1"/>
        <c:axPos val="b"/>
        <c:majorTickMark val="out"/>
        <c:minorTickMark val="none"/>
        <c:tickLblPos val="nextTo"/>
        <c:crossAx val="5613069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0"/>
          <c:y val="2.0158730158730157E-2"/>
          <c:w val="0.98862007168458776"/>
          <c:h val="0.97480158730158728"/>
        </c:manualLayout>
      </c:layout>
      <c:lineChart>
        <c:grouping val="standard"/>
        <c:varyColors val="0"/>
        <c:ser>
          <c:idx val="0"/>
          <c:order val="0"/>
          <c:tx>
            <c:v>Australia (S)</c:v>
          </c:tx>
          <c:spPr>
            <a:ln w="22225">
              <a:solidFill>
                <a:schemeClr val="accent1"/>
              </a:solidFill>
              <a:prstDash val="solid"/>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Data_fin!$E$2:$E$26</c:f>
              <c:numCache>
                <c:formatCode>0.0</c:formatCode>
                <c:ptCount val="25"/>
                <c:pt idx="0">
                  <c:v>25.843955508646587</c:v>
                </c:pt>
                <c:pt idx="1">
                  <c:v>24.661809842482711</c:v>
                </c:pt>
                <c:pt idx="2">
                  <c:v>21.068986049471704</c:v>
                </c:pt>
                <c:pt idx="3">
                  <c:v>18.392877401300861</c:v>
                </c:pt>
                <c:pt idx="4">
                  <c:v>20.415867095507085</c:v>
                </c:pt>
                <c:pt idx="5">
                  <c:v>21.857186940160979</c:v>
                </c:pt>
                <c:pt idx="6">
                  <c:v>20.638729477619464</c:v>
                </c:pt>
                <c:pt idx="7">
                  <c:v>21.173589882142224</c:v>
                </c:pt>
                <c:pt idx="8">
                  <c:v>21.949423867352124</c:v>
                </c:pt>
                <c:pt idx="9">
                  <c:v>21.689320190554447</c:v>
                </c:pt>
                <c:pt idx="10">
                  <c:v>20.824712032435428</c:v>
                </c:pt>
                <c:pt idx="11">
                  <c:v>21.555225149325633</c:v>
                </c:pt>
                <c:pt idx="12">
                  <c:v>20.91078909921708</c:v>
                </c:pt>
                <c:pt idx="13">
                  <c:v>21.946411729514406</c:v>
                </c:pt>
                <c:pt idx="14">
                  <c:v>21.126396701207966</c:v>
                </c:pt>
                <c:pt idx="15">
                  <c:v>21.621747039388204</c:v>
                </c:pt>
                <c:pt idx="16">
                  <c:v>21.081031872384745</c:v>
                </c:pt>
                <c:pt idx="17">
                  <c:v>21.932321759129412</c:v>
                </c:pt>
                <c:pt idx="18">
                  <c:v>21.835105502613199</c:v>
                </c:pt>
                <c:pt idx="19">
                  <c:v>22.549244965660208</c:v>
                </c:pt>
                <c:pt idx="20">
                  <c:v>24.561634889334162</c:v>
                </c:pt>
                <c:pt idx="21">
                  <c:v>22.704740481546278</c:v>
                </c:pt>
                <c:pt idx="22">
                  <c:v>24.21335494465653</c:v>
                </c:pt>
                <c:pt idx="23">
                  <c:v>25.288680494619371</c:v>
                </c:pt>
                <c:pt idx="24">
                  <c:v>24.620749976688813</c:v>
                </c:pt>
              </c:numCache>
            </c:numRef>
          </c:val>
          <c:smooth val="0"/>
        </c:ser>
        <c:dLbls>
          <c:showLegendKey val="0"/>
          <c:showVal val="0"/>
          <c:showCatName val="0"/>
          <c:showSerName val="0"/>
          <c:showPercent val="0"/>
          <c:showBubbleSize val="0"/>
        </c:dLbls>
        <c:marker val="1"/>
        <c:smooth val="0"/>
        <c:axId val="561301072"/>
        <c:axId val="561303032"/>
      </c:lineChart>
      <c:lineChart>
        <c:grouping val="standard"/>
        <c:varyColors val="0"/>
        <c:ser>
          <c:idx val="1"/>
          <c:order val="1"/>
          <c:tx>
            <c:v>Australia (I)</c:v>
          </c:tx>
          <c:spPr>
            <a:ln w="22225">
              <a:solidFill>
                <a:schemeClr val="accent2"/>
              </a:solidFill>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Data_fin!$F$2:$F$26</c:f>
              <c:numCache>
                <c:formatCode>0.0</c:formatCode>
                <c:ptCount val="25"/>
                <c:pt idx="0">
                  <c:v>29.559687153257013</c:v>
                </c:pt>
                <c:pt idx="1">
                  <c:v>29.110795889821922</c:v>
                </c:pt>
                <c:pt idx="2">
                  <c:v>24.314466652041954</c:v>
                </c:pt>
                <c:pt idx="3">
                  <c:v>22.390003403418547</c:v>
                </c:pt>
                <c:pt idx="4">
                  <c:v>23.687126679099435</c:v>
                </c:pt>
                <c:pt idx="5">
                  <c:v>24.375766095505856</c:v>
                </c:pt>
                <c:pt idx="6">
                  <c:v>26.001467972786042</c:v>
                </c:pt>
                <c:pt idx="7">
                  <c:v>24.886544412997232</c:v>
                </c:pt>
                <c:pt idx="8">
                  <c:v>24.786901848257237</c:v>
                </c:pt>
                <c:pt idx="9">
                  <c:v>25.575958629447658</c:v>
                </c:pt>
                <c:pt idx="10">
                  <c:v>26.169918589136191</c:v>
                </c:pt>
                <c:pt idx="11">
                  <c:v>26.446027234817489</c:v>
                </c:pt>
                <c:pt idx="12">
                  <c:v>23.480931566803296</c:v>
                </c:pt>
                <c:pt idx="13">
                  <c:v>24.436399910328056</c:v>
                </c:pt>
                <c:pt idx="14">
                  <c:v>25.898986974314305</c:v>
                </c:pt>
                <c:pt idx="15">
                  <c:v>27.305031183873485</c:v>
                </c:pt>
                <c:pt idx="16">
                  <c:v>27.479568358890273</c:v>
                </c:pt>
                <c:pt idx="17">
                  <c:v>27.746836660282558</c:v>
                </c:pt>
                <c:pt idx="18">
                  <c:v>27.806016425820829</c:v>
                </c:pt>
                <c:pt idx="19">
                  <c:v>29.178940975594447</c:v>
                </c:pt>
                <c:pt idx="20">
                  <c:v>28.174462560799075</c:v>
                </c:pt>
                <c:pt idx="21">
                  <c:v>27.779937731616478</c:v>
                </c:pt>
                <c:pt idx="22">
                  <c:v>27.205527948985903</c:v>
                </c:pt>
                <c:pt idx="23">
                  <c:v>28.540541777249018</c:v>
                </c:pt>
                <c:pt idx="24">
                  <c:v>28.405436037387204</c:v>
                </c:pt>
              </c:numCache>
            </c:numRef>
          </c:val>
          <c:smooth val="0"/>
        </c:ser>
        <c:ser>
          <c:idx val="2"/>
          <c:order val="2"/>
          <c:tx>
            <c:v>G7 (S)</c:v>
          </c:tx>
          <c:spPr>
            <a:ln w="22225">
              <a:solidFill>
                <a:schemeClr val="accent3"/>
              </a:solidFill>
              <a:prstDash val="solid"/>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Data_fin!$G$2:$G$26</c:f>
              <c:numCache>
                <c:formatCode>General</c:formatCode>
                <c:ptCount val="25"/>
                <c:pt idx="0">
                  <c:v>23.716999999999999</c:v>
                </c:pt>
                <c:pt idx="1">
                  <c:v>23.43</c:v>
                </c:pt>
                <c:pt idx="2">
                  <c:v>22.640999999999998</c:v>
                </c:pt>
                <c:pt idx="3">
                  <c:v>22.420999999999999</c:v>
                </c:pt>
                <c:pt idx="4">
                  <c:v>21.652999999999999</c:v>
                </c:pt>
                <c:pt idx="5">
                  <c:v>21.259</c:v>
                </c:pt>
                <c:pt idx="6">
                  <c:v>21.643000000000001</c:v>
                </c:pt>
                <c:pt idx="7">
                  <c:v>22.126999999999999</c:v>
                </c:pt>
                <c:pt idx="8">
                  <c:v>22.03</c:v>
                </c:pt>
                <c:pt idx="9">
                  <c:v>22.594999999999999</c:v>
                </c:pt>
                <c:pt idx="10">
                  <c:v>22.495000000000001</c:v>
                </c:pt>
                <c:pt idx="11">
                  <c:v>21.806999999999999</c:v>
                </c:pt>
                <c:pt idx="12">
                  <c:v>21.844000000000001</c:v>
                </c:pt>
                <c:pt idx="13">
                  <c:v>20.876000000000001</c:v>
                </c:pt>
                <c:pt idx="14">
                  <c:v>19.771999999999998</c:v>
                </c:pt>
                <c:pt idx="15">
                  <c:v>19.335999999999999</c:v>
                </c:pt>
                <c:pt idx="16">
                  <c:v>19.951000000000001</c:v>
                </c:pt>
                <c:pt idx="17">
                  <c:v>19.986000000000001</c:v>
                </c:pt>
                <c:pt idx="18">
                  <c:v>20.841999999999999</c:v>
                </c:pt>
                <c:pt idx="19">
                  <c:v>20.542999999999999</c:v>
                </c:pt>
                <c:pt idx="20">
                  <c:v>19.321000000000002</c:v>
                </c:pt>
                <c:pt idx="21">
                  <c:v>17.07</c:v>
                </c:pt>
                <c:pt idx="22">
                  <c:v>17.753</c:v>
                </c:pt>
                <c:pt idx="23">
                  <c:v>18.204999999999998</c:v>
                </c:pt>
                <c:pt idx="24">
                  <c:v>18.021999999999998</c:v>
                </c:pt>
              </c:numCache>
            </c:numRef>
          </c:val>
          <c:smooth val="0"/>
        </c:ser>
        <c:ser>
          <c:idx val="3"/>
          <c:order val="3"/>
          <c:tx>
            <c:v>G7 (I)</c:v>
          </c:tx>
          <c:spPr>
            <a:ln w="22225">
              <a:solidFill>
                <a:schemeClr val="accent4"/>
              </a:solidFill>
            </a:ln>
          </c:spPr>
          <c:marker>
            <c:symbol val="none"/>
          </c:marker>
          <c:cat>
            <c:strRef>
              <c:f>Data_fin!$A$2:$A$26</c:f>
              <c:strCache>
                <c:ptCount val="25"/>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strCache>
            </c:strRef>
          </c:cat>
          <c:val>
            <c:numRef>
              <c:f>Data_fin!$H$2:$H$26</c:f>
              <c:numCache>
                <c:formatCode>General</c:formatCode>
                <c:ptCount val="25"/>
                <c:pt idx="0">
                  <c:v>24.527000000000001</c:v>
                </c:pt>
                <c:pt idx="1">
                  <c:v>24.777999999999999</c:v>
                </c:pt>
                <c:pt idx="2">
                  <c:v>24.268999999999998</c:v>
                </c:pt>
                <c:pt idx="3">
                  <c:v>23.288</c:v>
                </c:pt>
                <c:pt idx="4">
                  <c:v>22.635999999999999</c:v>
                </c:pt>
                <c:pt idx="5">
                  <c:v>22.178000000000001</c:v>
                </c:pt>
                <c:pt idx="6">
                  <c:v>22.456</c:v>
                </c:pt>
                <c:pt idx="7">
                  <c:v>22.603999999999999</c:v>
                </c:pt>
                <c:pt idx="8">
                  <c:v>22.358000000000001</c:v>
                </c:pt>
                <c:pt idx="9">
                  <c:v>22.564</c:v>
                </c:pt>
                <c:pt idx="10">
                  <c:v>22.471</c:v>
                </c:pt>
                <c:pt idx="11">
                  <c:v>22.536999999999999</c:v>
                </c:pt>
                <c:pt idx="12">
                  <c:v>22.933</c:v>
                </c:pt>
                <c:pt idx="13">
                  <c:v>21.731999999999999</c:v>
                </c:pt>
                <c:pt idx="14">
                  <c:v>20.837</c:v>
                </c:pt>
                <c:pt idx="15">
                  <c:v>20.73</c:v>
                </c:pt>
                <c:pt idx="16">
                  <c:v>21.193999999999999</c:v>
                </c:pt>
                <c:pt idx="17">
                  <c:v>21.581</c:v>
                </c:pt>
                <c:pt idx="18">
                  <c:v>21.949000000000002</c:v>
                </c:pt>
                <c:pt idx="19">
                  <c:v>21.74</c:v>
                </c:pt>
                <c:pt idx="20">
                  <c:v>20.948</c:v>
                </c:pt>
                <c:pt idx="21">
                  <c:v>17.899999999999999</c:v>
                </c:pt>
                <c:pt idx="22">
                  <c:v>18.716000000000001</c:v>
                </c:pt>
                <c:pt idx="23">
                  <c:v>18.966000000000001</c:v>
                </c:pt>
                <c:pt idx="24">
                  <c:v>19.091999999999999</c:v>
                </c:pt>
              </c:numCache>
            </c:numRef>
          </c:val>
          <c:smooth val="0"/>
        </c:ser>
        <c:dLbls>
          <c:showLegendKey val="0"/>
          <c:showVal val="0"/>
          <c:showCatName val="0"/>
          <c:showSerName val="0"/>
          <c:showPercent val="0"/>
          <c:showBubbleSize val="0"/>
        </c:dLbls>
        <c:marker val="1"/>
        <c:smooth val="0"/>
        <c:axId val="561301464"/>
        <c:axId val="561299504"/>
      </c:lineChart>
      <c:catAx>
        <c:axId val="561301072"/>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3032"/>
        <c:crosses val="autoZero"/>
        <c:auto val="1"/>
        <c:lblAlgn val="ctr"/>
        <c:lblOffset val="100"/>
        <c:tickLblSkip val="2"/>
        <c:tickMarkSkip val="2"/>
        <c:noMultiLvlLbl val="0"/>
      </c:catAx>
      <c:valAx>
        <c:axId val="561303032"/>
        <c:scaling>
          <c:orientation val="minMax"/>
          <c:max val="30"/>
          <c:min val="15"/>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4.7795698924731185E-2"/>
              <c:y val="5.0396825396825393E-3"/>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561301072"/>
        <c:crosses val="autoZero"/>
        <c:crossBetween val="midCat"/>
        <c:majorUnit val="5"/>
      </c:valAx>
      <c:valAx>
        <c:axId val="561299504"/>
        <c:scaling>
          <c:orientation val="minMax"/>
          <c:max val="30"/>
          <c:min val="15"/>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9684551971326167"/>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561301464"/>
        <c:crosses val="max"/>
        <c:crossBetween val="midCat"/>
        <c:majorUnit val="5"/>
        <c:minorUnit val="1"/>
      </c:valAx>
      <c:catAx>
        <c:axId val="561301464"/>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56129950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0.80058</cdr:x>
      <cdr:y>0.7099</cdr:y>
    </cdr:from>
    <cdr:to>
      <cdr:x>0.96445</cdr:x>
      <cdr:y>0.85574</cdr:y>
    </cdr:to>
    <cdr:sp macro="" textlink="">
      <cdr:nvSpPr>
        <cdr:cNvPr id="2" name="TextBox 1"/>
        <cdr:cNvSpPr txBox="1"/>
      </cdr:nvSpPr>
      <cdr:spPr>
        <a:xfrm xmlns:a="http://schemas.openxmlformats.org/drawingml/2006/main">
          <a:off x="4467248" y="1788948"/>
          <a:ext cx="914395" cy="367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a:latin typeface="Arial" pitchFamily="34" charset="0"/>
              <a:cs typeface="Arial" pitchFamily="34" charset="0"/>
            </a:rPr>
            <a:t>CPI</a:t>
          </a:r>
        </a:p>
      </cdr:txBody>
    </cdr:sp>
  </cdr:relSizeAnchor>
  <cdr:relSizeAnchor xmlns:cdr="http://schemas.openxmlformats.org/drawingml/2006/chartDrawing">
    <cdr:from>
      <cdr:x>0.70738</cdr:x>
      <cdr:y>0.48953</cdr:y>
    </cdr:from>
    <cdr:to>
      <cdr:x>1</cdr:x>
      <cdr:y>0.5458</cdr:y>
    </cdr:to>
    <cdr:sp macro="" textlink="">
      <cdr:nvSpPr>
        <cdr:cNvPr id="3" name="TextBox 1"/>
        <cdr:cNvSpPr txBox="1"/>
      </cdr:nvSpPr>
      <cdr:spPr>
        <a:xfrm xmlns:a="http://schemas.openxmlformats.org/drawingml/2006/main">
          <a:off x="3947161" y="1233604"/>
          <a:ext cx="1632839" cy="141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rgbClr val="FF0000"/>
              </a:solidFill>
              <a:latin typeface="Arial" pitchFamily="34" charset="0"/>
              <a:cs typeface="Arial" pitchFamily="34" charset="0"/>
            </a:rPr>
            <a:t>Home contents</a:t>
          </a:r>
          <a:endParaRPr lang="en-AU" sz="1200">
            <a:latin typeface="Arial" pitchFamily="34" charset="0"/>
            <a:cs typeface="Arial" pitchFamily="34" charset="0"/>
          </a:endParaRPr>
        </a:p>
      </cdr:txBody>
    </cdr:sp>
  </cdr:relSizeAnchor>
  <cdr:relSizeAnchor xmlns:cdr="http://schemas.openxmlformats.org/drawingml/2006/chartDrawing">
    <cdr:from>
      <cdr:x>0.14566</cdr:x>
      <cdr:y>0.79493</cdr:y>
    </cdr:from>
    <cdr:to>
      <cdr:x>0.62647</cdr:x>
      <cdr:y>0.84255</cdr:y>
    </cdr:to>
    <cdr:sp macro="" textlink="">
      <cdr:nvSpPr>
        <cdr:cNvPr id="4" name="TextBox 1"/>
        <cdr:cNvSpPr txBox="1"/>
      </cdr:nvSpPr>
      <cdr:spPr>
        <a:xfrm xmlns:a="http://schemas.openxmlformats.org/drawingml/2006/main">
          <a:off x="812800" y="3434080"/>
          <a:ext cx="2682876" cy="205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chemeClr val="accent1"/>
              </a:solidFill>
              <a:latin typeface="Arial" pitchFamily="34" charset="0"/>
              <a:cs typeface="Arial" pitchFamily="34" charset="0"/>
            </a:rPr>
            <a:t>Comprehensive </a:t>
          </a:r>
          <a:r>
            <a:rPr lang="en-AU" sz="1200" baseline="0">
              <a:solidFill>
                <a:schemeClr val="accent1"/>
              </a:solidFill>
              <a:latin typeface="Arial" pitchFamily="34" charset="0"/>
              <a:cs typeface="Arial" pitchFamily="34" charset="0"/>
            </a:rPr>
            <a:t>motor vehicle</a:t>
          </a:r>
          <a:endParaRPr lang="en-AU" sz="1200">
            <a:solidFill>
              <a:schemeClr val="accent1"/>
            </a:solidFill>
            <a:latin typeface="Arial" pitchFamily="34" charset="0"/>
            <a:cs typeface="Arial" pitchFamily="34" charset="0"/>
          </a:endParaRPr>
        </a:p>
        <a:p xmlns:a="http://schemas.openxmlformats.org/drawingml/2006/main">
          <a:endParaRPr lang="en-AU" sz="1200">
            <a:latin typeface="Arial" pitchFamily="34" charset="0"/>
            <a:cs typeface="Arial" pitchFamily="34" charset="0"/>
          </a:endParaRPr>
        </a:p>
      </cdr:txBody>
    </cdr:sp>
  </cdr:relSizeAnchor>
  <cdr:relSizeAnchor xmlns:cdr="http://schemas.openxmlformats.org/drawingml/2006/chartDrawing">
    <cdr:from>
      <cdr:x>0.58324</cdr:x>
      <cdr:y>0.30809</cdr:y>
    </cdr:from>
    <cdr:to>
      <cdr:x>0.8278</cdr:x>
      <cdr:y>0.35572</cdr:y>
    </cdr:to>
    <cdr:sp macro="" textlink="">
      <cdr:nvSpPr>
        <cdr:cNvPr id="5" name="TextBox 1"/>
        <cdr:cNvSpPr txBox="1"/>
      </cdr:nvSpPr>
      <cdr:spPr>
        <a:xfrm xmlns:a="http://schemas.openxmlformats.org/drawingml/2006/main">
          <a:off x="3254488" y="776387"/>
          <a:ext cx="1364645" cy="120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a:solidFill>
                <a:schemeClr val="bg1">
                  <a:lumMod val="50000"/>
                </a:schemeClr>
              </a:solidFill>
              <a:latin typeface="Arial" pitchFamily="34" charset="0"/>
              <a:cs typeface="Arial" pitchFamily="34" charset="0"/>
            </a:rPr>
            <a:t>Home buildings</a:t>
          </a:r>
        </a:p>
      </cdr:txBody>
    </cdr:sp>
  </cdr:relSizeAnchor>
</c:userShapes>
</file>

<file path=word/drawings/drawing2.xml><?xml version="1.0" encoding="utf-8"?>
<c:userShapes xmlns:c="http://schemas.openxmlformats.org/drawingml/2006/chart">
  <cdr:relSizeAnchor xmlns:cdr="http://schemas.openxmlformats.org/drawingml/2006/chartDrawing">
    <cdr:from>
      <cdr:x>0.44894</cdr:x>
      <cdr:y>0.206</cdr:y>
    </cdr:from>
    <cdr:to>
      <cdr:x>0.61281</cdr:x>
      <cdr:y>0.56885</cdr:y>
    </cdr:to>
    <cdr:sp macro="" textlink="">
      <cdr:nvSpPr>
        <cdr:cNvPr id="2" name="TextBox 1"/>
        <cdr:cNvSpPr txBox="1"/>
      </cdr:nvSpPr>
      <cdr:spPr>
        <a:xfrm xmlns:a="http://schemas.openxmlformats.org/drawingml/2006/main">
          <a:off x="2505076" y="5191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solidFill>
                <a:schemeClr val="accent1"/>
              </a:solidFill>
              <a:latin typeface="Arial" panose="020B0604020202020204" pitchFamily="34" charset="0"/>
              <a:cs typeface="Arial" panose="020B0604020202020204" pitchFamily="34" charset="0"/>
            </a:rPr>
            <a:t>Net profit/loss after tax</a:t>
          </a:r>
        </a:p>
      </cdr:txBody>
    </cdr:sp>
  </cdr:relSizeAnchor>
  <cdr:relSizeAnchor xmlns:cdr="http://schemas.openxmlformats.org/drawingml/2006/chartDrawing">
    <cdr:from>
      <cdr:x>0.12006</cdr:x>
      <cdr:y>0.43215</cdr:y>
    </cdr:from>
    <cdr:to>
      <cdr:x>0.28393</cdr:x>
      <cdr:y>0.79501</cdr:y>
    </cdr:to>
    <cdr:sp macro="" textlink="">
      <cdr:nvSpPr>
        <cdr:cNvPr id="3" name="TextBox 1"/>
        <cdr:cNvSpPr txBox="1"/>
      </cdr:nvSpPr>
      <cdr:spPr>
        <a:xfrm xmlns:a="http://schemas.openxmlformats.org/drawingml/2006/main">
          <a:off x="669925" y="1089025"/>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2"/>
              </a:solidFill>
              <a:latin typeface="Arial" panose="020B0604020202020204" pitchFamily="34" charset="0"/>
              <a:cs typeface="Arial" panose="020B0604020202020204" pitchFamily="34" charset="0"/>
            </a:rPr>
            <a:t>2003-2007</a:t>
          </a:r>
          <a:r>
            <a:rPr lang="en-AU" sz="1100" baseline="0">
              <a:solidFill>
                <a:schemeClr val="accent2"/>
              </a:solidFill>
              <a:latin typeface="Arial" panose="020B0604020202020204" pitchFamily="34" charset="0"/>
              <a:cs typeface="Arial" panose="020B0604020202020204" pitchFamily="34" charset="0"/>
            </a:rPr>
            <a:t> average</a:t>
          </a:r>
          <a:endParaRPr lang="en-AU" sz="1100">
            <a:solidFill>
              <a:schemeClr val="accent2"/>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0.5946</cdr:x>
      <cdr:y>0.54933</cdr:y>
    </cdr:from>
    <cdr:to>
      <cdr:x>0.75847</cdr:x>
      <cdr:y>0.91218</cdr:y>
    </cdr:to>
    <cdr:sp macro="" textlink="">
      <cdr:nvSpPr>
        <cdr:cNvPr id="5" name="TextBox 1"/>
        <cdr:cNvSpPr txBox="1"/>
      </cdr:nvSpPr>
      <cdr:spPr>
        <a:xfrm xmlns:a="http://schemas.openxmlformats.org/drawingml/2006/main">
          <a:off x="3317875" y="1384300"/>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3"/>
              </a:solidFill>
              <a:latin typeface="Arial" panose="020B0604020202020204" pitchFamily="34" charset="0"/>
              <a:cs typeface="Arial" panose="020B0604020202020204" pitchFamily="34" charset="0"/>
            </a:rPr>
            <a:t>2008-2013 average</a:t>
          </a:r>
        </a:p>
      </cdr:txBody>
    </cdr:sp>
  </cdr:relSizeAnchor>
</c:userShapes>
</file>

<file path=word/drawings/drawing3.xml><?xml version="1.0" encoding="utf-8"?>
<c:userShapes xmlns:c="http://schemas.openxmlformats.org/drawingml/2006/chart">
  <cdr:relSizeAnchor xmlns:cdr="http://schemas.openxmlformats.org/drawingml/2006/chartDrawing">
    <cdr:from>
      <cdr:x>0.23978</cdr:x>
      <cdr:y>0.16251</cdr:y>
    </cdr:from>
    <cdr:to>
      <cdr:x>0.38956</cdr:x>
      <cdr:y>0.25561</cdr:y>
    </cdr:to>
    <cdr:sp macro="" textlink="">
      <cdr:nvSpPr>
        <cdr:cNvPr id="3" name="TextBox 2"/>
        <cdr:cNvSpPr txBox="1"/>
      </cdr:nvSpPr>
      <cdr:spPr>
        <a:xfrm xmlns:a="http://schemas.openxmlformats.org/drawingml/2006/main">
          <a:off x="1337972" y="408922"/>
          <a:ext cx="835764" cy="234257"/>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AU" sz="1000">
              <a:solidFill>
                <a:schemeClr val="accent2"/>
              </a:solidFill>
              <a:latin typeface="Arial"/>
            </a:rPr>
            <a:t>Australia (I)</a:t>
          </a:r>
        </a:p>
      </cdr:txBody>
    </cdr:sp>
  </cdr:relSizeAnchor>
  <cdr:relSizeAnchor xmlns:cdr="http://schemas.openxmlformats.org/drawingml/2006/chartDrawing">
    <cdr:from>
      <cdr:x>0.5896</cdr:x>
      <cdr:y>0.36577</cdr:y>
    </cdr:from>
    <cdr:to>
      <cdr:x>0.74675</cdr:x>
      <cdr:y>0.45887</cdr:y>
    </cdr:to>
    <cdr:sp macro="" textlink="">
      <cdr:nvSpPr>
        <cdr:cNvPr id="4" name="TextBox 1"/>
        <cdr:cNvSpPr txBox="1"/>
      </cdr:nvSpPr>
      <cdr:spPr>
        <a:xfrm xmlns:a="http://schemas.openxmlformats.org/drawingml/2006/main">
          <a:off x="3307548" y="942190"/>
          <a:ext cx="881588"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solidFill>
                <a:schemeClr val="accent1"/>
              </a:solidFill>
              <a:latin typeface="Arial"/>
            </a:rPr>
            <a:t>Australia (S</a:t>
          </a:r>
          <a:r>
            <a:rPr lang="en-AU" sz="800">
              <a:solidFill>
                <a:schemeClr val="accent1"/>
              </a:solidFill>
              <a:latin typeface="Arial"/>
            </a:rPr>
            <a:t>)</a:t>
          </a:r>
        </a:p>
      </cdr:txBody>
    </cdr:sp>
  </cdr:relSizeAnchor>
  <cdr:relSizeAnchor xmlns:cdr="http://schemas.openxmlformats.org/drawingml/2006/chartDrawing">
    <cdr:from>
      <cdr:x>0.54324</cdr:x>
      <cdr:y>0.75241</cdr:y>
    </cdr:from>
    <cdr:to>
      <cdr:x>0.64348</cdr:x>
      <cdr:y>0.84551</cdr:y>
    </cdr:to>
    <cdr:sp macro="" textlink="">
      <cdr:nvSpPr>
        <cdr:cNvPr id="5" name="TextBox 1"/>
        <cdr:cNvSpPr txBox="1"/>
      </cdr:nvSpPr>
      <cdr:spPr>
        <a:xfrm xmlns:a="http://schemas.openxmlformats.org/drawingml/2006/main">
          <a:off x="3047477" y="1938139"/>
          <a:ext cx="562333"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solidFill>
                <a:schemeClr val="accent3"/>
              </a:solidFill>
              <a:latin typeface="Arial"/>
            </a:rPr>
            <a:t>G7 (S)</a:t>
          </a:r>
        </a:p>
      </cdr:txBody>
    </cdr:sp>
  </cdr:relSizeAnchor>
  <cdr:relSizeAnchor xmlns:cdr="http://schemas.openxmlformats.org/drawingml/2006/chartDrawing">
    <cdr:from>
      <cdr:x>0.7963</cdr:x>
      <cdr:y>0.49031</cdr:y>
    </cdr:from>
    <cdr:to>
      <cdr:x>0.88765</cdr:x>
      <cdr:y>0.58341</cdr:y>
    </cdr:to>
    <cdr:sp macro="" textlink="">
      <cdr:nvSpPr>
        <cdr:cNvPr id="6" name="TextBox 1"/>
        <cdr:cNvSpPr txBox="1"/>
      </cdr:nvSpPr>
      <cdr:spPr>
        <a:xfrm xmlns:a="http://schemas.openxmlformats.org/drawingml/2006/main">
          <a:off x="4467097" y="1262993"/>
          <a:ext cx="512448" cy="239809"/>
        </a:xfrm>
        <a:prstGeom xmlns:a="http://schemas.openxmlformats.org/drawingml/2006/main" prst="rect">
          <a:avLst/>
        </a:prstGeom>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n>
                <a:noFill/>
              </a:ln>
              <a:solidFill>
                <a:schemeClr val="accent4"/>
              </a:solidFill>
              <a:latin typeface="Arial"/>
            </a:rPr>
            <a:t>G7 (I)</a:t>
          </a:r>
        </a:p>
      </cdr:txBody>
    </cdr:sp>
  </cdr:relSizeAnchor>
</c:userShapes>
</file>

<file path=word/drawings/drawing4.xml><?xml version="1.0" encoding="utf-8"?>
<c:userShapes xmlns:c="http://schemas.openxmlformats.org/drawingml/2006/chart">
  <cdr:relSizeAnchor xmlns:cdr="http://schemas.openxmlformats.org/drawingml/2006/chartDrawing">
    <cdr:from>
      <cdr:x>0.47966</cdr:x>
      <cdr:y>0.14363</cdr:y>
    </cdr:from>
    <cdr:to>
      <cdr:x>0.62305</cdr:x>
      <cdr:y>0.22301</cdr:y>
    </cdr:to>
    <cdr:sp macro="" textlink="">
      <cdr:nvSpPr>
        <cdr:cNvPr id="2" name="TextBox 1"/>
        <cdr:cNvSpPr txBox="1"/>
      </cdr:nvSpPr>
      <cdr:spPr>
        <a:xfrm xmlns:a="http://schemas.openxmlformats.org/drawingml/2006/main">
          <a:off x="2676525" y="361949"/>
          <a:ext cx="8001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solidFill>
                <a:schemeClr val="accent3"/>
              </a:solidFill>
              <a:latin typeface="Arial" panose="020B0604020202020204" pitchFamily="34" charset="0"/>
              <a:cs typeface="Arial" panose="020B0604020202020204" pitchFamily="34" charset="0"/>
            </a:rPr>
            <a:t>Other</a:t>
          </a:r>
        </a:p>
      </cdr:txBody>
    </cdr:sp>
  </cdr:relSizeAnchor>
  <cdr:relSizeAnchor xmlns:cdr="http://schemas.openxmlformats.org/drawingml/2006/chartDrawing">
    <cdr:from>
      <cdr:x>0.38926</cdr:x>
      <cdr:y>0.6018</cdr:y>
    </cdr:from>
    <cdr:to>
      <cdr:x>0.53265</cdr:x>
      <cdr:y>0.66227</cdr:y>
    </cdr:to>
    <cdr:sp macro="" textlink="">
      <cdr:nvSpPr>
        <cdr:cNvPr id="3" name="TextBox 1"/>
        <cdr:cNvSpPr txBox="1"/>
      </cdr:nvSpPr>
      <cdr:spPr>
        <a:xfrm xmlns:a="http://schemas.openxmlformats.org/drawingml/2006/main">
          <a:off x="2156360" y="1516529"/>
          <a:ext cx="794315"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2"/>
              </a:solidFill>
              <a:latin typeface="Arial" panose="020B0604020202020204" pitchFamily="34" charset="0"/>
              <a:cs typeface="Arial" panose="020B0604020202020204" pitchFamily="34" charset="0"/>
            </a:rPr>
            <a:t>Dwellings</a:t>
          </a:r>
        </a:p>
      </cdr:txBody>
    </cdr:sp>
  </cdr:relSizeAnchor>
  <cdr:relSizeAnchor xmlns:cdr="http://schemas.openxmlformats.org/drawingml/2006/chartDrawing">
    <cdr:from>
      <cdr:x>0.74652</cdr:x>
      <cdr:y>0.6098</cdr:y>
    </cdr:from>
    <cdr:to>
      <cdr:x>0.88991</cdr:x>
      <cdr:y>0.67028</cdr:y>
    </cdr:to>
    <cdr:sp macro="" textlink="">
      <cdr:nvSpPr>
        <cdr:cNvPr id="4" name="TextBox 1"/>
        <cdr:cNvSpPr txBox="1"/>
      </cdr:nvSpPr>
      <cdr:spPr>
        <a:xfrm xmlns:a="http://schemas.openxmlformats.org/drawingml/2006/main">
          <a:off x="4165600" y="1536700"/>
          <a:ext cx="800100"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accent1"/>
              </a:solidFill>
              <a:latin typeface="Arial" panose="020B0604020202020204" pitchFamily="34" charset="0"/>
              <a:cs typeface="Arial" panose="020B0604020202020204" pitchFamily="34" charset="0"/>
            </a:rPr>
            <a:t>Mining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78b04f6-f261-4499-b462-41ddd755ff66">2014MG-125-6249</_dlc_DocId>
    <_dlc_DocIdUrl xmlns="378b04f6-f261-4499-b462-41ddd755ff66">
      <Url>http://tweb/sites/mg/fsd/_layouts/DocIdRedir.aspx?ID=2014MG-125-6249</Url>
      <Description>2014MG-125-6249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General Content" ma:contentTypeID="0x010100E726210826AA43828690450C811EB923009CA11FFD1E014DF4B1FA162D0F61129800FD4F3E4B4E9ABA44B2E787F697BF06C8" ma:contentTypeVersion="5" ma:contentTypeDescription="If you are creating a Word, PowerPoint or Excel document use the options available in the drop down list; for all other documents leave the content type as General Content." ma:contentTypeScope="" ma:versionID="8cd2391e67d7943b9de3af6352accb67">
  <xsd:schema xmlns:xsd="http://www.w3.org/2001/XMLSchema" xmlns:xs="http://www.w3.org/2001/XMLSchema" xmlns:p="http://schemas.microsoft.com/office/2006/metadata/properties" xmlns:ns2="378b04f6-f261-4499-b462-41ddd755ff66" targetNamespace="http://schemas.microsoft.com/office/2006/metadata/properties" ma:root="true" ma:fieldsID="5a77130d46d0b9f2e1e396ca2583d828" ns2:_="">
    <xsd:import namespace="378b04f6-f261-4499-b462-41ddd755ff6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b04f6-f261-4499-b462-41ddd755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9D7F7-E33C-4691-B6DB-10CDE4BAFD66}">
  <ds:schemaRefs>
    <ds:schemaRef ds:uri="http://schemas.microsoft.com/sharepoint/v3/contenttype/forms"/>
  </ds:schemaRefs>
</ds:datastoreItem>
</file>

<file path=customXml/itemProps2.xml><?xml version="1.0" encoding="utf-8"?>
<ds:datastoreItem xmlns:ds="http://schemas.openxmlformats.org/officeDocument/2006/customXml" ds:itemID="{488FD87D-2747-49D7-921E-734D2CD09A88}">
  <ds:schemaRefs>
    <ds:schemaRef ds:uri="http://schemas.microsoft.com/office/2006/metadata/properties"/>
    <ds:schemaRef ds:uri="http://schemas.microsoft.com/office/infopath/2007/PartnerControls"/>
    <ds:schemaRef ds:uri="378b04f6-f261-4499-b462-41ddd755ff66"/>
  </ds:schemaRefs>
</ds:datastoreItem>
</file>

<file path=customXml/itemProps3.xml><?xml version="1.0" encoding="utf-8"?>
<ds:datastoreItem xmlns:ds="http://schemas.openxmlformats.org/officeDocument/2006/customXml" ds:itemID="{BE76069A-C443-4B51-A9D3-D1A5AEA3A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b04f6-f261-4499-b462-41ddd755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339505-D16D-47D6-995F-9C215D3E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26439</Words>
  <Characters>150704</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Treasury's submission to the Financial System Inquiry</vt:lpstr>
    </vt:vector>
  </TitlesOfParts>
  <Company/>
  <LinksUpToDate>false</LinksUpToDate>
  <CharactersWithSpaces>176790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Treasury's submission to the Financial System Inquiry</dc:title>
  <dc:creator>Philip JOHNSTON</dc:creator>
  <cp:lastModifiedBy>Philip JOHNSTON</cp:lastModifiedBy>
  <cp:revision>2</cp:revision>
  <cp:lastPrinted>2014-04-03T00:30:00Z</cp:lastPrinted>
  <dcterms:created xsi:type="dcterms:W3CDTF">2020-07-07T22:55:00Z</dcterms:created>
  <dcterms:modified xsi:type="dcterms:W3CDTF">2020-07-07T22:55:00Z</dcterms:modified>
</cp:coreProperties>
</file>