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34" w:rsidRDefault="00530434" w:rsidP="00530434">
      <w:pPr>
        <w:rPr>
          <w:rFonts w:ascii="Arial" w:hAnsi="Arial" w:cs="Arial"/>
        </w:rPr>
      </w:pPr>
      <w:bookmarkStart w:id="0" w:name="_MailOriginal"/>
      <w:r>
        <w:rPr>
          <w:rFonts w:ascii="Arial" w:hAnsi="Arial" w:cs="Arial"/>
        </w:rPr>
        <w:t>Attention:  </w:t>
      </w:r>
      <w:r>
        <w:rPr>
          <w:rFonts w:ascii="Arial" w:hAnsi="Arial" w:cs="Arial"/>
          <w:color w:val="000000" w:themeColor="text1"/>
        </w:rPr>
        <w:t>Anthony Albanese,</w:t>
      </w:r>
      <w:r>
        <w:rPr>
          <w:rFonts w:ascii="Arial" w:hAnsi="Arial" w:cs="Arial"/>
        </w:rPr>
        <w:t xml:space="preserve"> </w:t>
      </w:r>
      <w:r>
        <w:rPr>
          <w:rFonts w:ascii="Arial" w:hAnsi="Arial" w:cs="Arial"/>
          <w:color w:val="000000" w:themeColor="text1"/>
        </w:rPr>
        <w:t>Prime Minister</w:t>
      </w:r>
    </w:p>
    <w:p w:rsidR="00530434" w:rsidRDefault="00530434" w:rsidP="00530434">
      <w:pPr>
        <w:rPr>
          <w:rFonts w:ascii="Arial" w:hAnsi="Arial" w:cs="Arial"/>
        </w:rPr>
      </w:pPr>
    </w:p>
    <w:p w:rsidR="00530434" w:rsidRDefault="00530434" w:rsidP="00530434">
      <w:pPr>
        <w:rPr>
          <w:rFonts w:ascii="Arial" w:hAnsi="Arial" w:cs="Arial"/>
        </w:rPr>
      </w:pPr>
      <w:r>
        <w:rPr>
          <w:rFonts w:ascii="Arial" w:hAnsi="Arial" w:cs="Arial"/>
          <w:color w:val="000000" w:themeColor="text1"/>
        </w:rPr>
        <w:t>Today</w:t>
      </w:r>
      <w:r>
        <w:rPr>
          <w:rFonts w:ascii="Arial" w:hAnsi="Arial" w:cs="Arial"/>
        </w:rPr>
        <w:t xml:space="preserve"> I posted (to the </w:t>
      </w:r>
      <w:r>
        <w:rPr>
          <w:rFonts w:ascii="Arial" w:hAnsi="Arial" w:cs="Arial"/>
          <w:color w:val="000000" w:themeColor="text1"/>
        </w:rPr>
        <w:t>Prime Minister</w:t>
      </w:r>
      <w:r>
        <w:rPr>
          <w:rFonts w:ascii="Arial" w:hAnsi="Arial" w:cs="Arial"/>
        </w:rPr>
        <w:t xml:space="preserve"> at the below address)</w:t>
      </w:r>
      <w:proofErr w:type="gramStart"/>
      <w:r>
        <w:rPr>
          <w:rFonts w:ascii="Arial" w:hAnsi="Arial" w:cs="Arial"/>
        </w:rPr>
        <w:t>  2</w:t>
      </w:r>
      <w:proofErr w:type="gramEnd"/>
      <w:r>
        <w:rPr>
          <w:rFonts w:ascii="Arial" w:hAnsi="Arial" w:cs="Arial"/>
        </w:rPr>
        <w:t xml:space="preserve"> @ CDs, 2 @ USB Sticks and 2 @ A4 paper of my </w:t>
      </w:r>
      <w:r>
        <w:rPr>
          <w:rFonts w:ascii="Arial" w:hAnsi="Arial" w:cs="Arial"/>
          <w:b/>
          <w:bCs/>
        </w:rPr>
        <w:t>1</w:t>
      </w:r>
      <w:r>
        <w:rPr>
          <w:rFonts w:ascii="Arial" w:hAnsi="Arial" w:cs="Arial"/>
          <w:b/>
          <w:bCs/>
          <w:vertAlign w:val="superscript"/>
        </w:rPr>
        <w:t>st</w:t>
      </w:r>
      <w:r>
        <w:rPr>
          <w:rFonts w:ascii="Arial" w:hAnsi="Arial" w:cs="Arial"/>
          <w:b/>
          <w:bCs/>
        </w:rPr>
        <w:t xml:space="preserve"> Attachment</w:t>
      </w:r>
      <w:r>
        <w:rPr>
          <w:rFonts w:ascii="Arial" w:hAnsi="Arial" w:cs="Arial"/>
        </w:rPr>
        <w:t>.</w:t>
      </w:r>
    </w:p>
    <w:p w:rsidR="00530434" w:rsidRDefault="00530434" w:rsidP="00530434">
      <w:pPr>
        <w:rPr>
          <w:rFonts w:ascii="Arial" w:hAnsi="Arial" w:cs="Arial"/>
          <w:sz w:val="6"/>
          <w:szCs w:val="6"/>
        </w:rPr>
      </w:pPr>
    </w:p>
    <w:p w:rsidR="00530434" w:rsidRDefault="00530434" w:rsidP="00530434">
      <w:pPr>
        <w:rPr>
          <w:rFonts w:ascii="Arial" w:hAnsi="Arial" w:cs="Arial"/>
          <w:b/>
          <w:bCs/>
          <w:sz w:val="20"/>
          <w:szCs w:val="20"/>
        </w:rPr>
      </w:pPr>
      <w:r>
        <w:rPr>
          <w:rFonts w:ascii="Arial" w:hAnsi="Arial" w:cs="Arial"/>
        </w:rPr>
        <w:t xml:space="preserve">            </w:t>
      </w:r>
      <w:r>
        <w:rPr>
          <w:rFonts w:ascii="Arial" w:hAnsi="Arial" w:cs="Arial"/>
          <w:b/>
          <w:bCs/>
          <w:sz w:val="20"/>
          <w:szCs w:val="20"/>
        </w:rPr>
        <w:t>PO Box 6022, House of Representatives, Parliament House, Canberra ACT 2600</w:t>
      </w:r>
    </w:p>
    <w:p w:rsidR="00530434" w:rsidRDefault="00530434" w:rsidP="00530434">
      <w:pPr>
        <w:rPr>
          <w:rFonts w:ascii="Arial" w:hAnsi="Arial" w:cs="Arial"/>
          <w:color w:val="000000"/>
          <w:sz w:val="12"/>
          <w:szCs w:val="12"/>
        </w:rPr>
      </w:pPr>
    </w:p>
    <w:p w:rsidR="00530434" w:rsidRDefault="00530434" w:rsidP="00530434">
      <w:pPr>
        <w:rPr>
          <w:rFonts w:ascii="Arial" w:hAnsi="Arial" w:cs="Arial"/>
        </w:rPr>
      </w:pPr>
      <w:r>
        <w:rPr>
          <w:rFonts w:ascii="Arial" w:hAnsi="Arial" w:cs="Arial"/>
          <w:color w:val="000000"/>
        </w:rPr>
        <w:t>I also posted (</w:t>
      </w:r>
      <w:r>
        <w:rPr>
          <w:rFonts w:ascii="Arial" w:hAnsi="Arial" w:cs="Arial"/>
        </w:rPr>
        <w:t xml:space="preserve">to the Prime Minister at the below address) 1 @ CD, 1 @ USB Stick and 1 @ A4 paper of my </w:t>
      </w:r>
      <w:r>
        <w:rPr>
          <w:rFonts w:ascii="Arial" w:hAnsi="Arial" w:cs="Arial"/>
          <w:b/>
          <w:bCs/>
        </w:rPr>
        <w:t>1</w:t>
      </w:r>
      <w:r>
        <w:rPr>
          <w:rFonts w:ascii="Arial" w:hAnsi="Arial" w:cs="Arial"/>
          <w:b/>
          <w:bCs/>
          <w:vertAlign w:val="superscript"/>
        </w:rPr>
        <w:t>st</w:t>
      </w:r>
      <w:r>
        <w:rPr>
          <w:rFonts w:ascii="Arial" w:hAnsi="Arial" w:cs="Arial"/>
          <w:b/>
          <w:bCs/>
        </w:rPr>
        <w:t xml:space="preserve"> Attachment</w:t>
      </w:r>
      <w:r>
        <w:rPr>
          <w:rFonts w:ascii="Arial" w:hAnsi="Arial" w:cs="Arial"/>
        </w:rPr>
        <w:t>:</w:t>
      </w:r>
    </w:p>
    <w:p w:rsidR="00530434" w:rsidRDefault="00530434" w:rsidP="00530434">
      <w:pPr>
        <w:rPr>
          <w:rFonts w:ascii="Arial" w:hAnsi="Arial" w:cs="Arial"/>
          <w:sz w:val="6"/>
          <w:szCs w:val="6"/>
        </w:rPr>
      </w:pPr>
    </w:p>
    <w:p w:rsidR="00530434" w:rsidRDefault="00530434" w:rsidP="00530434">
      <w:pPr>
        <w:rPr>
          <w:rFonts w:ascii="Arial" w:hAnsi="Arial" w:cs="Arial"/>
          <w:b/>
          <w:bCs/>
          <w:color w:val="000000"/>
          <w:sz w:val="20"/>
          <w:szCs w:val="20"/>
        </w:rPr>
      </w:pPr>
      <w:r>
        <w:rPr>
          <w:rFonts w:ascii="Arial" w:hAnsi="Arial" w:cs="Arial"/>
        </w:rPr>
        <w:t>           </w:t>
      </w:r>
      <w:r>
        <w:rPr>
          <w:rFonts w:ascii="Arial" w:hAnsi="Arial" w:cs="Arial"/>
          <w:b/>
          <w:color w:val="111111"/>
          <w:sz w:val="20"/>
          <w:szCs w:val="20"/>
          <w:shd w:val="clear" w:color="auto" w:fill="FFFFFF"/>
        </w:rPr>
        <w:t>334a Marrickville Road, Marrickville, Sydney 2204</w:t>
      </w:r>
    </w:p>
    <w:p w:rsidR="00530434" w:rsidRDefault="00530434" w:rsidP="00530434">
      <w:pPr>
        <w:rPr>
          <w:rFonts w:ascii="Arial" w:hAnsi="Arial" w:cs="Arial"/>
          <w:sz w:val="16"/>
          <w:szCs w:val="16"/>
        </w:rPr>
      </w:pPr>
    </w:p>
    <w:p w:rsidR="00530434" w:rsidRDefault="00530434" w:rsidP="00530434">
      <w:pPr>
        <w:rPr>
          <w:rFonts w:ascii="Arial" w:hAnsi="Arial" w:cstheme="minorBidi"/>
          <w:color w:val="000000" w:themeColor="text1"/>
        </w:rPr>
      </w:pPr>
      <w:r>
        <w:rPr>
          <w:b/>
          <w:bCs/>
        </w:rPr>
        <w:t>2</w:t>
      </w:r>
      <w:r>
        <w:rPr>
          <w:b/>
          <w:bCs/>
          <w:vertAlign w:val="superscript"/>
        </w:rPr>
        <w:t>nd</w:t>
      </w:r>
      <w:r>
        <w:rPr>
          <w:b/>
          <w:bCs/>
        </w:rPr>
        <w:t xml:space="preserve"> </w:t>
      </w:r>
      <w:proofErr w:type="gramStart"/>
      <w:r>
        <w:rPr>
          <w:b/>
          <w:bCs/>
        </w:rPr>
        <w:t xml:space="preserve">Attachment  </w:t>
      </w:r>
      <w:r>
        <w:rPr>
          <w:rFonts w:ascii="Arial" w:hAnsi="Arial" w:cstheme="minorBidi"/>
          <w:color w:val="000000" w:themeColor="text1"/>
        </w:rPr>
        <w:t>is</w:t>
      </w:r>
      <w:proofErr w:type="gramEnd"/>
      <w:r>
        <w:rPr>
          <w:rFonts w:ascii="Arial" w:hAnsi="Arial" w:cstheme="minorBidi"/>
          <w:color w:val="000000" w:themeColor="text1"/>
        </w:rPr>
        <w:t xml:space="preserve"> Instruction to open the posted CD and USB Stick in a Windows Operating System.</w:t>
      </w:r>
    </w:p>
    <w:p w:rsidR="00530434" w:rsidRDefault="00530434" w:rsidP="00530434">
      <w:pPr>
        <w:spacing w:before="120"/>
        <w:rPr>
          <w:rFonts w:ascii="Arial" w:hAnsi="Arial" w:cs="Arial"/>
        </w:rPr>
      </w:pPr>
      <w:r>
        <w:rPr>
          <w:rFonts w:ascii="Arial" w:hAnsi="Arial" w:cs="Arial"/>
          <w:b/>
          <w:bCs/>
        </w:rPr>
        <w:t>3</w:t>
      </w:r>
      <w:r>
        <w:rPr>
          <w:rFonts w:ascii="Arial" w:hAnsi="Arial" w:cs="Arial"/>
          <w:b/>
          <w:bCs/>
          <w:vertAlign w:val="superscript"/>
        </w:rPr>
        <w:t>rd</w:t>
      </w:r>
      <w:r>
        <w:rPr>
          <w:rFonts w:ascii="Arial" w:hAnsi="Arial" w:cs="Arial"/>
          <w:b/>
          <w:bCs/>
        </w:rPr>
        <w:t xml:space="preserve"> Attachment </w:t>
      </w:r>
      <w:r>
        <w:rPr>
          <w:rFonts w:ascii="Arial" w:hAnsi="Arial" w:cs="Arial"/>
        </w:rPr>
        <w:t>and</w:t>
      </w:r>
      <w:r>
        <w:rPr>
          <w:rFonts w:ascii="Arial" w:hAnsi="Arial" w:cs="Arial"/>
          <w:b/>
          <w:bCs/>
        </w:rPr>
        <w:t xml:space="preserve"> 4</w:t>
      </w:r>
      <w:r>
        <w:rPr>
          <w:rFonts w:ascii="Arial" w:hAnsi="Arial" w:cs="Arial"/>
          <w:b/>
          <w:bCs/>
          <w:vertAlign w:val="superscript"/>
        </w:rPr>
        <w:t>th</w:t>
      </w:r>
      <w:r>
        <w:rPr>
          <w:rFonts w:ascii="Arial" w:hAnsi="Arial" w:cs="Arial"/>
          <w:b/>
          <w:bCs/>
        </w:rPr>
        <w:t xml:space="preserve"> Attachment</w:t>
      </w:r>
      <w:r>
        <w:rPr>
          <w:rFonts w:ascii="Arial" w:hAnsi="Arial" w:cs="Arial"/>
        </w:rPr>
        <w:t xml:space="preserve"> are images of the CD and the plastic CD Case.</w:t>
      </w:r>
    </w:p>
    <w:p w:rsidR="00530434" w:rsidRDefault="00530434" w:rsidP="00530434">
      <w:pPr>
        <w:rPr>
          <w:rFonts w:ascii="Arial" w:hAnsi="Arial" w:cs="Arial"/>
          <w:sz w:val="12"/>
          <w:szCs w:val="12"/>
        </w:rPr>
      </w:pPr>
    </w:p>
    <w:p w:rsidR="00530434" w:rsidRDefault="00530434" w:rsidP="00530434">
      <w:pPr>
        <w:rPr>
          <w:rFonts w:ascii="Arial" w:hAnsi="Arial" w:cs="Arial"/>
        </w:rPr>
      </w:pPr>
      <w:r>
        <w:rPr>
          <w:rFonts w:ascii="Arial" w:hAnsi="Arial" w:cs="Arial"/>
        </w:rPr>
        <w:t xml:space="preserve">Each CD </w:t>
      </w:r>
      <w:r>
        <w:rPr>
          <w:rFonts w:ascii="Arial" w:hAnsi="Arial" w:cs="Arial"/>
          <w:color w:val="000000"/>
        </w:rPr>
        <w:t xml:space="preserve">will </w:t>
      </w:r>
      <w:r>
        <w:rPr>
          <w:rFonts w:ascii="Arial" w:hAnsi="Arial" w:cs="Arial"/>
        </w:rPr>
        <w:t xml:space="preserve">auto open (in a Windows operating system) at my Letter to </w:t>
      </w:r>
      <w:r>
        <w:rPr>
          <w:rFonts w:ascii="Arial" w:hAnsi="Arial" w:cs="Arial"/>
          <w:color w:val="000000" w:themeColor="text1"/>
        </w:rPr>
        <w:t>Anthony Albanese</w:t>
      </w:r>
      <w:r>
        <w:rPr>
          <w:rFonts w:ascii="Arial" w:hAnsi="Arial" w:cs="Arial"/>
        </w:rPr>
        <w:t xml:space="preserve"> dated </w:t>
      </w:r>
      <w:r>
        <w:rPr>
          <w:rFonts w:ascii="Arial" w:hAnsi="Arial" w:cs="Arial"/>
          <w:color w:val="000000" w:themeColor="text1"/>
        </w:rPr>
        <w:t>6 December</w:t>
      </w:r>
      <w:r>
        <w:rPr>
          <w:rFonts w:ascii="Arial" w:hAnsi="Arial" w:cs="Arial"/>
        </w:rPr>
        <w:t xml:space="preserve"> 2022 (</w:t>
      </w:r>
      <w:r>
        <w:rPr>
          <w:rFonts w:ascii="Arial" w:hAnsi="Arial" w:cs="Arial"/>
          <w:b/>
          <w:bCs/>
        </w:rPr>
        <w:t>1</w:t>
      </w:r>
      <w:r>
        <w:rPr>
          <w:rFonts w:ascii="Arial" w:hAnsi="Arial" w:cs="Arial"/>
          <w:b/>
          <w:bCs/>
          <w:vertAlign w:val="superscript"/>
        </w:rPr>
        <w:t>st</w:t>
      </w:r>
      <w:r>
        <w:rPr>
          <w:rFonts w:ascii="Arial" w:hAnsi="Arial" w:cs="Arial"/>
          <w:b/>
          <w:bCs/>
        </w:rPr>
        <w:t xml:space="preserve"> Attachment</w:t>
      </w:r>
      <w:r>
        <w:rPr>
          <w:rFonts w:ascii="Arial" w:hAnsi="Arial" w:cs="Arial"/>
        </w:rPr>
        <w:t>) thereby enabling access to the plethora of related files/evidence via thousands of embedded threads</w:t>
      </w:r>
      <w:r>
        <w:rPr>
          <w:rFonts w:ascii="Arial" w:hAnsi="Arial" w:cs="Arial"/>
          <w:color w:val="000000"/>
        </w:rPr>
        <w:t xml:space="preserve"> therein</w:t>
      </w:r>
      <w:r>
        <w:rPr>
          <w:rFonts w:ascii="Arial" w:hAnsi="Arial" w:cs="Arial"/>
        </w:rPr>
        <w:t>.</w:t>
      </w:r>
    </w:p>
    <w:p w:rsidR="00530434" w:rsidRDefault="00530434" w:rsidP="00530434">
      <w:pPr>
        <w:rPr>
          <w:rFonts w:ascii="Arial" w:hAnsi="Arial" w:cs="Arial"/>
          <w:sz w:val="12"/>
          <w:szCs w:val="12"/>
        </w:rPr>
      </w:pPr>
    </w:p>
    <w:tbl>
      <w:tblPr>
        <w:tblW w:w="5000" w:type="pct"/>
        <w:tblCellSpacing w:w="0" w:type="dxa"/>
        <w:tblCellMar>
          <w:left w:w="0" w:type="dxa"/>
          <w:right w:w="0" w:type="dxa"/>
        </w:tblCellMar>
        <w:tblLook w:val="04A0" w:firstRow="1" w:lastRow="0" w:firstColumn="1" w:lastColumn="0" w:noHBand="0" w:noVBand="1"/>
      </w:tblPr>
      <w:tblGrid>
        <w:gridCol w:w="9134"/>
        <w:gridCol w:w="139"/>
        <w:gridCol w:w="87"/>
      </w:tblGrid>
      <w:tr w:rsidR="00530434" w:rsidTr="00530434">
        <w:trPr>
          <w:tblCellSpacing w:w="0" w:type="dxa"/>
        </w:trPr>
        <w:tc>
          <w:tcPr>
            <w:tcW w:w="27271" w:type="dxa"/>
            <w:hideMark/>
          </w:tcPr>
          <w:p w:rsidR="00530434" w:rsidRDefault="00530434">
            <w:pPr>
              <w:spacing w:before="100" w:beforeAutospacing="1" w:after="100" w:afterAutospacing="1"/>
              <w:rPr>
                <w:rFonts w:ascii="Arial" w:eastAsia="Times New Roman" w:hAnsi="Arial" w:cs="Arial"/>
                <w:sz w:val="24"/>
                <w:szCs w:val="24"/>
              </w:rPr>
            </w:pPr>
            <w:r>
              <w:rPr>
                <w:rFonts w:ascii="Arial" w:hAnsi="Arial" w:cs="Arial"/>
              </w:rPr>
              <w:t xml:space="preserve">My letter to </w:t>
            </w:r>
            <w:r>
              <w:rPr>
                <w:rFonts w:ascii="Arial" w:hAnsi="Arial" w:cs="Arial"/>
                <w:color w:val="000000" w:themeColor="text1"/>
              </w:rPr>
              <w:t>Anthony Albanese</w:t>
            </w:r>
            <w:r>
              <w:rPr>
                <w:rFonts w:ascii="Arial" w:hAnsi="Arial" w:cs="Arial"/>
                <w:b/>
                <w:bCs/>
              </w:rPr>
              <w:t xml:space="preserve"> (1</w:t>
            </w:r>
            <w:r>
              <w:rPr>
                <w:rFonts w:ascii="Arial" w:hAnsi="Arial" w:cs="Arial"/>
                <w:b/>
                <w:bCs/>
                <w:vertAlign w:val="superscript"/>
              </w:rPr>
              <w:t>st</w:t>
            </w:r>
            <w:r>
              <w:rPr>
                <w:rFonts w:ascii="Arial" w:hAnsi="Arial" w:cs="Arial"/>
                <w:b/>
                <w:bCs/>
              </w:rPr>
              <w:t xml:space="preserve"> Attachment)</w:t>
            </w:r>
            <w:r>
              <w:rPr>
                <w:rFonts w:ascii="Arial" w:hAnsi="Arial" w:cs="Arial"/>
              </w:rPr>
              <w:t xml:space="preserve"> </w:t>
            </w:r>
            <w:r>
              <w:rPr>
                <w:rFonts w:ascii="Arial" w:hAnsi="Arial" w:cs="Arial"/>
                <w:color w:val="000000" w:themeColor="text1"/>
              </w:rPr>
              <w:t xml:space="preserve">presents </w:t>
            </w:r>
            <w:r>
              <w:rPr>
                <w:rFonts w:ascii="Arial" w:hAnsi="Arial" w:cs="Arial"/>
                <w:i/>
                <w:color w:val="000000" w:themeColor="text1"/>
              </w:rPr>
              <w:t>The Reason</w:t>
            </w:r>
            <w:r>
              <w:rPr>
                <w:rFonts w:ascii="Arial" w:hAnsi="Arial" w:cs="Arial"/>
                <w:color w:val="000000" w:themeColor="text1"/>
              </w:rPr>
              <w:t xml:space="preserve"> why t</w:t>
            </w:r>
            <w:r>
              <w:rPr>
                <w:rFonts w:ascii="Arial" w:eastAsia="Times New Roman" w:hAnsi="Arial" w:cs="Arial"/>
                <w:bCs/>
              </w:rPr>
              <w:t xml:space="preserve">he Federal Labor Govt should legislate that Credit Card Issuers levy a tiny User Pays Fee on each Credit Card Purchase for the </w:t>
            </w:r>
            <w:hyperlink r:id="rId5" w:history="1">
              <w:r>
                <w:rPr>
                  <w:rStyle w:val="Hyperlink"/>
                  <w:rFonts w:ascii="Arial" w:eastAsia="Times New Roman" w:hAnsi="Arial" w:cs="Arial"/>
                  <w:b/>
                  <w:bCs/>
                </w:rPr>
                <w:t>Three Purchase Benefits Of '</w:t>
              </w:r>
              <w:r>
                <w:rPr>
                  <w:rStyle w:val="Hyperlink"/>
                  <w:rFonts w:ascii="Arial" w:eastAsia="Times New Roman" w:hAnsi="Arial" w:cs="Arial"/>
                  <w:b/>
                  <w:bCs/>
                  <w:i/>
                  <w:iCs/>
                </w:rPr>
                <w:t>Tap And Go</w:t>
              </w:r>
              <w:r>
                <w:rPr>
                  <w:rStyle w:val="Hyperlink"/>
                  <w:rFonts w:ascii="Arial" w:eastAsia="Times New Roman" w:hAnsi="Arial" w:cs="Arial"/>
                  <w:b/>
                  <w:bCs/>
                </w:rPr>
                <w:t>'</w:t>
              </w:r>
            </w:hyperlink>
            <w:r>
              <w:rPr>
                <w:rFonts w:ascii="Arial" w:eastAsia="Times New Roman" w:hAnsi="Arial" w:cs="Arial"/>
                <w:bCs/>
              </w:rPr>
              <w:t>, on all Credit Cards issued (after the passing of requisite parliamentary legislation) for Credit Card Issuers to accrue up to $1.84 bil </w:t>
            </w:r>
            <w:r>
              <w:rPr>
                <w:rFonts w:ascii="Arial" w:eastAsia="Times New Roman" w:hAnsi="Arial" w:cs="Arial"/>
                <w:bCs/>
                <w:i/>
                <w:iCs/>
              </w:rPr>
              <w:t>circa</w:t>
            </w:r>
            <w:r>
              <w:rPr>
                <w:rFonts w:ascii="Arial" w:eastAsia="Times New Roman" w:hAnsi="Arial" w:cs="Arial"/>
                <w:bCs/>
              </w:rPr>
              <w:t xml:space="preserve"> and thereby enable re-introduction of a maximum interest rate </w:t>
            </w:r>
            <w:r>
              <w:rPr>
                <w:rFonts w:ascii="Arial" w:eastAsia="Times New Roman" w:hAnsi="Arial" w:cs="Arial"/>
                <w:bCs/>
                <w:i/>
              </w:rPr>
              <w:t>Cap</w:t>
            </w:r>
            <w:r>
              <w:rPr>
                <w:rFonts w:ascii="Arial" w:eastAsia="Times New Roman" w:hAnsi="Arial" w:cs="Arial"/>
                <w:bCs/>
              </w:rPr>
              <w:t xml:space="preserve"> equal to the RBA measured Unsecured Variable Rate Term Personal Loan Rate (calculated by the RBA) presently 14.4% p.a.</w:t>
            </w:r>
            <w:r>
              <w:rPr>
                <w:b/>
                <w:bCs/>
                <w:sz w:val="26"/>
                <w:szCs w:val="26"/>
                <w:shd w:val="clear" w:color="auto" w:fill="FFFFFF"/>
              </w:rPr>
              <w:t xml:space="preserve"> - </w:t>
            </w:r>
            <w:r>
              <w:rPr>
                <w:rFonts w:ascii="Arial" w:hAnsi="Arial" w:cs="Arial"/>
                <w:shd w:val="clear" w:color="auto" w:fill="FFFFFF"/>
              </w:rPr>
              <w:t xml:space="preserve">the benchmark unsecured term personal loan variable interest rate referred to by journalists from Finder, </w:t>
            </w:r>
            <w:proofErr w:type="spellStart"/>
            <w:r>
              <w:rPr>
                <w:rFonts w:ascii="Arial" w:hAnsi="Arial" w:cs="Arial"/>
                <w:shd w:val="clear" w:color="auto" w:fill="FFFFFF"/>
              </w:rPr>
              <w:t>Mozo</w:t>
            </w:r>
            <w:proofErr w:type="spellEnd"/>
            <w:r>
              <w:rPr>
                <w:rFonts w:ascii="Arial" w:hAnsi="Arial" w:cs="Arial"/>
                <w:shd w:val="clear" w:color="auto" w:fill="FFFFFF"/>
              </w:rPr>
              <w:t xml:space="preserve">, RateCity, CHOICE, SMH/The Age, The Australian, Guardian </w:t>
            </w:r>
            <w:r>
              <w:rPr>
                <w:rFonts w:ascii="Arial" w:hAnsi="Arial" w:cs="Arial"/>
                <w:i/>
                <w:iCs/>
                <w:shd w:val="clear" w:color="auto" w:fill="FFFFFF"/>
              </w:rPr>
              <w:t>et al.</w:t>
            </w:r>
          </w:p>
        </w:tc>
        <w:tc>
          <w:tcPr>
            <w:tcW w:w="454" w:type="dxa"/>
            <w:hideMark/>
          </w:tcPr>
          <w:p w:rsidR="00530434" w:rsidRDefault="00530434">
            <w:pPr>
              <w:rPr>
                <w:rFonts w:ascii="Arial" w:eastAsia="Times New Roman" w:hAnsi="Arial" w:cs="Arial"/>
                <w:sz w:val="24"/>
                <w:szCs w:val="24"/>
              </w:rPr>
            </w:pPr>
          </w:p>
        </w:tc>
        <w:tc>
          <w:tcPr>
            <w:tcW w:w="280" w:type="dxa"/>
          </w:tcPr>
          <w:p w:rsidR="00530434" w:rsidRDefault="00530434">
            <w:pPr>
              <w:spacing w:before="100" w:beforeAutospacing="1" w:after="100" w:afterAutospacing="1"/>
              <w:rPr>
                <w:rFonts w:ascii="Arial" w:eastAsia="Times New Roman" w:hAnsi="Arial" w:cs="Arial"/>
                <w:sz w:val="24"/>
                <w:szCs w:val="24"/>
              </w:rPr>
            </w:pPr>
          </w:p>
        </w:tc>
      </w:tr>
    </w:tbl>
    <w:p w:rsidR="00530434" w:rsidRDefault="00530434" w:rsidP="00530434">
      <w:pPr>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30434" w:rsidTr="00530434">
        <w:trPr>
          <w:tblCellSpacing w:w="0" w:type="dxa"/>
          <w:hidden/>
        </w:trPr>
        <w:tc>
          <w:tcPr>
            <w:tcW w:w="0" w:type="auto"/>
            <w:vAlign w:val="center"/>
            <w:hideMark/>
          </w:tcPr>
          <w:p w:rsidR="00530434" w:rsidRDefault="00530434">
            <w:pPr>
              <w:rPr>
                <w:rFonts w:ascii="Times New Roman" w:eastAsia="Times New Roman" w:hAnsi="Times New Roman" w:cs="Times New Roman"/>
                <w:vanish/>
                <w:sz w:val="24"/>
                <w:szCs w:val="24"/>
              </w:rPr>
            </w:pPr>
          </w:p>
        </w:tc>
      </w:tr>
    </w:tbl>
    <w:p w:rsidR="00530434" w:rsidRDefault="00530434" w:rsidP="00530434">
      <w:pPr>
        <w:rPr>
          <w:rFonts w:ascii="Arial" w:hAnsi="Arial" w:cs="Arial"/>
          <w:color w:val="000000" w:themeColor="text1"/>
          <w:sz w:val="16"/>
          <w:szCs w:val="16"/>
        </w:rPr>
      </w:pPr>
    </w:p>
    <w:p w:rsidR="00530434" w:rsidRDefault="00530434" w:rsidP="00530434">
      <w:pPr>
        <w:rPr>
          <w:rFonts w:ascii="Arial" w:hAnsi="Arial" w:cs="Arial"/>
        </w:rPr>
      </w:pPr>
      <w:r>
        <w:rPr>
          <w:rFonts w:ascii="Arial" w:hAnsi="Arial" w:cs="Arial"/>
          <w:i/>
          <w:color w:val="000000" w:themeColor="text1"/>
        </w:rPr>
        <w:t>The Reason</w:t>
      </w:r>
      <w:r>
        <w:rPr>
          <w:rFonts w:ascii="Arial" w:hAnsi="Arial" w:cs="Arial"/>
          <w:color w:val="000000" w:themeColor="text1"/>
        </w:rPr>
        <w:t xml:space="preserve"> is because </w:t>
      </w:r>
      <w:r>
        <w:rPr>
          <w:rFonts w:ascii="Arial" w:hAnsi="Arial" w:cs="Arial"/>
        </w:rPr>
        <w:t xml:space="preserve">hundreds of thousands of Credit Cardholders over the last 30 years or so, described by the RBA as </w:t>
      </w:r>
      <w:hyperlink r:id="rId6" w:history="1">
        <w:r>
          <w:rPr>
            <w:rStyle w:val="Hyperlink"/>
            <w:rFonts w:ascii="Arial" w:hAnsi="Arial" w:cs="Arial"/>
            <w:b/>
            <w:bCs/>
            <w:i/>
            <w:iCs/>
            <w:shd w:val="clear" w:color="auto" w:fill="FFFFFF"/>
          </w:rPr>
          <w:t>Persistent Revolvers</w:t>
        </w:r>
      </w:hyperlink>
      <w:r>
        <w:rPr>
          <w:rFonts w:ascii="Arial" w:hAnsi="Arial" w:cs="Arial"/>
        </w:rPr>
        <w:t xml:space="preserve">, </w:t>
      </w:r>
      <w:r>
        <w:rPr>
          <w:rFonts w:ascii="Arial" w:hAnsi="Arial" w:cs="Arial"/>
          <w:color w:val="000000"/>
        </w:rPr>
        <w:t>that possess only </w:t>
      </w:r>
      <w:r>
        <w:rPr>
          <w:rFonts w:ascii="Arial" w:hAnsi="Arial" w:cs="Arial"/>
          <w:color w:val="000000"/>
          <w:shd w:val="clear" w:color="auto" w:fill="FFFFFF"/>
        </w:rPr>
        <w:t xml:space="preserve">Level 1 </w:t>
      </w:r>
      <w:r>
        <w:rPr>
          <w:rFonts w:ascii="Arial" w:hAnsi="Arial" w:cs="Arial"/>
          <w:color w:val="000000"/>
        </w:rPr>
        <w:t xml:space="preserve">and some Level 2 </w:t>
      </w:r>
      <w:hyperlink r:id="rId7" w:history="1">
        <w:r>
          <w:rPr>
            <w:rStyle w:val="Hyperlink"/>
            <w:rFonts w:ascii="Arial" w:hAnsi="Arial" w:cs="Arial"/>
            <w:b/>
            <w:bCs/>
          </w:rPr>
          <w:t>Financial Literacy Capacity</w:t>
        </w:r>
      </w:hyperlink>
      <w:r>
        <w:rPr>
          <w:rFonts w:ascii="Arial" w:hAnsi="Arial" w:cs="Arial"/>
          <w:color w:val="000000"/>
        </w:rPr>
        <w:t> </w:t>
      </w:r>
      <w:r>
        <w:rPr>
          <w:rFonts w:ascii="Arial" w:hAnsi="Arial" w:cs="Arial"/>
        </w:rPr>
        <w:t xml:space="preserve"> have each paid (since the early 1990s – six years or so after the 18% Cap on Credit Card interest rates was lifted in April 1985) - more than $20,000 in interest and </w:t>
      </w:r>
      <w:r>
        <w:rPr>
          <w:rFonts w:ascii="Arial" w:hAnsi="Arial" w:cs="Arial"/>
          <w:color w:val="000000"/>
        </w:rPr>
        <w:t xml:space="preserve">penalty </w:t>
      </w:r>
      <w:r>
        <w:rPr>
          <w:rFonts w:ascii="Arial" w:hAnsi="Arial" w:cs="Arial"/>
        </w:rPr>
        <w:t xml:space="preserve">fees to often unscrupulous Credit Card Issuers.  </w:t>
      </w:r>
    </w:p>
    <w:p w:rsidR="00530434" w:rsidRDefault="00530434" w:rsidP="00530434">
      <w:pPr>
        <w:rPr>
          <w:rFonts w:ascii="Arial" w:hAnsi="Arial" w:cs="Arial"/>
          <w:sz w:val="16"/>
          <w:szCs w:val="16"/>
        </w:rPr>
      </w:pPr>
    </w:p>
    <w:p w:rsidR="00530434" w:rsidRDefault="00530434" w:rsidP="00530434">
      <w:r>
        <w:rPr>
          <w:rFonts w:ascii="Arial" w:hAnsi="Arial" w:cs="Arial"/>
          <w:color w:val="000000"/>
        </w:rPr>
        <w:t xml:space="preserve">The Productivity Commission, the ABS and ASIC reports rank Australians as having between Level 1 (low) and Level 5 (high) </w:t>
      </w:r>
      <w:hyperlink r:id="rId8" w:history="1">
        <w:r>
          <w:rPr>
            <w:rStyle w:val="Hyperlink"/>
            <w:rFonts w:ascii="Arial" w:hAnsi="Arial" w:cs="Arial"/>
            <w:b/>
            <w:bCs/>
          </w:rPr>
          <w:t>Financial Literacy Capacity</w:t>
        </w:r>
      </w:hyperlink>
      <w:r>
        <w:rPr>
          <w:rFonts w:ascii="Arial" w:hAnsi="Arial" w:cs="Arial"/>
          <w:color w:val="000000"/>
        </w:rPr>
        <w:t xml:space="preserve">.  A person assessed at Level 5 possesses up to five times the skills within the particular domain (e.g. Numeracy, Literacy, Prose etc) than a person assessed at Level 1.  </w:t>
      </w:r>
      <w:r>
        <w:rPr>
          <w:rFonts w:ascii="Cambria" w:hAnsi="Cambria"/>
          <w:color w:val="000000"/>
          <w:sz w:val="24"/>
          <w:szCs w:val="24"/>
        </w:rPr>
        <w:t>“</w:t>
      </w:r>
      <w:hyperlink r:id="rId9" w:history="1">
        <w:r>
          <w:rPr>
            <w:rStyle w:val="Hyperlink"/>
            <w:rFonts w:ascii="Cambria" w:hAnsi="Cambria"/>
            <w:b/>
            <w:bCs/>
            <w:sz w:val="24"/>
            <w:szCs w:val="24"/>
          </w:rPr>
          <w:t>Level 3 is regarded by the survey developers as the ‘minimum required for individuals to meet the complex demands of everyday life and work in the emerging knowledge-based economy’</w:t>
        </w:r>
      </w:hyperlink>
      <w:r>
        <w:rPr>
          <w:rFonts w:ascii="Cambria" w:hAnsi="Cambria"/>
          <w:color w:val="000000"/>
          <w:sz w:val="24"/>
          <w:szCs w:val="24"/>
        </w:rPr>
        <w:t>.”</w:t>
      </w:r>
    </w:p>
    <w:p w:rsidR="00530434" w:rsidRDefault="00530434" w:rsidP="00530434">
      <w:pPr>
        <w:rPr>
          <w:rFonts w:ascii="Arial" w:hAnsi="Arial" w:cs="Arial"/>
          <w:color w:val="000000"/>
          <w:sz w:val="16"/>
          <w:szCs w:val="16"/>
        </w:rPr>
      </w:pPr>
    </w:p>
    <w:p w:rsidR="00530434" w:rsidRDefault="00530434" w:rsidP="00530434">
      <w:pPr>
        <w:rPr>
          <w:rFonts w:ascii="Arial" w:hAnsi="Arial" w:cs="Arial"/>
        </w:rPr>
      </w:pPr>
      <w:r>
        <w:rPr>
          <w:rFonts w:ascii="Arial" w:hAnsi="Arial" w:cs="Arial"/>
        </w:rPr>
        <w:t xml:space="preserve">The nomenclature </w:t>
      </w:r>
      <w:hyperlink r:id="rId10" w:history="1">
        <w:r>
          <w:rPr>
            <w:rStyle w:val="Hyperlink"/>
            <w:rFonts w:ascii="Arial" w:hAnsi="Arial" w:cs="Arial"/>
            <w:b/>
            <w:bCs/>
            <w:i/>
            <w:iCs/>
            <w:shd w:val="clear" w:color="auto" w:fill="FFFFFF"/>
          </w:rPr>
          <w:t>Persistent Revolvers</w:t>
        </w:r>
      </w:hyperlink>
      <w:r>
        <w:t xml:space="preserve"> </w:t>
      </w:r>
      <w:r>
        <w:rPr>
          <w:rFonts w:ascii="Arial" w:hAnsi="Arial" w:cs="Arial"/>
        </w:rPr>
        <w:t xml:space="preserve">has been deployed by the RBA in a few of its published extensive reports.  Over half of those </w:t>
      </w:r>
      <w:hyperlink r:id="rId11" w:history="1">
        <w:r>
          <w:rPr>
            <w:rStyle w:val="Hyperlink"/>
            <w:rFonts w:ascii="Arial" w:hAnsi="Arial" w:cs="Arial"/>
            <w:b/>
            <w:bCs/>
            <w:i/>
            <w:iCs/>
            <w:shd w:val="clear" w:color="auto" w:fill="FFFFFF"/>
          </w:rPr>
          <w:t>Persistent Revolvers</w:t>
        </w:r>
      </w:hyperlink>
      <w:r>
        <w:t xml:space="preserve"> </w:t>
      </w:r>
      <w:r>
        <w:rPr>
          <w:rFonts w:ascii="Arial" w:hAnsi="Arial" w:cs="Arial"/>
        </w:rPr>
        <w:t>have been Labor Party voters, many of them</w:t>
      </w:r>
      <w:r>
        <w:rPr>
          <w:rFonts w:ascii="Arial" w:hAnsi="Arial" w:cs="Arial"/>
          <w:color w:val="000000"/>
        </w:rPr>
        <w:t xml:space="preserve"> working class</w:t>
      </w:r>
      <w:r>
        <w:rPr>
          <w:rFonts w:ascii="Arial" w:hAnsi="Arial" w:cs="Arial"/>
        </w:rPr>
        <w:t xml:space="preserve"> ‘</w:t>
      </w:r>
      <w:r>
        <w:rPr>
          <w:rFonts w:ascii="Arial" w:hAnsi="Arial" w:cs="Arial"/>
          <w:i/>
          <w:iCs/>
        </w:rPr>
        <w:t>rusted on’</w:t>
      </w:r>
      <w:r>
        <w:rPr>
          <w:rFonts w:ascii="Arial" w:hAnsi="Arial" w:cs="Arial"/>
        </w:rPr>
        <w:t xml:space="preserve"> Labor supporters.  A Labor Govt should be keen to protect Credit Cardholders </w:t>
      </w:r>
      <w:r>
        <w:rPr>
          <w:rFonts w:ascii="Arial" w:hAnsi="Arial" w:cs="Arial"/>
          <w:color w:val="000000"/>
        </w:rPr>
        <w:t>that possess only </w:t>
      </w:r>
      <w:r>
        <w:rPr>
          <w:rFonts w:ascii="Arial" w:hAnsi="Arial" w:cs="Arial"/>
          <w:color w:val="000000"/>
          <w:shd w:val="clear" w:color="auto" w:fill="FFFFFF"/>
        </w:rPr>
        <w:t>Level 1 or less</w:t>
      </w:r>
      <w:r>
        <w:rPr>
          <w:rFonts w:ascii="Arial" w:hAnsi="Arial" w:cs="Arial"/>
          <w:color w:val="000000"/>
        </w:rPr>
        <w:t xml:space="preserve"> and some Level 2 </w:t>
      </w:r>
      <w:hyperlink r:id="rId12" w:history="1">
        <w:r>
          <w:rPr>
            <w:rStyle w:val="Hyperlink"/>
            <w:rFonts w:ascii="Arial" w:hAnsi="Arial" w:cs="Arial"/>
            <w:b/>
            <w:bCs/>
          </w:rPr>
          <w:t>Financial Literacy Capacity</w:t>
        </w:r>
      </w:hyperlink>
      <w:r>
        <w:t xml:space="preserve">, </w:t>
      </w:r>
      <w:r>
        <w:rPr>
          <w:rFonts w:ascii="Arial" w:hAnsi="Arial" w:cs="Arial"/>
          <w:color w:val="000000"/>
        </w:rPr>
        <w:t>particularly as t</w:t>
      </w:r>
      <w:r>
        <w:rPr>
          <w:rFonts w:ascii="Arial" w:hAnsi="Arial" w:cs="Arial"/>
        </w:rPr>
        <w:t>he below extracts establish that the</w:t>
      </w:r>
      <w:r>
        <w:rPr>
          <w:rFonts w:ascii="Arial" w:hAnsi="Arial" w:cs="Arial"/>
          <w:b/>
          <w:bCs/>
        </w:rPr>
        <w:t xml:space="preserve"> </w:t>
      </w:r>
      <w:r>
        <w:rPr>
          <w:rFonts w:ascii="Arial" w:hAnsi="Arial" w:cs="Arial"/>
        </w:rPr>
        <w:t>Numeracy And Literacy Range Of Australians</w:t>
      </w:r>
      <w:r>
        <w:rPr>
          <w:rFonts w:ascii="Arial" w:hAnsi="Arial" w:cs="Arial"/>
          <w:b/>
          <w:bCs/>
        </w:rPr>
        <w:t xml:space="preserve"> </w:t>
      </w:r>
      <w:r>
        <w:rPr>
          <w:rFonts w:ascii="Arial" w:hAnsi="Arial" w:cs="Arial"/>
        </w:rPr>
        <w:t>var</w:t>
      </w:r>
      <w:r>
        <w:rPr>
          <w:rFonts w:ascii="Arial" w:hAnsi="Arial" w:cs="Arial"/>
          <w:color w:val="000000"/>
        </w:rPr>
        <w:t>ies</w:t>
      </w:r>
      <w:r>
        <w:rPr>
          <w:rFonts w:ascii="Arial" w:hAnsi="Arial" w:cs="Arial"/>
        </w:rPr>
        <w:t xml:space="preserve"> markedly, whereupon only a tad over half the population possess </w:t>
      </w:r>
      <w:r>
        <w:rPr>
          <w:rFonts w:ascii="Arial" w:hAnsi="Arial" w:cs="Arial"/>
          <w:color w:val="000000"/>
        </w:rPr>
        <w:t xml:space="preserve">the </w:t>
      </w:r>
      <w:r>
        <w:rPr>
          <w:rFonts w:ascii="Arial" w:hAnsi="Arial" w:cs="Arial"/>
        </w:rPr>
        <w:t>minimum required Numeracy and Financial Literacy</w:t>
      </w:r>
      <w:r>
        <w:rPr>
          <w:rFonts w:ascii="Arial" w:hAnsi="Arial" w:cs="Arial"/>
          <w:b/>
          <w:bCs/>
        </w:rPr>
        <w:t xml:space="preserve"> </w:t>
      </w:r>
      <w:r>
        <w:rPr>
          <w:rFonts w:ascii="Arial" w:hAnsi="Arial" w:cs="Arial"/>
        </w:rPr>
        <w:t xml:space="preserve">skills to meet the complex demands of the emerging knowledge-based economy: </w:t>
      </w:r>
    </w:p>
    <w:p w:rsidR="00530434" w:rsidRDefault="00530434" w:rsidP="00530434">
      <w:pPr>
        <w:rPr>
          <w:rFonts w:ascii="Times New Roman" w:hAnsi="Times New Roman" w:cs="Times New Roman"/>
          <w:sz w:val="8"/>
          <w:szCs w:val="8"/>
        </w:rPr>
      </w:pPr>
    </w:p>
    <w:p w:rsidR="00530434" w:rsidRDefault="00530434" w:rsidP="00530434">
      <w:pPr>
        <w:ind w:left="720"/>
        <w:rPr>
          <w:rFonts w:ascii="Cambria" w:hAnsi="Cambria"/>
          <w:color w:val="000000"/>
          <w:sz w:val="24"/>
          <w:szCs w:val="24"/>
        </w:rPr>
      </w:pPr>
      <w:r>
        <w:rPr>
          <w:rFonts w:ascii="Arial" w:hAnsi="Arial" w:cs="Arial"/>
          <w:color w:val="000000"/>
        </w:rPr>
        <w:t>“</w:t>
      </w:r>
      <w:r>
        <w:rPr>
          <w:rFonts w:ascii="Arial" w:hAnsi="Arial" w:cs="Arial"/>
          <w:b/>
          <w:bCs/>
          <w:color w:val="000000"/>
        </w:rPr>
        <w:t xml:space="preserve">…. </w:t>
      </w:r>
      <w:hyperlink r:id="rId13" w:history="1">
        <w:r>
          <w:rPr>
            <w:rStyle w:val="Hyperlink"/>
            <w:rFonts w:ascii="Cambria" w:hAnsi="Cambria"/>
            <w:b/>
            <w:bCs/>
            <w:color w:val="000000"/>
            <w:sz w:val="24"/>
            <w:szCs w:val="24"/>
          </w:rPr>
          <w:t>Analysis reveals that f</w:t>
        </w:r>
        <w:r>
          <w:rPr>
            <w:rStyle w:val="Hyperlink"/>
            <w:rFonts w:ascii="Cambria" w:hAnsi="Cambria"/>
            <w:b/>
            <w:bCs/>
            <w:sz w:val="24"/>
            <w:szCs w:val="24"/>
          </w:rPr>
          <w:t xml:space="preserve">or nearly half of the population were assessed at either levels 1 (the lowest level) or 2, both of which are below the minimum </w:t>
        </w:r>
        <w:r>
          <w:rPr>
            <w:rStyle w:val="Hyperlink"/>
            <w:rFonts w:ascii="Cambria" w:hAnsi="Cambria"/>
            <w:b/>
            <w:bCs/>
            <w:sz w:val="24"/>
            <w:szCs w:val="24"/>
          </w:rPr>
          <w:lastRenderedPageBreak/>
          <w:t>level deemed necessary to participate in a knowledge-based economy (level 3)</w:t>
        </w:r>
      </w:hyperlink>
      <w:r>
        <w:rPr>
          <w:color w:val="000000"/>
        </w:rPr>
        <w:t>….</w:t>
      </w:r>
      <w:r>
        <w:rPr>
          <w:rFonts w:ascii="Cambria" w:hAnsi="Cambria"/>
          <w:color w:val="000000"/>
          <w:sz w:val="24"/>
          <w:szCs w:val="24"/>
        </w:rPr>
        <w:t>.”</w:t>
      </w:r>
    </w:p>
    <w:p w:rsidR="00530434" w:rsidRDefault="00530434" w:rsidP="00530434">
      <w:pPr>
        <w:ind w:left="720"/>
        <w:rPr>
          <w:rFonts w:ascii="Cambria" w:hAnsi="Cambria"/>
          <w:color w:val="000000"/>
          <w:sz w:val="10"/>
          <w:szCs w:val="10"/>
        </w:rPr>
      </w:pPr>
      <w:r>
        <w:rPr>
          <w:rFonts w:ascii="Cambria" w:hAnsi="Cambria"/>
          <w:color w:val="000000"/>
          <w:sz w:val="10"/>
          <w:szCs w:val="10"/>
        </w:rPr>
        <w:t> </w:t>
      </w:r>
    </w:p>
    <w:p w:rsidR="00530434" w:rsidRDefault="00530434" w:rsidP="00530434">
      <w:pPr>
        <w:ind w:left="720"/>
        <w:rPr>
          <w:rFonts w:ascii="Cambria" w:hAnsi="Cambria"/>
          <w:color w:val="000000"/>
          <w:sz w:val="2"/>
          <w:szCs w:val="2"/>
        </w:rPr>
      </w:pPr>
    </w:p>
    <w:p w:rsidR="00530434" w:rsidRDefault="00530434" w:rsidP="00530434">
      <w:pPr>
        <w:ind w:left="720"/>
        <w:rPr>
          <w:rFonts w:ascii="Arial" w:hAnsi="Arial" w:cs="Arial"/>
          <w:b/>
          <w:bCs/>
        </w:rPr>
      </w:pPr>
      <w:r>
        <w:rPr>
          <w:rFonts w:ascii="Cambria" w:hAnsi="Cambria"/>
          <w:color w:val="000000"/>
          <w:sz w:val="24"/>
          <w:szCs w:val="24"/>
        </w:rPr>
        <w:t xml:space="preserve">“In 2006, the proportion of the working-age population (15–64 years) who had Language Literacy Numeracy (LLN) skills at levels 1 or 2, supposedly lower than the minimum required, was 44 per cent for prose literacy and document literacy, and 50 per cent for numeracy (figure F.1).  The proportion at level 3 was 39 per cent for prose literacy, 37 per cent for document literacy and 33 per cent for numeracy.” </w:t>
      </w:r>
      <w:r>
        <w:rPr>
          <w:rFonts w:ascii="Cambria" w:hAnsi="Cambria"/>
          <w:color w:val="000000"/>
          <w:sz w:val="24"/>
          <w:szCs w:val="24"/>
        </w:rPr>
        <w:br/>
      </w:r>
      <w:hyperlink r:id="rId14" w:history="1">
        <w:r>
          <w:rPr>
            <w:rStyle w:val="Hyperlink"/>
            <w:rFonts w:ascii="Arial" w:hAnsi="Arial" w:cs="Arial"/>
            <w:b/>
            <w:bCs/>
          </w:rPr>
          <w:t>Page 207 of ‘Foundation Skills Attainment’ published by The National Agreement for Skills and Workforce Development under the Council of Australian Government (COAG)</w:t>
        </w:r>
      </w:hyperlink>
      <w:r>
        <w:rPr>
          <w:rFonts w:ascii="Arial" w:hAnsi="Arial" w:cs="Arial"/>
          <w:b/>
          <w:bCs/>
        </w:rPr>
        <w:t>.</w:t>
      </w:r>
    </w:p>
    <w:p w:rsidR="00530434" w:rsidRDefault="00530434" w:rsidP="00530434">
      <w:pPr>
        <w:ind w:left="720"/>
        <w:rPr>
          <w:rFonts w:ascii="Arial" w:hAnsi="Arial" w:cs="Arial"/>
          <w:b/>
          <w:bCs/>
          <w:sz w:val="10"/>
          <w:szCs w:val="10"/>
        </w:rPr>
      </w:pPr>
    </w:p>
    <w:p w:rsidR="00530434" w:rsidRDefault="00530434" w:rsidP="00530434">
      <w:pPr>
        <w:pStyle w:val="BoxListBullet"/>
        <w:spacing w:before="0" w:line="240" w:lineRule="auto"/>
        <w:ind w:left="568" w:hanging="284"/>
        <w:rPr>
          <w:lang w:val="en-AU"/>
        </w:rPr>
      </w:pPr>
      <w:r>
        <w:rPr>
          <w:lang w:val="en-AU"/>
        </w:rPr>
        <w:t>“</w:t>
      </w:r>
      <w:hyperlink r:id="rId15" w:history="1">
        <w:r>
          <w:rPr>
            <w:rStyle w:val="Hyperlink"/>
            <w:b/>
            <w:bCs/>
            <w:lang w:val="en-AU"/>
          </w:rPr>
          <w:t>Some Australians have low (level 1 or below) literacy and numeracy skills. In 2011–12</w:t>
        </w:r>
      </w:hyperlink>
      <w:r>
        <w:rPr>
          <w:lang w:val="en-AU"/>
        </w:rPr>
        <w:t>:</w:t>
      </w:r>
    </w:p>
    <w:p w:rsidR="00530434" w:rsidRDefault="00530434" w:rsidP="00530434">
      <w:pPr>
        <w:pStyle w:val="BoxListBullet2"/>
        <w:spacing w:before="0" w:line="240" w:lineRule="auto"/>
        <w:ind w:left="851" w:hanging="283"/>
        <w:rPr>
          <w:lang w:val="en-AU"/>
        </w:rPr>
      </w:pPr>
      <w:hyperlink r:id="rId16" w:history="1">
        <w:r>
          <w:rPr>
            <w:rStyle w:val="Hyperlink"/>
            <w:b/>
            <w:bCs/>
            <w:lang w:val="en-AU"/>
          </w:rPr>
          <w:t>14 per cent of Australians could, at best, read only relatively short texts from which they were able to locate only a single piece of information</w:t>
        </w:r>
      </w:hyperlink>
      <w:r>
        <w:rPr>
          <w:lang w:val="en-AU"/>
        </w:rPr>
        <w:t>.</w:t>
      </w:r>
    </w:p>
    <w:p w:rsidR="00530434" w:rsidRDefault="00530434" w:rsidP="00530434">
      <w:pPr>
        <w:pStyle w:val="BoxListBullet2"/>
        <w:spacing w:before="0" w:line="240" w:lineRule="auto"/>
        <w:ind w:left="852"/>
        <w:rPr>
          <w:b/>
          <w:bCs/>
          <w:color w:val="000000"/>
          <w:sz w:val="24"/>
          <w:szCs w:val="24"/>
          <w:lang w:val="en-AU"/>
        </w:rPr>
      </w:pPr>
      <w:hyperlink r:id="rId17" w:history="1">
        <w:r>
          <w:rPr>
            <w:rStyle w:val="Hyperlink"/>
            <w:b/>
            <w:bCs/>
            <w:lang w:val="en-AU"/>
          </w:rPr>
          <w:t>22 per cent could only carry out one-step or simple processes such as counting where the mathematical content is explicit with little or no text or distractors</w:t>
        </w:r>
      </w:hyperlink>
      <w:r>
        <w:rPr>
          <w:lang w:val="en-AU"/>
        </w:rPr>
        <w:t>.”</w:t>
      </w:r>
    </w:p>
    <w:p w:rsidR="00530434" w:rsidRDefault="00530434" w:rsidP="00530434">
      <w:pPr>
        <w:pStyle w:val="BoxListBullet2"/>
        <w:numPr>
          <w:ilvl w:val="0"/>
          <w:numId w:val="0"/>
        </w:numPr>
        <w:tabs>
          <w:tab w:val="left" w:pos="720"/>
        </w:tabs>
        <w:spacing w:before="0" w:line="240" w:lineRule="auto"/>
        <w:ind w:left="568"/>
        <w:rPr>
          <w:b/>
          <w:bCs/>
          <w:color w:val="000000"/>
          <w:lang w:val="en-AU"/>
        </w:rPr>
      </w:pPr>
      <w:r>
        <w:rPr>
          <w:b/>
          <w:bCs/>
          <w:color w:val="000000"/>
          <w:sz w:val="20"/>
          <w:szCs w:val="20"/>
        </w:rPr>
        <w:t>–   </w:t>
      </w:r>
      <w:hyperlink r:id="rId18" w:history="1">
        <w:r>
          <w:rPr>
            <w:rStyle w:val="Hyperlink"/>
            <w:b/>
            <w:bCs/>
          </w:rPr>
          <w:t>16 per cent of the population have high literacy (level 4/5), meaning they can make complex inferences and evaluate subtle truth claims or arguments in lengthy or multiple texts.</w:t>
        </w:r>
      </w:hyperlink>
    </w:p>
    <w:p w:rsidR="00530434" w:rsidRDefault="00530434" w:rsidP="00530434">
      <w:pPr>
        <w:rPr>
          <w:rFonts w:ascii="Arial" w:hAnsi="Arial" w:cs="Arial"/>
          <w:b/>
          <w:bCs/>
          <w:color w:val="000000"/>
          <w:sz w:val="2"/>
          <w:szCs w:val="2"/>
        </w:rPr>
      </w:pPr>
    </w:p>
    <w:p w:rsidR="00530434" w:rsidRDefault="00530434" w:rsidP="00530434">
      <w:pPr>
        <w:pStyle w:val="BoxListBullet2"/>
        <w:numPr>
          <w:ilvl w:val="0"/>
          <w:numId w:val="0"/>
        </w:numPr>
        <w:tabs>
          <w:tab w:val="left" w:pos="720"/>
        </w:tabs>
        <w:spacing w:before="80" w:after="120"/>
        <w:ind w:left="288" w:hanging="288"/>
        <w:rPr>
          <w:sz w:val="23"/>
          <w:szCs w:val="23"/>
          <w:shd w:val="clear" w:color="auto" w:fill="FFFFFF"/>
          <w:lang w:val="en-AU"/>
        </w:rPr>
      </w:pPr>
      <w:r>
        <w:rPr>
          <w:shd w:val="clear" w:color="auto" w:fill="FFFFFF"/>
          <w:lang w:val="en-AU"/>
        </w:rPr>
        <w:t xml:space="preserve">     </w:t>
      </w:r>
      <w:hyperlink r:id="rId19" w:anchor=":~:text=Financial%20literacy%20is%20an%20ability%20I%20think%20to,a%20quarter%20do%20not%20understand%20basic%20financial%20concepts." w:history="1">
        <w:r>
          <w:rPr>
            <w:rStyle w:val="Hyperlink"/>
            <w:rFonts w:ascii="Georgia" w:hAnsi="Georgia"/>
            <w:b/>
            <w:bCs/>
            <w:sz w:val="23"/>
            <w:szCs w:val="23"/>
            <w:shd w:val="clear" w:color="auto" w:fill="FFFFFF"/>
            <w:lang w:val="en-AU"/>
          </w:rPr>
          <w:t>“Last year’s Productivity Commission report (dated 2018) into the superannuation sector found that about 30 per cent of Australians have low financial literacy, and a quarter do not understand basic financial concepts.”</w:t>
        </w:r>
      </w:hyperlink>
    </w:p>
    <w:p w:rsidR="00530434" w:rsidRDefault="00530434" w:rsidP="00530434">
      <w:pPr>
        <w:pStyle w:val="BoxListBullet2"/>
        <w:numPr>
          <w:ilvl w:val="0"/>
          <w:numId w:val="0"/>
        </w:numPr>
        <w:tabs>
          <w:tab w:val="left" w:pos="720"/>
        </w:tabs>
        <w:ind w:left="284" w:hanging="284"/>
        <w:rPr>
          <w:color w:val="555555"/>
          <w:sz w:val="23"/>
          <w:szCs w:val="23"/>
          <w:shd w:val="clear" w:color="auto" w:fill="FFFFFF"/>
          <w:lang w:val="en-AU"/>
        </w:rPr>
      </w:pPr>
      <w:r>
        <w:rPr>
          <w:shd w:val="clear" w:color="auto" w:fill="FFFFFF"/>
          <w:lang w:val="en-AU"/>
        </w:rPr>
        <w:t>     “</w:t>
      </w:r>
      <w:hyperlink r:id="rId20" w:history="1">
        <w:r>
          <w:rPr>
            <w:rStyle w:val="Hyperlink"/>
            <w:b/>
            <w:bCs/>
            <w:sz w:val="23"/>
            <w:szCs w:val="23"/>
            <w:shd w:val="clear" w:color="auto" w:fill="FFFFFF"/>
            <w:lang w:val="en-AU"/>
          </w:rPr>
          <w:t>Senior Counsel Assisting the royal commission, Michael Hodge QC, says out that 46 per cent of Australians aged 15 to 74 would struggle to understand even simple documents</w:t>
        </w:r>
      </w:hyperlink>
      <w:r>
        <w:rPr>
          <w:color w:val="555555"/>
          <w:sz w:val="23"/>
          <w:szCs w:val="23"/>
          <w:shd w:val="clear" w:color="auto" w:fill="FFFFFF"/>
          <w:lang w:val="en-AU"/>
        </w:rPr>
        <w:t>.”</w:t>
      </w:r>
    </w:p>
    <w:p w:rsidR="00530434" w:rsidRDefault="00530434" w:rsidP="00530434">
      <w:pPr>
        <w:pStyle w:val="NormalWeb"/>
        <w:spacing w:before="0" w:beforeAutospacing="0" w:after="0" w:afterAutospacing="0"/>
        <w:ind w:left="284"/>
        <w:rPr>
          <w:rFonts w:ascii="Verdana" w:hAnsi="Verdana"/>
          <w:color w:val="454545"/>
          <w:sz w:val="10"/>
          <w:szCs w:val="10"/>
        </w:rPr>
      </w:pPr>
    </w:p>
    <w:p w:rsidR="00530434" w:rsidRDefault="00530434" w:rsidP="00530434">
      <w:pPr>
        <w:pStyle w:val="NormalWeb"/>
        <w:spacing w:before="0" w:beforeAutospacing="0" w:after="0" w:afterAutospacing="0"/>
        <w:ind w:left="284"/>
        <w:rPr>
          <w:rFonts w:ascii="Verdana" w:hAnsi="Verdana"/>
          <w:color w:val="454545"/>
          <w:sz w:val="21"/>
          <w:szCs w:val="21"/>
        </w:rPr>
      </w:pPr>
      <w:r>
        <w:rPr>
          <w:rFonts w:ascii="Verdana" w:hAnsi="Verdana"/>
          <w:color w:val="454545"/>
          <w:sz w:val="21"/>
          <w:szCs w:val="21"/>
        </w:rPr>
        <w:t>“</w:t>
      </w:r>
      <w:hyperlink r:id="rId21" w:history="1">
        <w:r>
          <w:rPr>
            <w:rStyle w:val="Hyperlink"/>
            <w:rFonts w:ascii="Verdana" w:hAnsi="Verdana"/>
            <w:b/>
            <w:bCs/>
            <w:sz w:val="21"/>
            <w:szCs w:val="21"/>
          </w:rPr>
          <w:t>Recent studies have found that about half of all adult Australians do not have the Language Literacy Numeracy skills required for them to meet the demands of their day-to-day lives. A report commissioned by the 11 industry skills councils in 2011 called </w:t>
        </w:r>
        <w:r>
          <w:rPr>
            <w:rStyle w:val="Hyperlink"/>
            <w:rFonts w:ascii="Verdana" w:hAnsi="Verdana"/>
            <w:b/>
            <w:bCs/>
            <w:i/>
            <w:iCs/>
            <w:sz w:val="21"/>
            <w:szCs w:val="21"/>
          </w:rPr>
          <w:t>No More Excuses</w:t>
        </w:r>
        <w:r>
          <w:rPr>
            <w:rStyle w:val="Hyperlink"/>
            <w:rFonts w:ascii="Verdana" w:hAnsi="Verdana"/>
            <w:b/>
            <w:bCs/>
            <w:sz w:val="21"/>
            <w:szCs w:val="21"/>
          </w:rPr>
          <w:t> stated that</w:t>
        </w:r>
      </w:hyperlink>
      <w:r>
        <w:rPr>
          <w:rFonts w:ascii="Verdana" w:hAnsi="Verdana"/>
          <w:color w:val="454545"/>
          <w:sz w:val="21"/>
          <w:szCs w:val="21"/>
        </w:rPr>
        <w:t>:</w:t>
      </w:r>
    </w:p>
    <w:p w:rsidR="00530434" w:rsidRDefault="00530434" w:rsidP="00530434">
      <w:pPr>
        <w:numPr>
          <w:ilvl w:val="0"/>
          <w:numId w:val="3"/>
        </w:numPr>
        <w:ind w:left="1004"/>
        <w:rPr>
          <w:rFonts w:ascii="Verdana" w:hAnsi="Verdana"/>
          <w:b/>
          <w:bCs/>
          <w:color w:val="454545"/>
          <w:sz w:val="21"/>
          <w:szCs w:val="21"/>
        </w:rPr>
      </w:pPr>
      <w:hyperlink r:id="rId22" w:history="1">
        <w:r>
          <w:rPr>
            <w:rStyle w:val="Hyperlink"/>
            <w:rFonts w:ascii="Verdana" w:hAnsi="Verdana"/>
            <w:b/>
            <w:bCs/>
            <w:sz w:val="21"/>
            <w:szCs w:val="21"/>
          </w:rPr>
          <w:t>53% of Australian adults have difficulty with numeracy</w:t>
        </w:r>
      </w:hyperlink>
    </w:p>
    <w:p w:rsidR="00530434" w:rsidRDefault="00530434" w:rsidP="00530434">
      <w:pPr>
        <w:numPr>
          <w:ilvl w:val="0"/>
          <w:numId w:val="3"/>
        </w:numPr>
        <w:ind w:left="1004"/>
        <w:rPr>
          <w:rFonts w:ascii="Verdana" w:hAnsi="Verdana"/>
          <w:color w:val="454545"/>
          <w:sz w:val="21"/>
          <w:szCs w:val="21"/>
        </w:rPr>
      </w:pPr>
      <w:hyperlink r:id="rId23" w:history="1">
        <w:r>
          <w:rPr>
            <w:rStyle w:val="Hyperlink"/>
            <w:rFonts w:ascii="Verdana" w:hAnsi="Verdana"/>
            <w:b/>
            <w:bCs/>
            <w:sz w:val="21"/>
            <w:szCs w:val="21"/>
          </w:rPr>
          <w:t>46% have difficulty with reading</w:t>
        </w:r>
      </w:hyperlink>
      <w:r>
        <w:rPr>
          <w:rFonts w:ascii="Verdana" w:hAnsi="Verdana"/>
          <w:color w:val="454545"/>
          <w:sz w:val="21"/>
          <w:szCs w:val="21"/>
        </w:rPr>
        <w:t>.</w:t>
      </w:r>
    </w:p>
    <w:p w:rsidR="00530434" w:rsidRDefault="00530434" w:rsidP="00530434">
      <w:pPr>
        <w:ind w:left="284"/>
        <w:rPr>
          <w:rFonts w:ascii="Verdana" w:hAnsi="Verdana"/>
          <w:color w:val="454545"/>
          <w:sz w:val="21"/>
          <w:szCs w:val="21"/>
        </w:rPr>
      </w:pPr>
      <w:hyperlink r:id="rId24" w:history="1">
        <w:r>
          <w:rPr>
            <w:rStyle w:val="Hyperlink"/>
            <w:rFonts w:ascii="Verdana" w:hAnsi="Verdana"/>
            <w:b/>
            <w:bCs/>
            <w:sz w:val="21"/>
            <w:szCs w:val="21"/>
          </w:rPr>
          <w:t>These figures were based on research published by the Australian Bureau of Statistics (ABS) in its </w:t>
        </w:r>
        <w:r>
          <w:rPr>
            <w:rStyle w:val="Hyperlink"/>
            <w:rFonts w:ascii="Verdana" w:hAnsi="Verdana"/>
            <w:b/>
            <w:bCs/>
            <w:i/>
            <w:iCs/>
            <w:sz w:val="21"/>
            <w:szCs w:val="21"/>
          </w:rPr>
          <w:t>Adult Literacy and Life Skills Survey</w:t>
        </w:r>
        <w:r>
          <w:rPr>
            <w:rStyle w:val="Hyperlink"/>
            <w:rFonts w:ascii="Verdana" w:hAnsi="Verdana"/>
            <w:b/>
            <w:bCs/>
            <w:sz w:val="21"/>
            <w:szCs w:val="21"/>
          </w:rPr>
          <w:t> (2006). Although they don't relate directly to literacy and numeracy levels in the workforce, these statistics are a good reflection of the overall scope of the problem.</w:t>
        </w:r>
      </w:hyperlink>
      <w:r>
        <w:rPr>
          <w:rFonts w:ascii="Verdana" w:hAnsi="Verdana"/>
          <w:color w:val="454545"/>
          <w:sz w:val="21"/>
          <w:szCs w:val="21"/>
        </w:rPr>
        <w:t>”</w:t>
      </w:r>
    </w:p>
    <w:p w:rsidR="00530434" w:rsidRDefault="00530434" w:rsidP="00530434">
      <w:pPr>
        <w:spacing w:before="80"/>
        <w:ind w:left="284"/>
        <w:rPr>
          <w:rFonts w:ascii="Arial" w:hAnsi="Arial" w:cs="Arial"/>
          <w:b/>
          <w:bCs/>
          <w:color w:val="000000"/>
        </w:rPr>
      </w:pPr>
      <w:r>
        <w:rPr>
          <w:rFonts w:ascii="Arial" w:hAnsi="Arial" w:cs="Arial"/>
          <w:color w:val="000000"/>
        </w:rPr>
        <w:t>“</w:t>
      </w:r>
      <w:hyperlink r:id="rId25" w:history="1">
        <w:r>
          <w:rPr>
            <w:rStyle w:val="Hyperlink"/>
            <w:rFonts w:ascii="Arial" w:hAnsi="Arial" w:cs="Arial"/>
            <w:b/>
            <w:bCs/>
            <w:shd w:val="clear" w:color="auto" w:fill="FFFFFF"/>
          </w:rPr>
          <w:t>On the numeracy scale, approximately 7.9 million (53%) Australians were assessed at Level 1 or 2, 4.7 million (31%) at Level 3 and 2.4 million (16%) at Level 4/5</w:t>
        </w:r>
      </w:hyperlink>
      <w:r>
        <w:rPr>
          <w:rFonts w:ascii="Arial" w:hAnsi="Arial" w:cs="Arial"/>
          <w:b/>
          <w:bCs/>
          <w:color w:val="333333"/>
          <w:shd w:val="clear" w:color="auto" w:fill="FFFFFF"/>
        </w:rPr>
        <w:t xml:space="preserve">” </w:t>
      </w:r>
      <w:r>
        <w:rPr>
          <w:rFonts w:ascii="Arial" w:hAnsi="Arial" w:cs="Arial"/>
          <w:color w:val="333333"/>
          <w:shd w:val="clear" w:color="auto" w:fill="FFFFFF"/>
        </w:rPr>
        <w:t>– extract from</w:t>
      </w:r>
      <w:r>
        <w:rPr>
          <w:rFonts w:ascii="Arial" w:hAnsi="Arial" w:cs="Arial"/>
          <w:b/>
          <w:bCs/>
          <w:color w:val="333333"/>
          <w:shd w:val="clear" w:color="auto" w:fill="FFFFFF"/>
        </w:rPr>
        <w:t xml:space="preserve"> </w:t>
      </w:r>
      <w:r>
        <w:rPr>
          <w:rFonts w:ascii="Arial" w:hAnsi="Arial" w:cs="Arial"/>
          <w:color w:val="000000"/>
        </w:rPr>
        <w:t xml:space="preserve">ABS 4228.0 - Adult Literacy and Life Skills Survey, Summary Results, Australia, </w:t>
      </w:r>
      <w:r>
        <w:rPr>
          <w:rFonts w:ascii="Arial" w:hAnsi="Arial" w:cs="Arial"/>
          <w:b/>
          <w:bCs/>
          <w:color w:val="000000"/>
        </w:rPr>
        <w:t>2006</w:t>
      </w:r>
      <w:r>
        <w:rPr>
          <w:rFonts w:ascii="Arial" w:hAnsi="Arial" w:cs="Arial"/>
          <w:color w:val="000000"/>
        </w:rPr>
        <w:t xml:space="preserve"> (Reissue)</w:t>
      </w:r>
    </w:p>
    <w:p w:rsidR="00530434" w:rsidRDefault="00530434" w:rsidP="00530434">
      <w:pPr>
        <w:rPr>
          <w:rFonts w:ascii="Arial" w:hAnsi="Arial" w:cs="Arial"/>
          <w:b/>
          <w:bCs/>
          <w:sz w:val="10"/>
          <w:szCs w:val="10"/>
        </w:rPr>
      </w:pPr>
    </w:p>
    <w:p w:rsidR="00530434" w:rsidRDefault="00530434" w:rsidP="00530434">
      <w:pPr>
        <w:pStyle w:val="NormalWeb"/>
        <w:spacing w:before="45" w:beforeAutospacing="0" w:after="15" w:afterAutospacing="0"/>
        <w:rPr>
          <w:rFonts w:ascii="Arial" w:hAnsi="Arial" w:cs="Arial"/>
          <w:sz w:val="22"/>
          <w:szCs w:val="22"/>
        </w:rPr>
      </w:pPr>
      <w:r>
        <w:rPr>
          <w:rFonts w:ascii="Arial" w:hAnsi="Arial" w:cs="Arial"/>
          <w:sz w:val="22"/>
          <w:szCs w:val="22"/>
        </w:rPr>
        <w:t xml:space="preserve">Mindful of the above array of evidence of the low </w:t>
      </w:r>
      <w:hyperlink r:id="rId26" w:history="1">
        <w:r>
          <w:rPr>
            <w:rStyle w:val="Hyperlink"/>
            <w:rFonts w:ascii="Arial" w:hAnsi="Arial" w:cs="Arial"/>
            <w:b/>
            <w:bCs/>
            <w:sz w:val="22"/>
            <w:szCs w:val="22"/>
          </w:rPr>
          <w:t>Financial Literacy Capacity</w:t>
        </w:r>
      </w:hyperlink>
      <w:r>
        <w:rPr>
          <w:rFonts w:ascii="Arial" w:hAnsi="Arial" w:cs="Arial"/>
          <w:sz w:val="22"/>
          <w:szCs w:val="22"/>
        </w:rPr>
        <w:t xml:space="preserve"> of many Credit Cardholders, the below extracts from '</w:t>
      </w:r>
      <w:r>
        <w:rPr>
          <w:rFonts w:ascii="Arial" w:hAnsi="Arial" w:cs="Arial"/>
          <w:b/>
          <w:bCs/>
          <w:sz w:val="22"/>
          <w:szCs w:val="22"/>
        </w:rPr>
        <w:t>Conditions of use</w:t>
      </w:r>
      <w:r>
        <w:rPr>
          <w:rFonts w:ascii="Arial" w:hAnsi="Arial" w:cs="Arial"/>
          <w:sz w:val="22"/>
          <w:szCs w:val="22"/>
        </w:rPr>
        <w:t xml:space="preserve">' booklets issued by St. George Bank, ANZ and </w:t>
      </w:r>
      <w:r>
        <w:rPr>
          <w:rStyle w:val="Emphasis"/>
          <w:rFonts w:ascii="Arial" w:hAnsi="Arial" w:cs="Arial"/>
          <w:i w:val="0"/>
          <w:iCs w:val="0"/>
          <w:sz w:val="22"/>
          <w:szCs w:val="22"/>
          <w:shd w:val="clear" w:color="auto" w:fill="FFFFFF"/>
        </w:rPr>
        <w:t xml:space="preserve">Westpac with text </w:t>
      </w:r>
      <w:r>
        <w:rPr>
          <w:rFonts w:ascii="Arial" w:hAnsi="Arial" w:cs="Arial"/>
          <w:sz w:val="22"/>
          <w:szCs w:val="22"/>
        </w:rPr>
        <w:t xml:space="preserve">in </w:t>
      </w:r>
      <w:r>
        <w:rPr>
          <w:rFonts w:ascii="Arial" w:hAnsi="Arial" w:cs="Arial"/>
          <w:sz w:val="18"/>
          <w:szCs w:val="18"/>
        </w:rPr>
        <w:t>small fonts</w:t>
      </w:r>
      <w:r>
        <w:rPr>
          <w:rFonts w:ascii="Arial" w:hAnsi="Arial" w:cs="Arial"/>
          <w:sz w:val="22"/>
          <w:szCs w:val="22"/>
        </w:rPr>
        <w:t xml:space="preserve"> constitute Unconscionable Conduct (This Writer downloaded </w:t>
      </w:r>
      <w:r>
        <w:rPr>
          <w:rFonts w:ascii="Arial" w:hAnsi="Arial" w:cs="Arial"/>
          <w:color w:val="000000"/>
          <w:sz w:val="22"/>
          <w:szCs w:val="22"/>
        </w:rPr>
        <w:t xml:space="preserve">a PDF of </w:t>
      </w:r>
      <w:r>
        <w:rPr>
          <w:rFonts w:ascii="Arial" w:hAnsi="Arial" w:cs="Arial"/>
          <w:sz w:val="22"/>
          <w:szCs w:val="22"/>
        </w:rPr>
        <w:t xml:space="preserve">the below </w:t>
      </w:r>
      <w:r>
        <w:rPr>
          <w:rFonts w:ascii="Arial" w:hAnsi="Arial" w:cs="Arial"/>
          <w:color w:val="000000"/>
          <w:sz w:val="22"/>
          <w:szCs w:val="22"/>
        </w:rPr>
        <w:t>four</w:t>
      </w:r>
      <w:r>
        <w:rPr>
          <w:rFonts w:ascii="Arial" w:hAnsi="Arial" w:cs="Arial"/>
          <w:sz w:val="22"/>
          <w:szCs w:val="22"/>
        </w:rPr>
        <w:t xml:space="preserve"> booklets a few years ago):</w:t>
      </w:r>
    </w:p>
    <w:p w:rsidR="00530434" w:rsidRDefault="00530434" w:rsidP="00530434">
      <w:pPr>
        <w:pStyle w:val="NormalWeb"/>
        <w:spacing w:before="0" w:beforeAutospacing="0" w:after="30" w:afterAutospacing="0"/>
        <w:ind w:left="780" w:hanging="780"/>
      </w:pPr>
      <w:r>
        <w:rPr>
          <w:rStyle w:val="Emphasis"/>
          <w:rFonts w:ascii="Arial" w:hAnsi="Arial" w:cs="Arial"/>
          <w:i w:val="0"/>
          <w:iCs w:val="0"/>
          <w:shd w:val="clear" w:color="auto" w:fill="FFFFFF"/>
        </w:rPr>
        <w:t xml:space="preserve">*            St George Bank </w:t>
      </w:r>
      <w:r>
        <w:rPr>
          <w:rFonts w:ascii="Calibri" w:hAnsi="Calibri" w:cs="Calibri"/>
          <w:color w:val="000000"/>
          <w:sz w:val="26"/>
          <w:szCs w:val="26"/>
        </w:rPr>
        <w:t xml:space="preserve">"We strongly recommend </w:t>
      </w:r>
      <w:r>
        <w:rPr>
          <w:rFonts w:ascii="Calibri" w:hAnsi="Calibri" w:cs="Calibri"/>
          <w:b/>
          <w:bCs/>
          <w:color w:val="000000"/>
          <w:sz w:val="26"/>
          <w:szCs w:val="26"/>
          <w:shd w:val="clear" w:color="auto" w:fill="FFFFFF"/>
        </w:rPr>
        <w:t>that you read this booklet carefully</w:t>
      </w:r>
      <w:r>
        <w:rPr>
          <w:rFonts w:ascii="Calibri" w:hAnsi="Calibri" w:cs="Calibri"/>
          <w:color w:val="000000"/>
          <w:sz w:val="26"/>
          <w:szCs w:val="26"/>
        </w:rPr>
        <w:t xml:space="preserve"> and retain it for your future reference" </w:t>
      </w:r>
      <w:r>
        <w:rPr>
          <w:rFonts w:ascii="Arial" w:hAnsi="Arial" w:cs="Arial"/>
          <w:sz w:val="22"/>
          <w:szCs w:val="22"/>
        </w:rPr>
        <w:t xml:space="preserve">a </w:t>
      </w:r>
      <w:r>
        <w:rPr>
          <w:rFonts w:ascii="Arial" w:hAnsi="Arial" w:cs="Arial"/>
          <w:sz w:val="22"/>
          <w:szCs w:val="22"/>
          <w:highlight w:val="yellow"/>
        </w:rPr>
        <w:t>76 pages</w:t>
      </w:r>
      <w:r>
        <w:rPr>
          <w:rFonts w:ascii="Arial" w:hAnsi="Arial" w:cs="Arial"/>
        </w:rPr>
        <w:t xml:space="preserve"> ‘</w:t>
      </w:r>
      <w:r>
        <w:rPr>
          <w:rFonts w:ascii="Arial" w:hAnsi="Arial" w:cs="Arial"/>
          <w:b/>
          <w:bCs/>
          <w:color w:val="000000"/>
          <w:sz w:val="22"/>
          <w:szCs w:val="22"/>
        </w:rPr>
        <w:t xml:space="preserve">Conditions of Use - Credit </w:t>
      </w:r>
      <w:r>
        <w:rPr>
          <w:rFonts w:ascii="Arial" w:hAnsi="Arial" w:cs="Arial"/>
          <w:b/>
          <w:bCs/>
          <w:color w:val="000000"/>
          <w:sz w:val="22"/>
          <w:szCs w:val="22"/>
        </w:rPr>
        <w:lastRenderedPageBreak/>
        <w:t>Guide</w:t>
      </w:r>
      <w:r>
        <w:rPr>
          <w:rFonts w:ascii="Arial" w:hAnsi="Arial" w:cs="Arial"/>
          <w:b/>
          <w:bCs/>
          <w:color w:val="000000"/>
        </w:rPr>
        <w:t>’</w:t>
      </w:r>
      <w:r>
        <w:rPr>
          <w:rFonts w:ascii="Arial" w:hAnsi="Arial" w:cs="Arial"/>
        </w:rPr>
        <w:t xml:space="preserve"> document of Conditions</w:t>
      </w:r>
      <w:r>
        <w:rPr>
          <w:rFonts w:ascii="Calibri" w:hAnsi="Calibri" w:cs="Calibri"/>
          <w:color w:val="000000"/>
          <w:sz w:val="26"/>
          <w:szCs w:val="26"/>
        </w:rPr>
        <w:t>.</w:t>
      </w:r>
      <w:r>
        <w:rPr>
          <w:rStyle w:val="Emphasis"/>
          <w:rFonts w:ascii="Arial" w:hAnsi="Arial" w:cs="Arial"/>
          <w:i w:val="0"/>
          <w:iCs w:val="0"/>
          <w:shd w:val="clear" w:color="auto" w:fill="FFFFFF"/>
        </w:rPr>
        <w:t xml:space="preserve">  </w:t>
      </w:r>
      <w:r>
        <w:rPr>
          <w:rFonts w:ascii="Arial" w:hAnsi="Arial" w:cs="Arial"/>
        </w:rPr>
        <w:t>The word 'interest' appears in the 'Contents' twice and 78 more times throughout the 76 pages.  The word 'fee' or 'fees' appears 53 times.</w:t>
      </w:r>
    </w:p>
    <w:p w:rsidR="00530434" w:rsidRDefault="00530434" w:rsidP="00530434">
      <w:pPr>
        <w:pStyle w:val="NormalWeb"/>
        <w:spacing w:before="60" w:beforeAutospacing="0" w:after="60" w:afterAutospacing="0"/>
        <w:ind w:left="778" w:hanging="778"/>
        <w:rPr>
          <w:rFonts w:ascii="Arial" w:hAnsi="Arial" w:cs="Arial"/>
          <w:sz w:val="22"/>
          <w:szCs w:val="22"/>
        </w:rPr>
      </w:pPr>
      <w:r>
        <w:rPr>
          <w:rFonts w:ascii="Arial" w:hAnsi="Arial" w:cs="Arial"/>
        </w:rPr>
        <w:t xml:space="preserve">*           </w:t>
      </w:r>
      <w:proofErr w:type="spellStart"/>
      <w:r>
        <w:rPr>
          <w:rFonts w:ascii="Arial" w:hAnsi="Arial" w:cs="Arial"/>
          <w:shd w:val="clear" w:color="auto" w:fill="FFFFFF"/>
        </w:rPr>
        <w:t>ANZ's</w:t>
      </w:r>
      <w:proofErr w:type="spellEnd"/>
      <w:r>
        <w:rPr>
          <w:rFonts w:ascii="Arial" w:hAnsi="Arial" w:cs="Arial"/>
          <w:shd w:val="clear" w:color="auto" w:fill="FFFFFF"/>
        </w:rPr>
        <w:t xml:space="preserve"> '</w:t>
      </w:r>
      <w:r>
        <w:rPr>
          <w:b/>
          <w:bCs/>
          <w:sz w:val="22"/>
          <w:szCs w:val="22"/>
          <w:shd w:val="clear" w:color="auto" w:fill="FFFFFF"/>
        </w:rPr>
        <w:t>C</w:t>
      </w:r>
      <w:r>
        <w:rPr>
          <w:b/>
          <w:bCs/>
          <w:sz w:val="22"/>
          <w:szCs w:val="22"/>
        </w:rPr>
        <w:t>ONDITIONS OF USE 20.06.2016 CONSUMER CREDIT CARDS</w:t>
      </w:r>
      <w:r>
        <w:rPr>
          <w:sz w:val="20"/>
          <w:szCs w:val="20"/>
        </w:rPr>
        <w:t>'</w:t>
      </w:r>
      <w:r>
        <w:rPr>
          <w:sz w:val="15"/>
          <w:szCs w:val="15"/>
        </w:rPr>
        <w:t xml:space="preserve"> </w:t>
      </w:r>
      <w:r>
        <w:rPr>
          <w:rFonts w:ascii="Arial" w:hAnsi="Arial" w:cs="Arial"/>
          <w:sz w:val="22"/>
          <w:szCs w:val="22"/>
          <w:highlight w:val="yellow"/>
        </w:rPr>
        <w:t>97 page booklet</w:t>
      </w:r>
      <w:r>
        <w:rPr>
          <w:rFonts w:ascii="Arial" w:hAnsi="Arial" w:cs="Arial"/>
          <w:sz w:val="22"/>
          <w:szCs w:val="22"/>
        </w:rPr>
        <w:t xml:space="preserve"> printed in 9 font. </w:t>
      </w:r>
      <w:r>
        <w:rPr>
          <w:rFonts w:ascii="Arial" w:hAnsi="Arial" w:cs="Arial"/>
          <w:color w:val="000000"/>
          <w:sz w:val="22"/>
          <w:szCs w:val="22"/>
        </w:rPr>
        <w:t xml:space="preserve">Cardholders are requested to read voluminous parts of it as well as their Credit Card Contract. </w:t>
      </w:r>
      <w:r>
        <w:rPr>
          <w:rFonts w:ascii="Arial" w:hAnsi="Arial" w:cs="Arial"/>
          <w:sz w:val="22"/>
          <w:szCs w:val="22"/>
        </w:rPr>
        <w:t> The word "interest' appears 216 times in the booklet.  The word 'fee' or 'fees' appears 104 times.</w:t>
      </w:r>
    </w:p>
    <w:p w:rsidR="00530434" w:rsidRDefault="00530434" w:rsidP="00530434">
      <w:pPr>
        <w:autoSpaceDE w:val="0"/>
        <w:autoSpaceDN w:val="0"/>
        <w:spacing w:before="30" w:after="30"/>
        <w:ind w:left="780" w:hanging="780"/>
        <w:rPr>
          <w:rFonts w:ascii="Arial" w:hAnsi="Arial" w:cs="Arial"/>
          <w:b/>
          <w:bCs/>
        </w:rPr>
      </w:pPr>
      <w:r>
        <w:rPr>
          <w:rFonts w:ascii="Arial" w:hAnsi="Arial" w:cs="Arial"/>
        </w:rPr>
        <w:t>*          "</w:t>
      </w:r>
      <w:r>
        <w:rPr>
          <w:rFonts w:ascii="Arial" w:hAnsi="Arial" w:cs="Arial"/>
          <w:color w:val="000000"/>
        </w:rPr>
        <w:t>Ignite by Westpac - Consumer Credit Card Conditions of Use</w:t>
      </w:r>
      <w:r>
        <w:rPr>
          <w:rFonts w:ascii="Arial" w:hAnsi="Arial" w:cs="Arial"/>
          <w:color w:val="000000"/>
          <w:u w:val="single"/>
        </w:rPr>
        <w:t>"</w:t>
      </w:r>
      <w:r>
        <w:rPr>
          <w:rFonts w:ascii="Arial" w:hAnsi="Arial" w:cs="Arial"/>
        </w:rPr>
        <w:t>.  The word 'interest' appears in the 'Contents' once and 92 more times throughout the 43 pages.  The word 'fee' or 'fees' appears in the 'Contents' once and 74 more times throughout the 43 pages.  "</w:t>
      </w:r>
      <w:r>
        <w:rPr>
          <w:rFonts w:ascii="Arial" w:hAnsi="Arial" w:cs="Arial"/>
          <w:b/>
          <w:bCs/>
          <w:sz w:val="21"/>
          <w:szCs w:val="21"/>
        </w:rPr>
        <w:t>This User Guide forms part of your Credit Card Contract</w:t>
      </w:r>
      <w:r>
        <w:rPr>
          <w:rFonts w:ascii="Arial" w:hAnsi="Arial"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w:t>
      </w:r>
      <w:r>
        <w:rPr>
          <w:rFonts w:ascii="Arial" w:hAnsi="Arial" w:cs="Arial"/>
          <w:b/>
          <w:bCs/>
          <w:sz w:val="21"/>
          <w:szCs w:val="21"/>
        </w:rPr>
        <w:t>You should also READ YOUR CONTRACT carefully."</w:t>
      </w:r>
      <w:r>
        <w:rPr>
          <w:rFonts w:ascii="Arial" w:hAnsi="Arial" w:cs="Arial"/>
          <w:b/>
          <w:bCs/>
        </w:rPr>
        <w:t xml:space="preserve">  </w:t>
      </w:r>
    </w:p>
    <w:p w:rsidR="00530434" w:rsidRDefault="00530434" w:rsidP="00530434">
      <w:pPr>
        <w:autoSpaceDE w:val="0"/>
        <w:autoSpaceDN w:val="0"/>
        <w:spacing w:before="30" w:after="30"/>
        <w:rPr>
          <w:rFonts w:ascii="Arial" w:hAnsi="Arial" w:cs="Arial"/>
          <w:color w:val="000000"/>
        </w:rPr>
      </w:pPr>
      <w:r>
        <w:rPr>
          <w:rFonts w:ascii="Arial" w:hAnsi="Arial" w:cs="Arial"/>
          <w:color w:val="000000"/>
        </w:rPr>
        <w:t xml:space="preserve">*           </w:t>
      </w:r>
      <w:r>
        <w:rPr>
          <w:rFonts w:ascii="Arial" w:hAnsi="Arial" w:cs="Arial"/>
        </w:rPr>
        <w:t xml:space="preserve">COMMBANK CREDIT CARD - CONDITIONS OF USE - How you can use your account. -  For all CommBank Personal Credit Cards and Business Credit Cards. 1 November </w:t>
      </w:r>
      <w:proofErr w:type="gramStart"/>
      <w:r>
        <w:rPr>
          <w:rFonts w:ascii="Arial" w:hAnsi="Arial" w:cs="Arial"/>
        </w:rPr>
        <w:t xml:space="preserve">2017 </w:t>
      </w:r>
      <w:r>
        <w:rPr>
          <w:rFonts w:ascii="Arial" w:hAnsi="Arial" w:cs="Arial"/>
          <w:b/>
          <w:bCs/>
        </w:rPr>
        <w:t> </w:t>
      </w:r>
      <w:proofErr w:type="gramEnd"/>
      <w:hyperlink r:id="rId27" w:history="1">
        <w:r>
          <w:rPr>
            <w:rStyle w:val="Hyperlink"/>
            <w:rFonts w:ascii="Arial" w:hAnsi="Arial" w:cs="Arial"/>
            <w:b/>
            <w:bCs/>
          </w:rPr>
          <w:t>21 pages</w:t>
        </w:r>
      </w:hyperlink>
      <w:r>
        <w:rPr>
          <w:rFonts w:ascii="Arial" w:hAnsi="Arial" w:cs="Arial"/>
          <w:b/>
          <w:bCs/>
        </w:rPr>
        <w:t>.</w:t>
      </w:r>
    </w:p>
    <w:p w:rsidR="00530434" w:rsidRDefault="00530434" w:rsidP="00530434">
      <w:pPr>
        <w:spacing w:before="60" w:after="15"/>
        <w:rPr>
          <w:rFonts w:ascii="Times New Roman" w:eastAsia="Times New Roman" w:hAnsi="Times New Roman" w:cs="Times New Roman"/>
        </w:rPr>
      </w:pPr>
      <w:r>
        <w:rPr>
          <w:rFonts w:ascii="Arial" w:hAnsi="Arial" w:cstheme="minorBidi"/>
          <w:color w:val="000000" w:themeColor="text1"/>
        </w:rPr>
        <w:t xml:space="preserve">The Federal Labor Government can now </w:t>
      </w:r>
      <w:hyperlink r:id="rId28" w:history="1">
        <w:r>
          <w:rPr>
            <w:rStyle w:val="Hyperlink"/>
            <w:rFonts w:ascii="Arial" w:hAnsi="Arial" w:cs="Arial"/>
            <w:b/>
            <w:bCs/>
            <w:color w:val="000000"/>
          </w:rPr>
          <w:t>A</w:t>
        </w:r>
      </w:hyperlink>
      <w:hyperlink r:id="rId29" w:history="1">
        <w:r>
          <w:rPr>
            <w:rStyle w:val="Hyperlink"/>
            <w:rFonts w:ascii="Arial" w:hAnsi="Arial" w:cs="Arial"/>
            <w:b/>
            <w:bCs/>
            <w:color w:val="000000"/>
          </w:rPr>
          <w:t>ction the aspirations of two recent former Labor Prime Ministers (Bob Hawke and Paul Keating) for Australia to truly be an Egalitarian Country</w:t>
        </w:r>
      </w:hyperlink>
      <w:r>
        <w:rPr>
          <w:rFonts w:ascii="Arial" w:hAnsi="Arial" w:cs="Arial"/>
        </w:rPr>
        <w:t xml:space="preserve"> </w:t>
      </w:r>
      <w:r>
        <w:rPr>
          <w:rFonts w:ascii="Arial" w:hAnsi="Arial" w:cstheme="minorBidi"/>
          <w:color w:val="000000" w:themeColor="text1"/>
        </w:rPr>
        <w:t xml:space="preserve">in particular </w:t>
      </w:r>
      <w:r>
        <w:rPr>
          <w:rFonts w:ascii="Arial" w:hAnsi="Arial" w:cs="Arial"/>
        </w:rPr>
        <w:t>"</w:t>
      </w:r>
      <w:r>
        <w:rPr>
          <w:rFonts w:ascii="Verdana" w:hAnsi="Verdana"/>
          <w:b/>
          <w:bCs/>
          <w:color w:val="212529"/>
          <w:shd w:val="clear" w:color="auto" w:fill="FFFFFF"/>
        </w:rPr>
        <w:t>...maintain our egalitarian values and preserve our social cohesion</w:t>
      </w:r>
      <w:r>
        <w:rPr>
          <w:rFonts w:ascii="Arial" w:hAnsi="Arial" w:cstheme="minorBidi"/>
          <w:color w:val="000000" w:themeColor="text1"/>
        </w:rPr>
        <w:t xml:space="preserve">" (Paul Keating). </w:t>
      </w:r>
    </w:p>
    <w:p w:rsidR="00530434" w:rsidRDefault="00530434" w:rsidP="00530434">
      <w:pPr>
        <w:spacing w:before="60" w:after="15"/>
        <w:rPr>
          <w:b/>
          <w:bCs/>
          <w:sz w:val="6"/>
          <w:szCs w:val="6"/>
          <w:shd w:val="clear" w:color="auto" w:fill="FFFFFF"/>
        </w:rPr>
      </w:pPr>
    </w:p>
    <w:p w:rsidR="00530434" w:rsidRDefault="00530434" w:rsidP="00530434">
      <w:pPr>
        <w:spacing w:before="60" w:after="15"/>
      </w:pPr>
      <w:r>
        <w:rPr>
          <w:rFonts w:ascii="Arial" w:hAnsi="Arial" w:cs="Arial"/>
          <w:bCs/>
          <w:shd w:val="clear" w:color="auto" w:fill="FFFFFF"/>
        </w:rPr>
        <w:t>The Federal Govt. can be the first Western power to pass legislation intent upon '</w:t>
      </w:r>
      <w:r>
        <w:rPr>
          <w:rFonts w:ascii="Arial" w:hAnsi="Arial" w:cs="Arial"/>
          <w:bCs/>
          <w:i/>
          <w:iCs/>
          <w:shd w:val="clear" w:color="auto" w:fill="FFFFFF"/>
        </w:rPr>
        <w:t>righting the wrongs</w:t>
      </w:r>
      <w:r>
        <w:rPr>
          <w:rFonts w:ascii="Arial" w:hAnsi="Arial" w:cs="Arial"/>
          <w:bCs/>
          <w:shd w:val="clear" w:color="auto" w:fill="FFFFFF"/>
        </w:rPr>
        <w:t xml:space="preserve">' of </w:t>
      </w:r>
      <w:r>
        <w:rPr>
          <w:rFonts w:ascii="Arial" w:hAnsi="Arial" w:cs="Arial"/>
          <w:bCs/>
          <w:i/>
          <w:iCs/>
          <w:shd w:val="clear" w:color="auto" w:fill="FFFFFF"/>
        </w:rPr>
        <w:t xml:space="preserve">'ravenous capitalism' </w:t>
      </w:r>
      <w:r>
        <w:rPr>
          <w:rFonts w:ascii="Arial" w:hAnsi="Arial" w:cs="Arial"/>
          <w:bCs/>
          <w:shd w:val="clear" w:color="auto" w:fill="FFFFFF"/>
        </w:rPr>
        <w:t>that has</w:t>
      </w:r>
      <w:r>
        <w:rPr>
          <w:rFonts w:ascii="Arial" w:hAnsi="Arial" w:cs="Arial"/>
          <w:bCs/>
          <w:i/>
          <w:iCs/>
          <w:shd w:val="clear" w:color="auto" w:fill="FFFFFF"/>
        </w:rPr>
        <w:t xml:space="preserve"> </w:t>
      </w:r>
      <w:r>
        <w:rPr>
          <w:rFonts w:ascii="Arial" w:hAnsi="Arial" w:cs="Arial"/>
          <w:bCs/>
          <w:shd w:val="clear" w:color="auto" w:fill="FFFFFF"/>
        </w:rPr>
        <w:t>been</w:t>
      </w:r>
      <w:r>
        <w:rPr>
          <w:rFonts w:ascii="Arial" w:hAnsi="Arial" w:cs="Arial"/>
          <w:bCs/>
          <w:i/>
          <w:iCs/>
          <w:shd w:val="clear" w:color="auto" w:fill="FFFFFF"/>
        </w:rPr>
        <w:t xml:space="preserve"> </w:t>
      </w:r>
      <w:r>
        <w:rPr>
          <w:rFonts w:ascii="Arial" w:hAnsi="Arial" w:cs="Arial"/>
          <w:bCs/>
          <w:shd w:val="clear" w:color="auto" w:fill="FFFFFF"/>
        </w:rPr>
        <w:t>targeted at</w:t>
      </w:r>
      <w:r>
        <w:rPr>
          <w:b/>
          <w:bCs/>
          <w:shd w:val="clear" w:color="auto" w:fill="FFFFFF"/>
        </w:rPr>
        <w:t xml:space="preserve"> </w:t>
      </w:r>
      <w:r>
        <w:rPr>
          <w:rFonts w:ascii="Arial" w:hAnsi="Arial" w:cs="Arial"/>
          <w:bCs/>
        </w:rPr>
        <w:t>Financially Uneducated and Vulnerable Australian Credit Cardholders.</w:t>
      </w:r>
    </w:p>
    <w:p w:rsidR="00530434" w:rsidRDefault="00530434" w:rsidP="00530434">
      <w:pPr>
        <w:rPr>
          <w:rFonts w:ascii="Arial" w:hAnsi="Arial" w:cs="Arial"/>
          <w:bCs/>
          <w:sz w:val="12"/>
          <w:szCs w:val="12"/>
        </w:rPr>
      </w:pPr>
    </w:p>
    <w:p w:rsidR="00530434" w:rsidRDefault="00530434" w:rsidP="00530434">
      <w:pPr>
        <w:rPr>
          <w:rFonts w:ascii="Arial" w:hAnsi="Arial" w:cs="Arial"/>
          <w:sz w:val="14"/>
          <w:szCs w:val="14"/>
        </w:rPr>
      </w:pPr>
    </w:p>
    <w:p w:rsidR="00530434" w:rsidRDefault="00530434" w:rsidP="00530434">
      <w:pPr>
        <w:rPr>
          <w:rFonts w:ascii="Arial" w:hAnsi="Arial" w:cs="Arial"/>
          <w:color w:val="000000"/>
          <w:sz w:val="20"/>
          <w:szCs w:val="20"/>
          <w:lang w:val="en-AU"/>
        </w:rPr>
      </w:pPr>
      <w:r>
        <w:rPr>
          <w:rFonts w:ascii="Arial" w:hAnsi="Arial" w:cs="Arial"/>
          <w:b/>
          <w:bCs/>
          <w:color w:val="000000"/>
          <w:sz w:val="20"/>
          <w:szCs w:val="20"/>
          <w:lang w:val="en-AU"/>
        </w:rPr>
        <w:t>Phil Johnston aka</w:t>
      </w:r>
      <w:r>
        <w:rPr>
          <w:b/>
          <w:bCs/>
          <w:color w:val="000000"/>
          <w:sz w:val="20"/>
          <w:szCs w:val="20"/>
          <w:lang w:val="en-AU"/>
        </w:rPr>
        <w:t> </w:t>
      </w:r>
      <w:hyperlink r:id="rId30" w:history="1">
        <w:r>
          <w:rPr>
            <w:rStyle w:val="Hyperlink"/>
            <w:rFonts w:ascii="Arial" w:hAnsi="Arial" w:cs="Arial"/>
            <w:b/>
            <w:bCs/>
            <w:i/>
            <w:iCs/>
            <w:color w:val="0000FF"/>
            <w:sz w:val="20"/>
            <w:szCs w:val="20"/>
            <w:lang w:val="en-AU"/>
          </w:rPr>
          <w:t>Bank Teller</w:t>
        </w:r>
      </w:hyperlink>
      <w:r>
        <w:rPr>
          <w:rFonts w:ascii="Arial" w:hAnsi="Arial" w:cs="Arial"/>
          <w:b/>
          <w:bCs/>
          <w:i/>
          <w:iCs/>
          <w:color w:val="0000FF"/>
          <w:sz w:val="20"/>
          <w:szCs w:val="20"/>
          <w:lang w:val="en-AU"/>
        </w:rPr>
        <w:br/>
      </w:r>
      <w:r>
        <w:rPr>
          <w:rFonts w:ascii="Arial" w:hAnsi="Arial" w:cs="Arial"/>
          <w:b/>
          <w:bCs/>
          <w:color w:val="000000"/>
          <w:sz w:val="20"/>
          <w:szCs w:val="20"/>
          <w:lang w:val="en-AU"/>
        </w:rPr>
        <w:t>0434 715.861</w:t>
      </w:r>
    </w:p>
    <w:bookmarkEnd w:id="0"/>
    <w:p w:rsidR="00530434" w:rsidRDefault="00530434" w:rsidP="00530434"/>
    <w:p w:rsidR="0067749D" w:rsidRDefault="0067749D">
      <w:bookmarkStart w:id="1" w:name="_GoBack"/>
      <w:bookmarkEnd w:id="1"/>
    </w:p>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cs="Times New Roman" w:hint="default"/>
      </w:rPr>
    </w:lvl>
  </w:abstractNum>
  <w:abstractNum w:abstractNumId="1" w15:restartNumberingAfterBreak="0">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2" w15:restartNumberingAfterBreak="0">
    <w:nsid w:val="50657DA2"/>
    <w:multiLevelType w:val="multilevel"/>
    <w:tmpl w:val="24089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num>
  <w:num w:numId="2">
    <w:abstractNumId w:val="0"/>
    <w:lvlOverride w:ilv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34"/>
    <w:rsid w:val="00530434"/>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B468-3FCE-4DF5-BB46-C6E7FBBA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34"/>
    <w:pPr>
      <w:spacing w:after="0"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434"/>
    <w:rPr>
      <w:color w:val="0563C1"/>
      <w:u w:val="single"/>
    </w:rPr>
  </w:style>
  <w:style w:type="paragraph" w:styleId="NormalWeb">
    <w:name w:val="Normal (Web)"/>
    <w:basedOn w:val="Normal"/>
    <w:uiPriority w:val="99"/>
    <w:semiHidden/>
    <w:unhideWhenUsed/>
    <w:rsid w:val="00530434"/>
    <w:pPr>
      <w:spacing w:before="100" w:beforeAutospacing="1" w:after="100" w:afterAutospacing="1"/>
    </w:pPr>
    <w:rPr>
      <w:rFonts w:ascii="Times New Roman" w:hAnsi="Times New Roman" w:cs="Times New Roman"/>
      <w:sz w:val="24"/>
      <w:szCs w:val="24"/>
    </w:rPr>
  </w:style>
  <w:style w:type="paragraph" w:customStyle="1" w:styleId="BoxListBullet">
    <w:name w:val="Box List Bullet"/>
    <w:basedOn w:val="Normal"/>
    <w:uiPriority w:val="99"/>
    <w:semiHidden/>
    <w:rsid w:val="00530434"/>
    <w:pPr>
      <w:keepNext/>
      <w:numPr>
        <w:numId w:val="1"/>
      </w:numPr>
      <w:spacing w:before="60" w:line="280" w:lineRule="atLeast"/>
      <w:ind w:left="0" w:firstLine="0"/>
      <w:jc w:val="both"/>
    </w:pPr>
    <w:rPr>
      <w:rFonts w:ascii="Arial" w:hAnsi="Arial" w:cs="Arial"/>
    </w:rPr>
  </w:style>
  <w:style w:type="paragraph" w:customStyle="1" w:styleId="BoxListBullet2">
    <w:name w:val="Box List Bullet 2"/>
    <w:basedOn w:val="Normal"/>
    <w:uiPriority w:val="99"/>
    <w:semiHidden/>
    <w:rsid w:val="00530434"/>
    <w:pPr>
      <w:keepNext/>
      <w:numPr>
        <w:numId w:val="2"/>
      </w:numPr>
      <w:spacing w:before="60" w:line="280" w:lineRule="atLeast"/>
      <w:jc w:val="both"/>
    </w:pPr>
    <w:rPr>
      <w:rFonts w:ascii="Arial" w:hAnsi="Arial" w:cs="Arial"/>
    </w:rPr>
  </w:style>
  <w:style w:type="character" w:styleId="Emphasis">
    <w:name w:val="Emphasis"/>
    <w:basedOn w:val="DefaultParagraphFont"/>
    <w:uiPriority w:val="20"/>
    <w:qFormat/>
    <w:rsid w:val="00530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8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ggaccinos.com/CreditCards/DefinedTerms/Financial_Literacy.htm" TargetMode="External"/><Relationship Id="rId13" Type="http://schemas.openxmlformats.org/officeDocument/2006/relationships/hyperlink" Target="https://catalogue.nla.gov.au/Record/5016632" TargetMode="External"/><Relationship Id="rId18" Type="http://schemas.openxmlformats.org/officeDocument/2006/relationships/hyperlink" Target="https://www.pc.gov.au/research/supporting/literacy-numeracy-skills" TargetMode="External"/><Relationship Id="rId26" Type="http://schemas.openxmlformats.org/officeDocument/2006/relationships/hyperlink" Target="https://muggaccinos.com/CreditCards/DefinedTerms/Financial_Literacy.htm" TargetMode="External"/><Relationship Id="rId3" Type="http://schemas.openxmlformats.org/officeDocument/2006/relationships/settings" Target="settings.xml"/><Relationship Id="rId21" Type="http://schemas.openxmlformats.org/officeDocument/2006/relationships/hyperlink" Target="https://www.intar.com.au/resources/training_and_assessing/section_4/chapter4_language_literacy_and_numeracy/lesson1_language_literacy_and_numeracy.htm" TargetMode="External"/><Relationship Id="rId7" Type="http://schemas.openxmlformats.org/officeDocument/2006/relationships/hyperlink" Target="https://muggaccinos.com/CreditCards/DefinedTerms/Financial_Literacy.htm" TargetMode="External"/><Relationship Id="rId12" Type="http://schemas.openxmlformats.org/officeDocument/2006/relationships/hyperlink" Target="https://muggaccinos.com/CreditCards/DefinedTerms/Financial_Literacy.htm" TargetMode="External"/><Relationship Id="rId17" Type="http://schemas.openxmlformats.org/officeDocument/2006/relationships/hyperlink" Target="https://www.pc.gov.au/research/supporting/literacy-numeracy-skills" TargetMode="External"/><Relationship Id="rId25" Type="http://schemas.openxmlformats.org/officeDocument/2006/relationships/hyperlink" Target="https://www.abs.gov.au/ausstats/abs@.nsf/Previousproducts/4228.0Main%20Features22006%20(Reissue)?opendocument&amp;tabname=Summary&amp;prodno=4228.0&amp;issue=2006%20(Reissue)&amp;num=&amp;view=" TargetMode="External"/><Relationship Id="rId2" Type="http://schemas.openxmlformats.org/officeDocument/2006/relationships/styles" Target="styles.xml"/><Relationship Id="rId16" Type="http://schemas.openxmlformats.org/officeDocument/2006/relationships/hyperlink" Target="https://www.pc.gov.au/research/supporting/literacy-numeracy-skills" TargetMode="External"/><Relationship Id="rId20" Type="http://schemas.openxmlformats.org/officeDocument/2006/relationships/hyperlink" Target="https://www.smh.com.au/money/planning-and-budgeting/poor-financial-literacy-continues-to-leave-consumers-vulnerable-20190212-p50x7g.html" TargetMode="External"/><Relationship Id="rId29" Type="http://schemas.openxmlformats.org/officeDocument/2006/relationships/hyperlink" Target="https://muggaccinos.com/CreditCards/DefinedTerms/Egaliterian_Country.htm" TargetMode="External"/><Relationship Id="rId1" Type="http://schemas.openxmlformats.org/officeDocument/2006/relationships/numbering" Target="numbering.xml"/><Relationship Id="rId6" Type="http://schemas.openxmlformats.org/officeDocument/2006/relationships/hyperlink" Target="https://muggaccinos.com/CreditCards/Actions/Persistent_Revolvers.htm" TargetMode="External"/><Relationship Id="rId11" Type="http://schemas.openxmlformats.org/officeDocument/2006/relationships/hyperlink" Target="https://muggaccinos.com/CreditCards/Actions/Persistent_Revolvers.htm" TargetMode="External"/><Relationship Id="rId24" Type="http://schemas.openxmlformats.org/officeDocument/2006/relationships/hyperlink" Target="https://www.intar.com.au/resources/training_and_assessing/section_4/chapter4_language_literacy_and_numeracy/lesson1_language_literacy_and_numeracy.htm" TargetMode="External"/><Relationship Id="rId32" Type="http://schemas.openxmlformats.org/officeDocument/2006/relationships/theme" Target="theme/theme1.xml"/><Relationship Id="rId5" Type="http://schemas.openxmlformats.org/officeDocument/2006/relationships/hyperlink" Target="https://muggaccinos.com/CreditCards/DefinedTerms/Three_Purchase_Benefits_Enjoyed.htm" TargetMode="External"/><Relationship Id="rId15" Type="http://schemas.openxmlformats.org/officeDocument/2006/relationships/hyperlink" Target="https://www.pc.gov.au/research/supporting/literacy-numeracy-skills" TargetMode="External"/><Relationship Id="rId23" Type="http://schemas.openxmlformats.org/officeDocument/2006/relationships/hyperlink" Target="https://www.intar.com.au/resources/training_and_assessing/section_4/chapter4_language_literacy_and_numeracy/lesson1_language_literacy_and_numeracy.htm" TargetMode="External"/><Relationship Id="rId28" Type="http://schemas.openxmlformats.org/officeDocument/2006/relationships/hyperlink" Target="https://muggaccinos.com/CreditCards/DefinedTerms/Egaliterian_Country.htm" TargetMode="External"/><Relationship Id="rId10" Type="http://schemas.openxmlformats.org/officeDocument/2006/relationships/hyperlink" Target="https://muggaccinos.com/CreditCards/Actions/Persistent_Revolvers.htm" TargetMode="External"/><Relationship Id="rId19" Type="http://schemas.openxmlformats.org/officeDocument/2006/relationships/hyperlink" Target="https://www.afr.com/companies/financial-services/technology-boosting-financial-literacy-20190625-p5216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s.gov.au/ausstats/abs@.nsf/Previousproducts/4228.0Main%20Features22006%20(Reissue)" TargetMode="External"/><Relationship Id="rId14" Type="http://schemas.openxmlformats.org/officeDocument/2006/relationships/hyperlink" Target="https://cica.org.au/wp-content/uploads/skills-workforce-agreement.pdf" TargetMode="External"/><Relationship Id="rId22" Type="http://schemas.openxmlformats.org/officeDocument/2006/relationships/hyperlink" Target="https://www.intar.com.au/resources/training_and_assessing/section_4/chapter4_language_literacy_and_numeracy/lesson1_language_literacy_and_numeracy.htm" TargetMode="External"/><Relationship Id="rId27" Type="http://schemas.openxmlformats.org/officeDocument/2006/relationships/hyperlink" Target="https://www.commbank.com.au/content/dam/commbank/personal/apply-online/download-printed-forms/CC2011117_CWM0235_CC_Conditions_Of_Use_Update_Nov17.pdf" TargetMode="External"/><Relationship Id="rId30" Type="http://schemas.openxmlformats.org/officeDocument/2006/relationships/hyperlink" Target="http://www.muggaccinos.com/ChoresnCrew/Scribe/Scrib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2022-12-04T23:19:00Z</dcterms:created>
  <dcterms:modified xsi:type="dcterms:W3CDTF">2022-12-04T23:19:00Z</dcterms:modified>
</cp:coreProperties>
</file>