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59"/>
        <w:gridCol w:w="5"/>
        <w:gridCol w:w="9296"/>
      </w:tblGrid>
      <w:tr w:rsidR="00A9773C" w:rsidRPr="00A9773C" w:rsidTr="00A9773C">
        <w:trPr>
          <w:tblCellSpacing w:w="0" w:type="dxa"/>
        </w:trPr>
        <w:tc>
          <w:tcPr>
            <w:tcW w:w="50" w:type="pct"/>
            <w:hideMark/>
          </w:tcPr>
          <w:p w:rsidR="00A9773C" w:rsidRPr="00A9773C" w:rsidRDefault="00A9773C" w:rsidP="00A9773C">
            <w:pPr>
              <w:spacing w:after="0" w:line="360" w:lineRule="atLeast"/>
              <w:ind w:left="45" w:hanging="45"/>
              <w:rPr>
                <w:rFonts w:eastAsia="Times New Roman" w:cs="Arial"/>
                <w:sz w:val="24"/>
              </w:rPr>
            </w:pPr>
            <w:r w:rsidRPr="00A9773C">
              <w:rPr>
                <w:rFonts w:eastAsia="Times New Roman" w:cs="Arial"/>
                <w:sz w:val="24"/>
              </w:rPr>
              <w:t> </w:t>
            </w:r>
          </w:p>
        </w:tc>
        <w:tc>
          <w:tcPr>
            <w:tcW w:w="360" w:type="dxa"/>
            <w:hideMark/>
          </w:tcPr>
          <w:p w:rsidR="00A9773C" w:rsidRPr="00A9773C" w:rsidRDefault="00A9773C" w:rsidP="00A9773C">
            <w:pPr>
              <w:spacing w:after="0" w:line="240" w:lineRule="auto"/>
              <w:rPr>
                <w:rFonts w:eastAsia="Times New Roman" w:cs="Arial"/>
                <w:sz w:val="24"/>
              </w:rPr>
            </w:pPr>
          </w:p>
        </w:tc>
        <w:tc>
          <w:tcPr>
            <w:tcW w:w="0" w:type="auto"/>
            <w:hideMark/>
          </w:tcPr>
          <w:p w:rsidR="00A9773C" w:rsidRPr="00A9773C" w:rsidRDefault="00A9773C" w:rsidP="00A9773C">
            <w:pPr>
              <w:spacing w:after="120" w:line="240" w:lineRule="auto"/>
              <w:jc w:val="right"/>
              <w:rPr>
                <w:rFonts w:eastAsia="Times New Roman" w:cs="Arial"/>
                <w:sz w:val="24"/>
              </w:rPr>
            </w:pPr>
            <w:hyperlink r:id="rId4" w:history="1">
              <w:r w:rsidRPr="00A9773C">
                <w:rPr>
                  <w:rFonts w:ascii="Arial Narrow" w:eastAsia="Times New Roman" w:hAnsi="Arial Narrow" w:cs="Arial"/>
                  <w:b/>
                  <w:bCs/>
                  <w:color w:val="0000FF"/>
                  <w:sz w:val="20"/>
                  <w:szCs w:val="20"/>
                  <w:u w:val="single"/>
                </w:rPr>
                <w:t>Defined Terms and Documents</w:t>
              </w:r>
            </w:hyperlink>
            <w:r w:rsidRPr="00A9773C">
              <w:rPr>
                <w:rFonts w:ascii="Arial Narrow" w:eastAsia="Times New Roman" w:hAnsi="Arial Narrow" w:cs="Arial"/>
                <w:b/>
                <w:bCs/>
                <w:sz w:val="20"/>
                <w:szCs w:val="20"/>
              </w:rPr>
              <w:t>       </w:t>
            </w:r>
          </w:p>
          <w:p w:rsidR="00A9773C" w:rsidRPr="00A9773C" w:rsidRDefault="00A9773C" w:rsidP="00A9773C">
            <w:pPr>
              <w:spacing w:after="75" w:line="420" w:lineRule="atLeast"/>
              <w:outlineLvl w:val="0"/>
              <w:rPr>
                <w:rFonts w:ascii="Times New Roman" w:eastAsia="Times New Roman" w:hAnsi="Times New Roman"/>
                <w:b/>
                <w:bCs/>
                <w:color w:val="000000"/>
                <w:kern w:val="36"/>
                <w:sz w:val="28"/>
                <w:szCs w:val="28"/>
              </w:rPr>
            </w:pPr>
            <w:hyperlink r:id="rId5" w:history="1">
              <w:r w:rsidRPr="00A9773C">
                <w:rPr>
                  <w:rFonts w:ascii="Times New Roman" w:eastAsia="Times New Roman" w:hAnsi="Times New Roman"/>
                  <w:b/>
                  <w:bCs/>
                  <w:color w:val="0000FF"/>
                  <w:kern w:val="36"/>
                  <w:sz w:val="48"/>
                  <w:szCs w:val="48"/>
                  <w:u w:val="single"/>
                </w:rPr>
                <w:t>Australia’s most predatory credit cards revealed</w:t>
              </w:r>
            </w:hyperlink>
            <w:r w:rsidRPr="00A9773C">
              <w:rPr>
                <w:rFonts w:ascii="Times New Roman" w:eastAsia="Times New Roman" w:hAnsi="Times New Roman"/>
                <w:b/>
                <w:bCs/>
                <w:color w:val="000000"/>
                <w:kern w:val="36"/>
                <w:sz w:val="27"/>
                <w:szCs w:val="27"/>
              </w:rPr>
              <w:t> - The New Daily -  </w:t>
            </w:r>
            <w:r w:rsidRPr="00A9773C">
              <w:rPr>
                <w:rFonts w:ascii="Times New Roman" w:eastAsia="Times New Roman" w:hAnsi="Times New Roman"/>
                <w:b/>
                <w:bCs/>
                <w:color w:val="000000"/>
                <w:kern w:val="36"/>
                <w:sz w:val="24"/>
              </w:rPr>
              <w:t>Feb 11, 2015</w:t>
            </w:r>
            <w:r w:rsidRPr="00A9773C">
              <w:rPr>
                <w:rFonts w:ascii="Lato" w:eastAsia="Times New Roman" w:hAnsi="Lato"/>
                <w:color w:val="000000"/>
                <w:kern w:val="36"/>
                <w:sz w:val="24"/>
              </w:rPr>
              <w:t>  -   </w:t>
            </w:r>
            <w:r w:rsidRPr="00A9773C">
              <w:rPr>
                <w:rFonts w:ascii="Lato" w:eastAsia="Times New Roman" w:hAnsi="Lato"/>
                <w:b/>
                <w:bCs/>
                <w:color w:val="000000"/>
                <w:kern w:val="36"/>
                <w:sz w:val="24"/>
              </w:rPr>
              <w:t>George Lekakis</w:t>
            </w:r>
          </w:p>
          <w:p w:rsidR="00A9773C" w:rsidRPr="00A9773C" w:rsidRDefault="00A9773C" w:rsidP="00A9773C">
            <w:pPr>
              <w:spacing w:after="0" w:line="240" w:lineRule="auto"/>
              <w:rPr>
                <w:rFonts w:eastAsia="Times New Roman" w:cs="Arial"/>
                <w:sz w:val="24"/>
              </w:rPr>
            </w:pPr>
            <w:r w:rsidRPr="00A9773C">
              <w:rPr>
                <w:rFonts w:eastAsia="Times New Roman" w:cs="Arial"/>
                <w:noProof/>
                <w:sz w:val="24"/>
              </w:rPr>
              <mc:AlternateContent>
                <mc:Choice Requires="wps">
                  <w:drawing>
                    <wp:inline distT="0" distB="0" distL="0" distR="0">
                      <wp:extent cx="6718935" cy="4472305"/>
                      <wp:effectExtent l="0" t="0" r="0" b="0"/>
                      <wp:docPr id="26" name="Rectangle 26" descr="data:image/svg+xml,%3Csvg%20xmlns='http://www.w3.org/2000/svg'%20width='1000'%20height='667'%3E%3C/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8935"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70189" id="Rectangle 26" o:spid="_x0000_s1026" alt="data:image/svg+xml,%3Csvg%20xmlns='http://www.w3.org/2000/svg'%20width='1000'%20height='667'%3E%3C/svg%3E" style="width:529.05pt;height:3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" filled="f" stroked="f">
                      <o:lock v:ext="edit" aspectratio="t"/>
                      <w10:anchorlock/>
                    </v:rect>
                  </w:pict>
                </mc:Fallback>
              </mc:AlternateContent>
            </w:r>
          </w:p>
          <w:p w:rsidR="00A9773C" w:rsidRPr="00A9773C" w:rsidRDefault="00A9773C" w:rsidP="00A9773C">
            <w:pPr>
              <w:spacing w:after="0" w:line="240" w:lineRule="auto"/>
              <w:rPr>
                <w:rFonts w:eastAsia="Times New Roman" w:cs="Arial"/>
                <w:sz w:val="24"/>
              </w:rPr>
            </w:pPr>
            <w:r w:rsidRPr="00A9773C">
              <w:rPr>
                <w:rFonts w:eastAsia="Times New Roman" w:cs="Arial"/>
                <w:b/>
                <w:bCs/>
                <w:szCs w:val="22"/>
              </w:rPr>
              <w:t>If you have ever failed to pay your credit card bill on time, then you are what is known in banking jargon as a ‘revolver’.</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Around two million Australian credit card users are classified by the banks as revolvers.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This doesn’t mean they carry pistols. It is a term used by the banks to describe one of the industry’s most profitable, and therefore popular, customer segments – people who don’t pay their credit card bill at the end of each billing period and get charged an interest penalty.</w:t>
            </w:r>
          </w:p>
          <w:p w:rsidR="00A9773C" w:rsidRPr="00A9773C" w:rsidRDefault="00A9773C" w:rsidP="00A9773C">
            <w:pPr>
              <w:spacing w:before="100" w:beforeAutospacing="1" w:after="100" w:afterAutospacing="1" w:line="360" w:lineRule="atLeast"/>
              <w:rPr>
                <w:rFonts w:eastAsia="Times New Roman" w:cs="Arial"/>
                <w:sz w:val="24"/>
              </w:rPr>
            </w:pPr>
            <w:r w:rsidRPr="00A9773C">
              <w:rPr>
                <w:rFonts w:eastAsia="Times New Roman" w:cs="Arial"/>
                <w:b/>
                <w:bCs/>
                <w:sz w:val="24"/>
              </w:rPr>
              <w:t>• </w:t>
            </w:r>
            <w:hyperlink r:id="rId6" w:history="1">
              <w:r w:rsidRPr="00A9773C">
                <w:rPr>
                  <w:rFonts w:eastAsia="Times New Roman" w:cs="Arial"/>
                  <w:b/>
                  <w:bCs/>
                  <w:color w:val="0000FF"/>
                  <w:sz w:val="24"/>
                  <w:u w:val="single"/>
                </w:rPr>
                <w:t>No deal: banks refuse to cut credit card rates</w:t>
              </w:r>
            </w:hyperlink>
            <w:r w:rsidRPr="00A9773C">
              <w:rPr>
                <w:rFonts w:eastAsia="Times New Roman" w:cs="Arial"/>
                <w:sz w:val="24"/>
              </w:rPr>
              <w:br/>
            </w:r>
            <w:r w:rsidRPr="00A9773C">
              <w:rPr>
                <w:rFonts w:eastAsia="Times New Roman" w:cs="Arial"/>
                <w:b/>
                <w:bCs/>
                <w:sz w:val="24"/>
              </w:rPr>
              <w:t>• </w:t>
            </w:r>
            <w:hyperlink r:id="rId7" w:history="1">
              <w:r w:rsidRPr="00A9773C">
                <w:rPr>
                  <w:rFonts w:eastAsia="Times New Roman" w:cs="Arial"/>
                  <w:b/>
                  <w:bCs/>
                  <w:color w:val="0000FF"/>
                  <w:sz w:val="24"/>
                  <w:u w:val="single"/>
                </w:rPr>
                <w:t>How to find a better savings account</w:t>
              </w:r>
            </w:hyperlink>
            <w:r w:rsidRPr="00A9773C">
              <w:rPr>
                <w:rFonts w:eastAsia="Times New Roman" w:cs="Arial"/>
                <w:sz w:val="24"/>
              </w:rPr>
              <w:br/>
            </w:r>
            <w:r w:rsidRPr="00A9773C">
              <w:rPr>
                <w:rFonts w:eastAsia="Times New Roman" w:cs="Arial"/>
                <w:b/>
                <w:bCs/>
                <w:sz w:val="24"/>
              </w:rPr>
              <w:t>• </w:t>
            </w:r>
            <w:hyperlink r:id="rId8" w:history="1">
              <w:r w:rsidRPr="00A9773C">
                <w:rPr>
                  <w:rFonts w:eastAsia="Times New Roman" w:cs="Arial"/>
                  <w:b/>
                  <w:bCs/>
                  <w:color w:val="0000FF"/>
                  <w:sz w:val="24"/>
                  <w:u w:val="single"/>
                </w:rPr>
                <w:t>Low interest rates: are you one of the losers?</w:t>
              </w:r>
            </w:hyperlink>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lastRenderedPageBreak/>
              <w:t>Credit card customers were reminded on Wednesday why the banks like them so much.</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In reporting a record half-year profit of $4.62 billion, Commonwealth Bank collected more than $1.2 billion in revenue from credit cards and person loans. Retail customers, including credit card holders, helped to push CBA bottom line 12 per cent higher.</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According to Reserve Bank data, the average recurring debt for every credit card holder in Australia is about $4200.</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With the average interest rate on credit cards hovering around 17.5 per cent, Australian cardholders on average are copping interest bills of $735 a year.</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If you are one of those people who continually owes the bank money on your credit card, it pays to shop around because interest rates offered by lenders vary wildly.</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The best rate in the market according to the CHOICE Better Banking database is 8.99 per cent on the McGrath Pink Visa Card marketed by Community First Credit Union.</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The annual interest bill for this card on revolving monthly debt of $4200 is $377.58. That’s a saving of almost $360.</w:t>
            </w:r>
          </w:p>
          <w:p w:rsidR="00A9773C" w:rsidRPr="00A9773C" w:rsidRDefault="00A9773C" w:rsidP="00A9773C">
            <w:pPr>
              <w:spacing w:before="100" w:beforeAutospacing="1" w:after="0" w:line="240" w:lineRule="auto"/>
              <w:outlineLvl w:val="2"/>
              <w:rPr>
                <w:rFonts w:eastAsia="Times New Roman" w:cs="Arial"/>
                <w:b/>
                <w:bCs/>
                <w:sz w:val="27"/>
                <w:szCs w:val="27"/>
              </w:rPr>
            </w:pPr>
            <w:r w:rsidRPr="00A9773C">
              <w:rPr>
                <w:rFonts w:eastAsia="Times New Roman" w:cs="Arial"/>
                <w:b/>
                <w:bCs/>
                <w:sz w:val="27"/>
                <w:szCs w:val="27"/>
              </w:rPr>
              <w:t>‘These cards can be poison’</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To keep more cash in their own pockets, revolvers need to focus on selecting a credit card with a market-leading rate. </w:t>
            </w:r>
            <w:r w:rsidRPr="00A9773C">
              <w:rPr>
                <w:rFonts w:eastAsia="Times New Roman" w:cs="Arial"/>
                <w:i/>
                <w:iCs/>
                <w:sz w:val="24"/>
              </w:rPr>
              <w:t>The New Daily</w:t>
            </w:r>
            <w:r w:rsidRPr="00A9773C">
              <w:rPr>
                <w:rFonts w:eastAsia="Times New Roman" w:cs="Arial"/>
                <w:sz w:val="24"/>
              </w:rPr>
              <w:t> and CHOICE have compiled a list of credit card products most likely to keep revolvers in a debt trap.</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Here’s the roll call of the worst cards in the market for reducing your monthly interest payments.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In the words of CHOICE spokesman Tom Godfrey: “These cards can be poison.”</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noProof/>
                <w:color w:val="0000FF"/>
                <w:sz w:val="24"/>
              </w:rPr>
              <w:drawing>
                <wp:inline distT="0" distB="0" distL="0" distR="0">
                  <wp:extent cx="2862580" cy="1809115"/>
                  <wp:effectExtent l="0" t="0" r="0" b="635"/>
                  <wp:docPr id="25" name="Picture 25" descr="card-gemoney cop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rd-gemoney cop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1809115"/>
                          </a:xfrm>
                          <a:prstGeom prst="rect">
                            <a:avLst/>
                          </a:prstGeom>
                          <a:noFill/>
                          <a:ln>
                            <a:noFill/>
                          </a:ln>
                        </pic:spPr>
                      </pic:pic>
                    </a:graphicData>
                  </a:graphic>
                </wp:inline>
              </w:drawing>
            </w:r>
          </w:p>
          <w:p w:rsidR="00A9773C" w:rsidRPr="00A9773C" w:rsidRDefault="00A9773C" w:rsidP="00A9773C">
            <w:pPr>
              <w:spacing w:after="0" w:line="240" w:lineRule="auto"/>
              <w:outlineLvl w:val="3"/>
              <w:rPr>
                <w:rFonts w:eastAsia="Times New Roman" w:cs="Arial"/>
                <w:b/>
                <w:bCs/>
                <w:sz w:val="24"/>
              </w:rPr>
            </w:pPr>
            <w:r w:rsidRPr="00A9773C">
              <w:rPr>
                <w:rFonts w:eastAsia="Times New Roman" w:cs="Arial"/>
                <w:b/>
                <w:bCs/>
                <w:sz w:val="24"/>
              </w:rPr>
              <w:t>GE Money Mastercard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b/>
                <w:bCs/>
                <w:sz w:val="24"/>
              </w:rPr>
              <w:lastRenderedPageBreak/>
              <w:t>Rate:</w:t>
            </w:r>
            <w:r w:rsidRPr="00A9773C">
              <w:rPr>
                <w:rFonts w:eastAsia="Times New Roman" w:cs="Arial"/>
                <w:sz w:val="24"/>
              </w:rPr>
              <w:t> 23.5 per cent</w:t>
            </w:r>
            <w:r w:rsidRPr="00A9773C">
              <w:rPr>
                <w:rFonts w:eastAsia="Times New Roman" w:cs="Arial"/>
                <w:sz w:val="24"/>
              </w:rPr>
              <w:br/>
            </w:r>
            <w:r w:rsidRPr="00A9773C">
              <w:rPr>
                <w:rFonts w:eastAsia="Times New Roman" w:cs="Arial"/>
                <w:b/>
                <w:bCs/>
                <w:sz w:val="24"/>
              </w:rPr>
              <w:t>Annual Fee:</w:t>
            </w:r>
            <w:r w:rsidRPr="00A9773C">
              <w:rPr>
                <w:rFonts w:eastAsia="Times New Roman" w:cs="Arial"/>
                <w:sz w:val="24"/>
              </w:rPr>
              <w:t> $69</w:t>
            </w:r>
            <w:r w:rsidRPr="00A9773C">
              <w:rPr>
                <w:rFonts w:eastAsia="Times New Roman" w:cs="Arial"/>
                <w:sz w:val="24"/>
              </w:rPr>
              <w:br/>
            </w:r>
            <w:r w:rsidRPr="00A9773C">
              <w:rPr>
                <w:rFonts w:eastAsia="Times New Roman" w:cs="Arial"/>
                <w:b/>
                <w:bCs/>
                <w:sz w:val="24"/>
              </w:rPr>
              <w:t>Cash Advance Fee:</w:t>
            </w:r>
            <w:r w:rsidRPr="00A9773C">
              <w:rPr>
                <w:rFonts w:eastAsia="Times New Roman" w:cs="Arial"/>
                <w:sz w:val="24"/>
              </w:rPr>
              <w:t> 3 per cent</w:t>
            </w:r>
            <w:r w:rsidRPr="00A9773C">
              <w:rPr>
                <w:rFonts w:eastAsia="Times New Roman" w:cs="Arial"/>
                <w:sz w:val="24"/>
              </w:rPr>
              <w:br/>
            </w:r>
            <w:r w:rsidRPr="00A9773C">
              <w:rPr>
                <w:rFonts w:eastAsia="Times New Roman" w:cs="Arial"/>
                <w:b/>
                <w:bCs/>
                <w:sz w:val="24"/>
              </w:rPr>
              <w:t>Late Payment Fee:</w:t>
            </w:r>
            <w:r w:rsidRPr="00A9773C">
              <w:rPr>
                <w:rFonts w:eastAsia="Times New Roman" w:cs="Arial"/>
                <w:sz w:val="24"/>
              </w:rPr>
              <w:t> $20 </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noProof/>
                <w:color w:val="0000FF"/>
                <w:sz w:val="24"/>
              </w:rPr>
              <w:drawing>
                <wp:inline distT="0" distB="0" distL="0" distR="0">
                  <wp:extent cx="2862580" cy="1779270"/>
                  <wp:effectExtent l="0" t="0" r="0" b="0"/>
                  <wp:docPr id="24" name="Picture 24" descr="Citibank Qant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tibank Qanta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580" cy="1779270"/>
                          </a:xfrm>
                          <a:prstGeom prst="rect">
                            <a:avLst/>
                          </a:prstGeom>
                          <a:noFill/>
                          <a:ln>
                            <a:noFill/>
                          </a:ln>
                        </pic:spPr>
                      </pic:pic>
                    </a:graphicData>
                  </a:graphic>
                </wp:inline>
              </w:drawing>
            </w:r>
          </w:p>
          <w:p w:rsidR="00A9773C" w:rsidRPr="00A9773C" w:rsidRDefault="00A9773C" w:rsidP="00A9773C">
            <w:pPr>
              <w:spacing w:after="0" w:line="240" w:lineRule="auto"/>
              <w:outlineLvl w:val="3"/>
              <w:rPr>
                <w:rFonts w:eastAsia="Times New Roman" w:cs="Arial"/>
                <w:b/>
                <w:bCs/>
                <w:sz w:val="24"/>
              </w:rPr>
            </w:pPr>
            <w:r w:rsidRPr="00A9773C">
              <w:rPr>
                <w:rFonts w:eastAsia="Times New Roman" w:cs="Arial"/>
                <w:b/>
                <w:bCs/>
                <w:sz w:val="24"/>
              </w:rPr>
              <w:t>Citibank Qantas Signature Visa</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b/>
                <w:bCs/>
                <w:sz w:val="24"/>
              </w:rPr>
              <w:t>Rate:</w:t>
            </w:r>
            <w:r w:rsidRPr="00A9773C">
              <w:rPr>
                <w:rFonts w:eastAsia="Times New Roman" w:cs="Arial"/>
                <w:sz w:val="24"/>
              </w:rPr>
              <w:t> 20.99 per cent</w:t>
            </w:r>
            <w:r w:rsidRPr="00A9773C">
              <w:rPr>
                <w:rFonts w:eastAsia="Times New Roman" w:cs="Arial"/>
                <w:sz w:val="24"/>
              </w:rPr>
              <w:br/>
            </w:r>
            <w:r w:rsidRPr="00A9773C">
              <w:rPr>
                <w:rFonts w:eastAsia="Times New Roman" w:cs="Arial"/>
                <w:b/>
                <w:bCs/>
                <w:sz w:val="24"/>
              </w:rPr>
              <w:t>Annual Fee:</w:t>
            </w:r>
            <w:r w:rsidRPr="00A9773C">
              <w:rPr>
                <w:rFonts w:eastAsia="Times New Roman" w:cs="Arial"/>
                <w:sz w:val="24"/>
              </w:rPr>
              <w:t> $299</w:t>
            </w:r>
            <w:r w:rsidRPr="00A9773C">
              <w:rPr>
                <w:rFonts w:eastAsia="Times New Roman" w:cs="Arial"/>
                <w:sz w:val="24"/>
              </w:rPr>
              <w:br/>
            </w:r>
            <w:r w:rsidRPr="00A9773C">
              <w:rPr>
                <w:rFonts w:eastAsia="Times New Roman" w:cs="Arial"/>
                <w:b/>
                <w:bCs/>
                <w:sz w:val="24"/>
              </w:rPr>
              <w:t>Cash Advance Rate:</w:t>
            </w:r>
            <w:r w:rsidRPr="00A9773C">
              <w:rPr>
                <w:rFonts w:eastAsia="Times New Roman" w:cs="Arial"/>
                <w:sz w:val="24"/>
              </w:rPr>
              <w:t> 21.74 per cent </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noProof/>
                <w:color w:val="0000FF"/>
                <w:sz w:val="24"/>
              </w:rPr>
              <w:drawing>
                <wp:inline distT="0" distB="0" distL="0" distR="0">
                  <wp:extent cx="2882265" cy="1779270"/>
                  <wp:effectExtent l="0" t="0" r="0" b="0"/>
                  <wp:docPr id="23" name="Picture 23" descr="Citibank Emira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ibank Emira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265" cy="1779270"/>
                          </a:xfrm>
                          <a:prstGeom prst="rect">
                            <a:avLst/>
                          </a:prstGeom>
                          <a:noFill/>
                          <a:ln>
                            <a:noFill/>
                          </a:ln>
                        </pic:spPr>
                      </pic:pic>
                    </a:graphicData>
                  </a:graphic>
                </wp:inline>
              </w:drawing>
            </w:r>
          </w:p>
          <w:p w:rsidR="00A9773C" w:rsidRPr="00A9773C" w:rsidRDefault="00A9773C" w:rsidP="00A9773C">
            <w:pPr>
              <w:spacing w:after="0" w:line="240" w:lineRule="auto"/>
              <w:outlineLvl w:val="3"/>
              <w:rPr>
                <w:rFonts w:eastAsia="Times New Roman" w:cs="Arial"/>
                <w:b/>
                <w:bCs/>
                <w:sz w:val="24"/>
              </w:rPr>
            </w:pPr>
            <w:r w:rsidRPr="00A9773C">
              <w:rPr>
                <w:rFonts w:eastAsia="Times New Roman" w:cs="Arial"/>
                <w:b/>
                <w:bCs/>
                <w:sz w:val="24"/>
              </w:rPr>
              <w:t>Citibank Emirates World Mastercard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b/>
                <w:bCs/>
                <w:sz w:val="24"/>
              </w:rPr>
              <w:t>Rate:</w:t>
            </w:r>
            <w:r w:rsidRPr="00A9773C">
              <w:rPr>
                <w:rFonts w:eastAsia="Times New Roman" w:cs="Arial"/>
                <w:sz w:val="24"/>
              </w:rPr>
              <w:t> 20.9 per cent</w:t>
            </w:r>
            <w:r w:rsidRPr="00A9773C">
              <w:rPr>
                <w:rFonts w:eastAsia="Times New Roman" w:cs="Arial"/>
                <w:sz w:val="24"/>
              </w:rPr>
              <w:br/>
            </w:r>
            <w:r w:rsidRPr="00A9773C">
              <w:rPr>
                <w:rFonts w:eastAsia="Times New Roman" w:cs="Arial"/>
                <w:b/>
                <w:bCs/>
                <w:sz w:val="24"/>
              </w:rPr>
              <w:t>Annual Fee:</w:t>
            </w:r>
            <w:r w:rsidRPr="00A9773C">
              <w:rPr>
                <w:rFonts w:eastAsia="Times New Roman" w:cs="Arial"/>
                <w:sz w:val="24"/>
              </w:rPr>
              <w:t> $299</w:t>
            </w:r>
            <w:r w:rsidRPr="00A9773C">
              <w:rPr>
                <w:rFonts w:eastAsia="Times New Roman" w:cs="Arial"/>
                <w:sz w:val="24"/>
              </w:rPr>
              <w:br/>
            </w:r>
            <w:r w:rsidRPr="00A9773C">
              <w:rPr>
                <w:rFonts w:eastAsia="Times New Roman" w:cs="Arial"/>
                <w:b/>
                <w:bCs/>
                <w:sz w:val="24"/>
              </w:rPr>
              <w:t>Cash Advance Rate:</w:t>
            </w:r>
            <w:r w:rsidRPr="00A9773C">
              <w:rPr>
                <w:rFonts w:eastAsia="Times New Roman" w:cs="Arial"/>
                <w:sz w:val="24"/>
              </w:rPr>
              <w:t> 21.24 per cent</w:t>
            </w:r>
            <w:r w:rsidRPr="00A9773C">
              <w:rPr>
                <w:rFonts w:eastAsia="Times New Roman" w:cs="Arial"/>
                <w:sz w:val="24"/>
              </w:rPr>
              <w:br/>
            </w:r>
            <w:r w:rsidRPr="00A9773C">
              <w:rPr>
                <w:rFonts w:eastAsia="Times New Roman" w:cs="Arial"/>
                <w:b/>
                <w:bCs/>
                <w:sz w:val="24"/>
              </w:rPr>
              <w:t>Late Payment Fee:</w:t>
            </w:r>
            <w:r w:rsidRPr="00A9773C">
              <w:rPr>
                <w:rFonts w:eastAsia="Times New Roman" w:cs="Arial"/>
                <w:sz w:val="24"/>
              </w:rPr>
              <w:t> $10</w:t>
            </w:r>
            <w:r w:rsidRPr="00A9773C">
              <w:rPr>
                <w:rFonts w:eastAsia="Times New Roman" w:cs="Arial"/>
                <w:sz w:val="24"/>
              </w:rPr>
              <w:br/>
            </w:r>
            <w:proofErr w:type="spellStart"/>
            <w:r w:rsidRPr="00A9773C">
              <w:rPr>
                <w:rFonts w:eastAsia="Times New Roman" w:cs="Arial"/>
                <w:b/>
                <w:bCs/>
                <w:sz w:val="24"/>
              </w:rPr>
              <w:t>Dishonour</w:t>
            </w:r>
            <w:proofErr w:type="spellEnd"/>
            <w:r w:rsidRPr="00A9773C">
              <w:rPr>
                <w:rFonts w:eastAsia="Times New Roman" w:cs="Arial"/>
                <w:b/>
                <w:bCs/>
                <w:sz w:val="24"/>
              </w:rPr>
              <w:t xml:space="preserve"> Fee:</w:t>
            </w:r>
            <w:r w:rsidRPr="00A9773C">
              <w:rPr>
                <w:rFonts w:eastAsia="Times New Roman" w:cs="Arial"/>
                <w:sz w:val="24"/>
              </w:rPr>
              <w:t> $15</w:t>
            </w:r>
          </w:p>
          <w:p w:rsidR="00A9773C" w:rsidRPr="00A9773C" w:rsidRDefault="00A9773C" w:rsidP="00A9773C">
            <w:pPr>
              <w:spacing w:before="45" w:after="0" w:line="240" w:lineRule="auto"/>
              <w:outlineLvl w:val="3"/>
              <w:rPr>
                <w:rFonts w:eastAsia="Times New Roman" w:cs="Arial"/>
                <w:b/>
                <w:bCs/>
                <w:sz w:val="24"/>
              </w:rPr>
            </w:pPr>
            <w:r w:rsidRPr="00A9773C">
              <w:rPr>
                <w:rFonts w:eastAsia="Times New Roman" w:cs="Arial"/>
                <w:b/>
                <w:bCs/>
                <w:noProof/>
                <w:color w:val="0000FF"/>
                <w:sz w:val="24"/>
              </w:rPr>
              <w:lastRenderedPageBreak/>
              <w:drawing>
                <wp:inline distT="0" distB="0" distL="0" distR="0">
                  <wp:extent cx="2882265" cy="1828800"/>
                  <wp:effectExtent l="0" t="0" r="0" b="0"/>
                  <wp:docPr id="22" name="Picture 22" descr="GEMcar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Mcar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265" cy="1828800"/>
                          </a:xfrm>
                          <a:prstGeom prst="rect">
                            <a:avLst/>
                          </a:prstGeom>
                          <a:noFill/>
                          <a:ln>
                            <a:noFill/>
                          </a:ln>
                        </pic:spPr>
                      </pic:pic>
                    </a:graphicData>
                  </a:graphic>
                </wp:inline>
              </w:drawing>
            </w:r>
            <w:r w:rsidRPr="00A9773C">
              <w:rPr>
                <w:rFonts w:eastAsia="Times New Roman" w:cs="Arial"/>
                <w:b/>
                <w:bCs/>
                <w:sz w:val="24"/>
              </w:rPr>
              <w:br/>
              <w:t>GEM Visa Card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b/>
                <w:bCs/>
                <w:sz w:val="24"/>
              </w:rPr>
              <w:t>Rate:</w:t>
            </w:r>
            <w:r w:rsidRPr="00A9773C">
              <w:rPr>
                <w:rFonts w:eastAsia="Times New Roman" w:cs="Arial"/>
                <w:sz w:val="24"/>
              </w:rPr>
              <w:t> 22.99 per cent</w:t>
            </w:r>
            <w:r w:rsidRPr="00A9773C">
              <w:rPr>
                <w:rFonts w:eastAsia="Times New Roman" w:cs="Arial"/>
                <w:sz w:val="24"/>
              </w:rPr>
              <w:br/>
            </w:r>
            <w:r w:rsidRPr="00A9773C">
              <w:rPr>
                <w:rFonts w:eastAsia="Times New Roman" w:cs="Arial"/>
                <w:b/>
                <w:bCs/>
                <w:sz w:val="24"/>
              </w:rPr>
              <w:t>Annual Fee:</w:t>
            </w:r>
            <w:r w:rsidRPr="00A9773C">
              <w:rPr>
                <w:rFonts w:eastAsia="Times New Roman" w:cs="Arial"/>
                <w:sz w:val="24"/>
              </w:rPr>
              <w:t> $99</w:t>
            </w:r>
            <w:r w:rsidRPr="00A9773C">
              <w:rPr>
                <w:rFonts w:eastAsia="Times New Roman" w:cs="Arial"/>
                <w:sz w:val="24"/>
              </w:rPr>
              <w:br/>
            </w:r>
            <w:r w:rsidRPr="00A9773C">
              <w:rPr>
                <w:rFonts w:eastAsia="Times New Roman" w:cs="Arial"/>
                <w:b/>
                <w:bCs/>
                <w:sz w:val="24"/>
              </w:rPr>
              <w:t>Cash Advance Fee:</w:t>
            </w:r>
            <w:r w:rsidRPr="00A9773C">
              <w:rPr>
                <w:rFonts w:eastAsia="Times New Roman" w:cs="Arial"/>
                <w:sz w:val="24"/>
              </w:rPr>
              <w:t> 3 per cent</w:t>
            </w:r>
            <w:r w:rsidRPr="00A9773C">
              <w:rPr>
                <w:rFonts w:eastAsia="Times New Roman" w:cs="Arial"/>
                <w:sz w:val="24"/>
              </w:rPr>
              <w:br/>
            </w:r>
            <w:r w:rsidRPr="00A9773C">
              <w:rPr>
                <w:rFonts w:eastAsia="Times New Roman" w:cs="Arial"/>
                <w:b/>
                <w:bCs/>
                <w:sz w:val="24"/>
              </w:rPr>
              <w:t>Late Payment Fee:</w:t>
            </w:r>
            <w:r w:rsidRPr="00A9773C">
              <w:rPr>
                <w:rFonts w:eastAsia="Times New Roman" w:cs="Arial"/>
                <w:sz w:val="24"/>
              </w:rPr>
              <w:t> $20</w:t>
            </w:r>
          </w:p>
          <w:p w:rsidR="00A9773C" w:rsidRPr="00A9773C" w:rsidRDefault="00A9773C" w:rsidP="00A9773C">
            <w:pPr>
              <w:spacing w:before="100" w:beforeAutospacing="1" w:after="0" w:line="240" w:lineRule="auto"/>
              <w:outlineLvl w:val="2"/>
              <w:rPr>
                <w:rFonts w:eastAsia="Times New Roman" w:cs="Arial"/>
                <w:b/>
                <w:bCs/>
                <w:sz w:val="27"/>
                <w:szCs w:val="27"/>
              </w:rPr>
            </w:pPr>
            <w:r w:rsidRPr="00A9773C">
              <w:rPr>
                <w:rFonts w:eastAsia="Times New Roman" w:cs="Arial"/>
                <w:b/>
                <w:bCs/>
                <w:sz w:val="27"/>
                <w:szCs w:val="27"/>
              </w:rPr>
              <w:t>Don’t get fleeced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CHOICE has identified Citibank and GE Money as the leading market providers of credit cards most likely to sting consumers.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“These two institutions are marketing the highest priced credit cards in the market,” Mr Godfrey said.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“If you’re with GE Money or Citibank and you are carrying balances forward you’re clearly being fleeced. It really is time for many people with these products to ditch and switch to cheaper cards.”</w:t>
            </w:r>
          </w:p>
          <w:p w:rsidR="00A9773C" w:rsidRPr="00A9773C" w:rsidRDefault="00A9773C" w:rsidP="00A9773C">
            <w:pPr>
              <w:spacing w:before="100" w:beforeAutospacing="1" w:after="0" w:line="240" w:lineRule="auto"/>
              <w:outlineLvl w:val="2"/>
              <w:rPr>
                <w:rFonts w:eastAsia="Times New Roman" w:cs="Arial"/>
                <w:b/>
                <w:bCs/>
                <w:sz w:val="27"/>
                <w:szCs w:val="27"/>
              </w:rPr>
            </w:pPr>
            <w:r w:rsidRPr="00A9773C">
              <w:rPr>
                <w:rFonts w:eastAsia="Times New Roman" w:cs="Arial"/>
                <w:b/>
                <w:bCs/>
                <w:sz w:val="27"/>
                <w:szCs w:val="27"/>
              </w:rPr>
              <w:t>Avoid rewards programs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Most high-rate cards are usually associated with rewards programs.</w:t>
            </w:r>
          </w:p>
          <w:p w:rsidR="00A9773C" w:rsidRPr="00A9773C" w:rsidRDefault="00A9773C" w:rsidP="00A9773C">
            <w:pPr>
              <w:spacing w:after="0" w:line="240" w:lineRule="auto"/>
              <w:rPr>
                <w:rFonts w:eastAsia="Times New Roman" w:cs="Arial"/>
                <w:sz w:val="24"/>
              </w:rPr>
            </w:pPr>
            <w:r w:rsidRPr="00A9773C">
              <w:rPr>
                <w:rFonts w:eastAsia="Times New Roman" w:cs="Arial"/>
                <w:noProof/>
                <w:color w:val="0000FF"/>
                <w:sz w:val="24"/>
              </w:rPr>
              <w:drawing>
                <wp:inline distT="0" distB="0" distL="0" distR="0">
                  <wp:extent cx="3528695" cy="1967865"/>
                  <wp:effectExtent l="0" t="0" r="0" b="0"/>
                  <wp:docPr id="21" name="Picture 21" descr="frequent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equent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8695" cy="1967865"/>
                          </a:xfrm>
                          <a:prstGeom prst="rect">
                            <a:avLst/>
                          </a:prstGeom>
                          <a:noFill/>
                          <a:ln>
                            <a:noFill/>
                          </a:ln>
                        </pic:spPr>
                      </pic:pic>
                    </a:graphicData>
                  </a:graphic>
                </wp:inline>
              </w:drawing>
            </w:r>
            <w:r w:rsidRPr="00A9773C">
              <w:rPr>
                <w:rFonts w:eastAsia="Times New Roman" w:cs="Arial"/>
                <w:sz w:val="24"/>
              </w:rPr>
              <w:br/>
            </w:r>
            <w:r w:rsidRPr="00A9773C">
              <w:rPr>
                <w:rFonts w:eastAsia="Times New Roman" w:cs="Arial"/>
                <w:b/>
                <w:bCs/>
                <w:sz w:val="20"/>
                <w:szCs w:val="20"/>
              </w:rPr>
              <w:t>Fancy rewards programs such frequent flyer cards should be treated with suspicion.</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lastRenderedPageBreak/>
              <w:t>The banks spend millions of dollars each year promoting loyalty schemes to entice customers to take up their most expensive credit card products.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shd w:val="clear" w:color="auto" w:fill="FFFF00"/>
              </w:rPr>
              <w:t>Historically, these credit cards are among the most profitable product lines of lenders.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“Financial institutions try to dress these products up with fancy rewards programs to lure customers,” Mr Godfrey said.</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“But the fact is that for people who revolve debt they really should be looking out for credit cards that offer the lowest interest rate.</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“You’re not only going to be paying a high rate but higher fees as well.”</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A good example is the Citibank Emirates World MasterCard, which slugs customers a hefty interest rate of almost 21 per cent and a special fee of $299 to participate in the loyalty scheme.</w:t>
            </w:r>
          </w:p>
          <w:p w:rsidR="00A9773C" w:rsidRPr="00A9773C" w:rsidRDefault="00A9773C" w:rsidP="00A9773C">
            <w:pPr>
              <w:spacing w:before="100" w:beforeAutospacing="1" w:after="0" w:line="240" w:lineRule="auto"/>
              <w:outlineLvl w:val="2"/>
              <w:rPr>
                <w:rFonts w:eastAsia="Times New Roman" w:cs="Arial"/>
                <w:b/>
                <w:bCs/>
                <w:sz w:val="27"/>
                <w:szCs w:val="27"/>
              </w:rPr>
            </w:pPr>
            <w:r w:rsidRPr="00A9773C">
              <w:rPr>
                <w:rFonts w:eastAsia="Times New Roman" w:cs="Arial"/>
                <w:b/>
                <w:bCs/>
                <w:sz w:val="27"/>
                <w:szCs w:val="27"/>
              </w:rPr>
              <w:t>Beware introductory switching offers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Many lenders are offering special zero per cent rates for six months to get customers to switch to their credit card products.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While you might be able to score a temporary reprieve from interest payments by accepting one of these offers, you need to make sure you clear the debt before the introductory period expires.</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For example, the Bank of Melbourne’s Vertigo Platinum Visa Card will allow new customers to transfer debt from a credit card issued by another bank without paying interest for 20 months. However, if new cardholders do not clear the transferred debt balance at the end of the 20-month period, the amount outstanding incurs an interest charge of 21.49 per cent.</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For credit card users prone to carrying debt, the best option might be to focus on just getting a low interest card.</w:t>
            </w:r>
          </w:p>
          <w:p w:rsidR="00A9773C" w:rsidRPr="00A9773C" w:rsidRDefault="00A9773C" w:rsidP="00A9773C">
            <w:pPr>
              <w:spacing w:before="100" w:beforeAutospacing="1" w:after="0" w:line="240" w:lineRule="auto"/>
              <w:outlineLvl w:val="2"/>
              <w:rPr>
                <w:rFonts w:eastAsia="Times New Roman" w:cs="Arial"/>
                <w:b/>
                <w:bCs/>
                <w:sz w:val="27"/>
                <w:szCs w:val="27"/>
              </w:rPr>
            </w:pPr>
            <w:r w:rsidRPr="00A9773C">
              <w:rPr>
                <w:rFonts w:eastAsia="Times New Roman" w:cs="Arial"/>
                <w:b/>
                <w:bCs/>
                <w:sz w:val="27"/>
                <w:szCs w:val="27"/>
              </w:rPr>
              <w:t>Other fees to watch out for</w:t>
            </w:r>
          </w:p>
          <w:p w:rsidR="00A9773C" w:rsidRPr="00A9773C" w:rsidRDefault="00A9773C" w:rsidP="00A9773C">
            <w:pPr>
              <w:spacing w:before="100" w:beforeAutospacing="1" w:after="100" w:afterAutospacing="1" w:line="240" w:lineRule="auto"/>
              <w:rPr>
                <w:rFonts w:eastAsia="Times New Roman" w:cs="Arial"/>
                <w:sz w:val="24"/>
              </w:rPr>
            </w:pPr>
            <w:r w:rsidRPr="00A9773C">
              <w:rPr>
                <w:rFonts w:eastAsia="Times New Roman" w:cs="Arial"/>
                <w:sz w:val="24"/>
              </w:rPr>
              <w:t>Of course, revolver penalties are not the only things to look out for when choosing a credit card. There are four key charges to be aware of: purchase rate, balance transfer rate, cash advance rate and annual fee. Here are the worst in each category, according to credit card comparison website </w:t>
            </w:r>
            <w:hyperlink r:id="rId19" w:history="1">
              <w:r w:rsidRPr="00A9773C">
                <w:rPr>
                  <w:rFonts w:eastAsia="Times New Roman" w:cs="Arial"/>
                  <w:b/>
                  <w:bCs/>
                  <w:color w:val="0000FF"/>
                  <w:sz w:val="24"/>
                  <w:u w:val="single"/>
                </w:rPr>
                <w:t>creditcardfinder.com.au</w:t>
              </w:r>
            </w:hyperlink>
            <w:r w:rsidRPr="00A9773C">
              <w:rPr>
                <w:rFonts w:eastAsia="Times New Roman" w:cs="Arial"/>
                <w:sz w:val="24"/>
              </w:rPr>
              <w:t>:</w:t>
            </w:r>
          </w:p>
          <w:p w:rsidR="00A9773C" w:rsidRPr="00A9773C" w:rsidRDefault="00A9773C" w:rsidP="00A9773C">
            <w:pPr>
              <w:spacing w:before="100" w:beforeAutospacing="1" w:after="100" w:afterAutospacing="1" w:line="240" w:lineRule="auto"/>
              <w:outlineLvl w:val="2"/>
              <w:rPr>
                <w:rFonts w:eastAsia="Times New Roman" w:cs="Arial"/>
                <w:b/>
                <w:bCs/>
                <w:sz w:val="27"/>
                <w:szCs w:val="27"/>
              </w:rPr>
            </w:pPr>
            <w:r w:rsidRPr="00A9773C">
              <w:rPr>
                <w:rFonts w:eastAsia="Times New Roman" w:cs="Arial"/>
                <w:b/>
                <w:bCs/>
                <w:sz w:val="27"/>
                <w:szCs w:val="27"/>
              </w:rPr>
              <w:lastRenderedPageBreak/>
              <w:t>Highest purchase rate</w:t>
            </w:r>
            <w:r w:rsidRPr="00A9773C">
              <w:rPr>
                <w:rFonts w:eastAsia="Times New Roman" w:cs="Arial"/>
                <w:b/>
                <w:bCs/>
                <w:sz w:val="27"/>
                <w:szCs w:val="27"/>
              </w:rPr>
              <w:br/>
            </w:r>
            <w:r w:rsidRPr="00A9773C">
              <w:rPr>
                <w:rFonts w:eastAsia="Times New Roman" w:cs="Arial"/>
                <w:b/>
                <w:bCs/>
                <w:noProof/>
                <w:color w:val="0000FF"/>
                <w:sz w:val="27"/>
                <w:szCs w:val="27"/>
              </w:rPr>
              <w:drawing>
                <wp:inline distT="0" distB="0" distL="0" distR="0">
                  <wp:extent cx="1908175" cy="1212850"/>
                  <wp:effectExtent l="0" t="0" r="0" b="6350"/>
                  <wp:docPr id="20" name="Picture 20" descr="Lombar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mbar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8175" cy="1212850"/>
                          </a:xfrm>
                          <a:prstGeom prst="rect">
                            <a:avLst/>
                          </a:prstGeom>
                          <a:noFill/>
                          <a:ln>
                            <a:noFill/>
                          </a:ln>
                        </pic:spPr>
                      </pic:pic>
                    </a:graphicData>
                  </a:graphic>
                </wp:inline>
              </w:drawing>
            </w:r>
          </w:p>
          <w:p w:rsidR="00A9773C" w:rsidRPr="00A9773C" w:rsidRDefault="00A9773C" w:rsidP="00A9773C">
            <w:pPr>
              <w:spacing w:after="0" w:line="240" w:lineRule="auto"/>
              <w:rPr>
                <w:rFonts w:eastAsia="Times New Roman" w:cs="Arial"/>
                <w:sz w:val="24"/>
              </w:rPr>
            </w:pPr>
            <w:r w:rsidRPr="00A9773C">
              <w:rPr>
                <w:rFonts w:eastAsia="Times New Roman" w:cs="Arial"/>
                <w:sz w:val="24"/>
              </w:rPr>
              <w:t>Lombard Visa Card Classic: 25.9 per cent p.a. </w:t>
            </w:r>
          </w:p>
          <w:p w:rsidR="00A9773C" w:rsidRPr="00A9773C" w:rsidRDefault="00A9773C" w:rsidP="00A9773C">
            <w:pPr>
              <w:spacing w:before="100" w:beforeAutospacing="1" w:after="100" w:afterAutospacing="1" w:line="240" w:lineRule="auto"/>
              <w:outlineLvl w:val="2"/>
              <w:rPr>
                <w:rFonts w:eastAsia="Times New Roman" w:cs="Arial"/>
                <w:b/>
                <w:bCs/>
                <w:sz w:val="27"/>
                <w:szCs w:val="27"/>
              </w:rPr>
            </w:pPr>
            <w:r w:rsidRPr="00A9773C">
              <w:rPr>
                <w:rFonts w:eastAsia="Times New Roman" w:cs="Arial"/>
                <w:b/>
                <w:bCs/>
                <w:sz w:val="27"/>
                <w:szCs w:val="27"/>
              </w:rPr>
              <w:t>Highest cash advance rate</w:t>
            </w:r>
            <w:r w:rsidRPr="00A9773C">
              <w:rPr>
                <w:rFonts w:eastAsia="Times New Roman" w:cs="Arial"/>
                <w:b/>
                <w:bCs/>
                <w:sz w:val="27"/>
                <w:szCs w:val="27"/>
              </w:rPr>
              <w:br/>
            </w:r>
            <w:r w:rsidRPr="00A9773C">
              <w:rPr>
                <w:rFonts w:eastAsia="Times New Roman" w:cs="Arial"/>
                <w:b/>
                <w:bCs/>
                <w:noProof/>
                <w:color w:val="0000FF"/>
                <w:sz w:val="27"/>
                <w:szCs w:val="27"/>
              </w:rPr>
              <w:drawing>
                <wp:inline distT="0" distB="0" distL="0" distR="0">
                  <wp:extent cx="1908175" cy="1202690"/>
                  <wp:effectExtent l="0" t="0" r="0" b="0"/>
                  <wp:docPr id="19" name="Picture 19" descr="GE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75" cy="1202690"/>
                          </a:xfrm>
                          <a:prstGeom prst="rect">
                            <a:avLst/>
                          </a:prstGeom>
                          <a:noFill/>
                          <a:ln>
                            <a:noFill/>
                          </a:ln>
                        </pic:spPr>
                      </pic:pic>
                    </a:graphicData>
                  </a:graphic>
                </wp:inline>
              </w:drawing>
            </w:r>
          </w:p>
          <w:p w:rsidR="00A9773C" w:rsidRPr="00A9773C" w:rsidRDefault="00A9773C" w:rsidP="00A9773C">
            <w:pPr>
              <w:spacing w:after="0" w:line="240" w:lineRule="auto"/>
              <w:rPr>
                <w:rFonts w:eastAsia="Times New Roman" w:cs="Arial"/>
                <w:sz w:val="24"/>
              </w:rPr>
            </w:pPr>
            <w:r w:rsidRPr="00A9773C">
              <w:rPr>
                <w:rFonts w:eastAsia="Times New Roman" w:cs="Arial"/>
                <w:sz w:val="24"/>
              </w:rPr>
              <w:t>GE Money Go MasterCard – 29.49 per cent p.a.</w:t>
            </w:r>
          </w:p>
          <w:p w:rsidR="00A9773C" w:rsidRPr="00A9773C" w:rsidRDefault="00A9773C" w:rsidP="00A9773C">
            <w:pPr>
              <w:spacing w:before="100" w:beforeAutospacing="1" w:after="100" w:afterAutospacing="1" w:line="240" w:lineRule="auto"/>
              <w:outlineLvl w:val="2"/>
              <w:rPr>
                <w:rFonts w:eastAsia="Times New Roman" w:cs="Arial"/>
                <w:b/>
                <w:bCs/>
                <w:sz w:val="27"/>
                <w:szCs w:val="27"/>
              </w:rPr>
            </w:pPr>
            <w:r w:rsidRPr="00A9773C">
              <w:rPr>
                <w:rFonts w:eastAsia="Times New Roman" w:cs="Arial"/>
                <w:b/>
                <w:bCs/>
                <w:sz w:val="27"/>
                <w:szCs w:val="27"/>
              </w:rPr>
              <w:t>Highest annual fee</w:t>
            </w:r>
            <w:r w:rsidRPr="00A9773C">
              <w:rPr>
                <w:rFonts w:eastAsia="Times New Roman" w:cs="Arial"/>
                <w:b/>
                <w:bCs/>
                <w:sz w:val="27"/>
                <w:szCs w:val="27"/>
              </w:rPr>
              <w:br/>
            </w:r>
            <w:r w:rsidRPr="00A9773C">
              <w:rPr>
                <w:rFonts w:eastAsia="Times New Roman" w:cs="Arial"/>
                <w:b/>
                <w:bCs/>
                <w:noProof/>
                <w:color w:val="0000FF"/>
                <w:sz w:val="27"/>
                <w:szCs w:val="27"/>
              </w:rPr>
              <w:drawing>
                <wp:inline distT="0" distB="0" distL="0" distR="0">
                  <wp:extent cx="1908175" cy="1212850"/>
                  <wp:effectExtent l="0" t="0" r="0" b="6350"/>
                  <wp:docPr id="18" name="Picture 18" descr="Unknow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know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212850"/>
                          </a:xfrm>
                          <a:prstGeom prst="rect">
                            <a:avLst/>
                          </a:prstGeom>
                          <a:noFill/>
                          <a:ln>
                            <a:noFill/>
                          </a:ln>
                        </pic:spPr>
                      </pic:pic>
                    </a:graphicData>
                  </a:graphic>
                </wp:inline>
              </w:drawing>
            </w:r>
          </w:p>
          <w:p w:rsidR="00A9773C" w:rsidRPr="00A9773C" w:rsidRDefault="00A9773C" w:rsidP="00A9773C">
            <w:pPr>
              <w:spacing w:after="0" w:line="240" w:lineRule="auto"/>
              <w:rPr>
                <w:rFonts w:eastAsia="Times New Roman" w:cs="Arial"/>
                <w:sz w:val="24"/>
              </w:rPr>
            </w:pPr>
            <w:r w:rsidRPr="00A9773C">
              <w:rPr>
                <w:rFonts w:eastAsia="Times New Roman" w:cs="Arial"/>
                <w:sz w:val="24"/>
              </w:rPr>
              <w:t>American Express Platinum Card – $1,200 p.a.</w:t>
            </w:r>
          </w:p>
          <w:p w:rsidR="00A9773C" w:rsidRPr="00A9773C" w:rsidRDefault="00A9773C" w:rsidP="00A9773C">
            <w:pPr>
              <w:spacing w:before="100" w:beforeAutospacing="1" w:after="100" w:afterAutospacing="1" w:line="240" w:lineRule="auto"/>
              <w:outlineLvl w:val="2"/>
              <w:rPr>
                <w:rFonts w:eastAsia="Times New Roman" w:cs="Arial"/>
                <w:b/>
                <w:bCs/>
                <w:sz w:val="27"/>
                <w:szCs w:val="27"/>
              </w:rPr>
            </w:pPr>
            <w:r w:rsidRPr="00A9773C">
              <w:rPr>
                <w:rFonts w:eastAsia="Times New Roman" w:cs="Arial"/>
                <w:b/>
                <w:bCs/>
                <w:sz w:val="27"/>
                <w:szCs w:val="27"/>
              </w:rPr>
              <w:t>Highest balance transfer rate</w:t>
            </w:r>
            <w:r w:rsidRPr="00A9773C">
              <w:rPr>
                <w:rFonts w:eastAsia="Times New Roman" w:cs="Arial"/>
                <w:b/>
                <w:bCs/>
                <w:sz w:val="27"/>
                <w:szCs w:val="27"/>
              </w:rPr>
              <w:br/>
            </w:r>
            <w:r w:rsidRPr="00A9773C">
              <w:rPr>
                <w:rFonts w:eastAsia="Times New Roman" w:cs="Arial"/>
                <w:b/>
                <w:bCs/>
                <w:noProof/>
                <w:color w:val="0000FF"/>
                <w:sz w:val="27"/>
                <w:szCs w:val="27"/>
              </w:rPr>
              <w:drawing>
                <wp:inline distT="0" distB="0" distL="0" distR="0">
                  <wp:extent cx="1908175" cy="1322070"/>
                  <wp:effectExtent l="0" t="0" r="0" b="0"/>
                  <wp:docPr id="17" name="Picture 17" descr="CoastlineCreditCar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astlineCreditCar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8175" cy="1322070"/>
                          </a:xfrm>
                          <a:prstGeom prst="rect">
                            <a:avLst/>
                          </a:prstGeom>
                          <a:noFill/>
                          <a:ln>
                            <a:noFill/>
                          </a:ln>
                        </pic:spPr>
                      </pic:pic>
                    </a:graphicData>
                  </a:graphic>
                </wp:inline>
              </w:drawing>
            </w:r>
          </w:p>
          <w:p w:rsidR="00A9773C" w:rsidRPr="00A9773C" w:rsidRDefault="00A9773C" w:rsidP="00A9773C">
            <w:pPr>
              <w:spacing w:after="0" w:line="240" w:lineRule="auto"/>
              <w:rPr>
                <w:rFonts w:eastAsia="Times New Roman" w:cs="Arial"/>
                <w:sz w:val="24"/>
              </w:rPr>
            </w:pPr>
            <w:r w:rsidRPr="00A9773C">
              <w:rPr>
                <w:rFonts w:eastAsia="Times New Roman" w:cs="Arial"/>
                <w:sz w:val="24"/>
              </w:rPr>
              <w:t>Coastline Credit Union Visa Credit Card – 8.04 per cent p.a. for 5 months</w:t>
            </w:r>
          </w:p>
        </w:tc>
      </w:tr>
    </w:tbl>
    <w:p w:rsidR="0067749D" w:rsidRPr="00A9773C" w:rsidRDefault="0067749D" w:rsidP="00A9773C">
      <w:bookmarkStart w:id="0" w:name="_GoBack"/>
      <w:bookmarkEnd w:id="0"/>
    </w:p>
    <w:sectPr w:rsidR="0067749D" w:rsidRPr="00A9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20"/>
    <w:rsid w:val="0067749D"/>
    <w:rsid w:val="00A9773C"/>
    <w:rsid w:val="00AC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84CF6-3DEB-4E50-8E69-C09ADFDB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92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AC792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C7920"/>
    <w:pPr>
      <w:spacing w:before="100" w:beforeAutospacing="1" w:after="100" w:afterAutospacing="1" w:line="240" w:lineRule="auto"/>
      <w:outlineLvl w:val="3"/>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20"/>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C7920"/>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AC7920"/>
    <w:rPr>
      <w:rFonts w:ascii="Times New Roman" w:eastAsia="Times New Roman" w:hAnsi="Times New Roman"/>
      <w:b/>
      <w:bCs/>
      <w:sz w:val="24"/>
    </w:rPr>
  </w:style>
  <w:style w:type="character" w:styleId="Hyperlink">
    <w:name w:val="Hyperlink"/>
    <w:basedOn w:val="DefaultParagraphFont"/>
    <w:uiPriority w:val="99"/>
    <w:semiHidden/>
    <w:unhideWhenUsed/>
    <w:rsid w:val="00AC7920"/>
    <w:rPr>
      <w:color w:val="0000FF"/>
      <w:u w:val="single"/>
    </w:rPr>
  </w:style>
  <w:style w:type="paragraph" w:styleId="NormalWeb">
    <w:name w:val="Normal (Web)"/>
    <w:basedOn w:val="Normal"/>
    <w:uiPriority w:val="99"/>
    <w:semiHidden/>
    <w:unhideWhenUsed/>
    <w:rsid w:val="00AC7920"/>
    <w:pPr>
      <w:spacing w:before="100" w:beforeAutospacing="1" w:after="100" w:afterAutospacing="1" w:line="240" w:lineRule="auto"/>
    </w:pPr>
    <w:rPr>
      <w:rFonts w:ascii="Times New Roman" w:eastAsia="Times New Roman" w:hAnsi="Times New Roman"/>
      <w:sz w:val="24"/>
    </w:rPr>
  </w:style>
  <w:style w:type="character" w:customStyle="1" w:styleId="article-authoritem">
    <w:name w:val="article-author__item"/>
    <w:basedOn w:val="DefaultParagraphFont"/>
    <w:rsid w:val="00AC7920"/>
  </w:style>
  <w:style w:type="character" w:styleId="Strong">
    <w:name w:val="Strong"/>
    <w:basedOn w:val="DefaultParagraphFont"/>
    <w:uiPriority w:val="22"/>
    <w:qFormat/>
    <w:rsid w:val="00AC7920"/>
    <w:rPr>
      <w:b/>
      <w:bCs/>
    </w:rPr>
  </w:style>
  <w:style w:type="character" w:styleId="Emphasis">
    <w:name w:val="Emphasis"/>
    <w:basedOn w:val="DefaultParagraphFont"/>
    <w:uiPriority w:val="20"/>
    <w:qFormat/>
    <w:rsid w:val="00AC7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394">
      <w:bodyDiv w:val="1"/>
      <w:marLeft w:val="0"/>
      <w:marRight w:val="0"/>
      <w:marTop w:val="0"/>
      <w:marBottom w:val="0"/>
      <w:divBdr>
        <w:top w:val="none" w:sz="0" w:space="0" w:color="auto"/>
        <w:left w:val="none" w:sz="0" w:space="0" w:color="auto"/>
        <w:bottom w:val="none" w:sz="0" w:space="0" w:color="auto"/>
        <w:right w:val="none" w:sz="0" w:space="0" w:color="auto"/>
      </w:divBdr>
      <w:divsChild>
        <w:div w:id="902524645">
          <w:marLeft w:val="0"/>
          <w:marRight w:val="0"/>
          <w:marTop w:val="0"/>
          <w:marBottom w:val="0"/>
          <w:divBdr>
            <w:top w:val="none" w:sz="0" w:space="0" w:color="auto"/>
            <w:left w:val="none" w:sz="0" w:space="0" w:color="auto"/>
            <w:bottom w:val="none" w:sz="0" w:space="0" w:color="auto"/>
            <w:right w:val="none" w:sz="0" w:space="0" w:color="auto"/>
          </w:divBdr>
          <w:divsChild>
            <w:div w:id="555240585">
              <w:marLeft w:val="0"/>
              <w:marRight w:val="0"/>
              <w:marTop w:val="0"/>
              <w:marBottom w:val="0"/>
              <w:divBdr>
                <w:top w:val="none" w:sz="0" w:space="0" w:color="auto"/>
                <w:left w:val="none" w:sz="0" w:space="0" w:color="auto"/>
                <w:bottom w:val="none" w:sz="0" w:space="0" w:color="auto"/>
                <w:right w:val="none" w:sz="0" w:space="0" w:color="auto"/>
              </w:divBdr>
            </w:div>
          </w:divsChild>
        </w:div>
        <w:div w:id="505288205">
          <w:marLeft w:val="0"/>
          <w:marRight w:val="0"/>
          <w:marTop w:val="0"/>
          <w:marBottom w:val="0"/>
          <w:divBdr>
            <w:top w:val="none" w:sz="0" w:space="0" w:color="auto"/>
            <w:left w:val="none" w:sz="0" w:space="0" w:color="auto"/>
            <w:bottom w:val="none" w:sz="0" w:space="0" w:color="auto"/>
            <w:right w:val="none" w:sz="0" w:space="0" w:color="auto"/>
          </w:divBdr>
          <w:divsChild>
            <w:div w:id="1990473209">
              <w:marLeft w:val="0"/>
              <w:marRight w:val="0"/>
              <w:marTop w:val="0"/>
              <w:marBottom w:val="0"/>
              <w:divBdr>
                <w:top w:val="none" w:sz="0" w:space="0" w:color="auto"/>
                <w:left w:val="none" w:sz="0" w:space="0" w:color="auto"/>
                <w:bottom w:val="none" w:sz="0" w:space="0" w:color="auto"/>
                <w:right w:val="none" w:sz="0" w:space="0" w:color="auto"/>
              </w:divBdr>
              <w:divsChild>
                <w:div w:id="485559453">
                  <w:marLeft w:val="0"/>
                  <w:marRight w:val="0"/>
                  <w:marTop w:val="0"/>
                  <w:marBottom w:val="0"/>
                  <w:divBdr>
                    <w:top w:val="none" w:sz="0" w:space="0" w:color="auto"/>
                    <w:left w:val="none" w:sz="0" w:space="0" w:color="auto"/>
                    <w:bottom w:val="none" w:sz="0" w:space="0" w:color="auto"/>
                    <w:right w:val="none" w:sz="0" w:space="0" w:color="auto"/>
                  </w:divBdr>
                  <w:divsChild>
                    <w:div w:id="1783261629">
                      <w:marLeft w:val="0"/>
                      <w:marRight w:val="0"/>
                      <w:marTop w:val="0"/>
                      <w:marBottom w:val="0"/>
                      <w:divBdr>
                        <w:top w:val="none" w:sz="0" w:space="0" w:color="auto"/>
                        <w:left w:val="none" w:sz="0" w:space="0" w:color="auto"/>
                        <w:bottom w:val="none" w:sz="0" w:space="0" w:color="auto"/>
                        <w:right w:val="none" w:sz="0" w:space="0" w:color="auto"/>
                      </w:divBdr>
                      <w:divsChild>
                        <w:div w:id="1789928529">
                          <w:marLeft w:val="0"/>
                          <w:marRight w:val="0"/>
                          <w:marTop w:val="0"/>
                          <w:marBottom w:val="0"/>
                          <w:divBdr>
                            <w:top w:val="none" w:sz="0" w:space="0" w:color="auto"/>
                            <w:left w:val="none" w:sz="0" w:space="0" w:color="auto"/>
                            <w:bottom w:val="none" w:sz="0" w:space="0" w:color="auto"/>
                            <w:right w:val="none" w:sz="0" w:space="0" w:color="auto"/>
                          </w:divBdr>
                          <w:divsChild>
                            <w:div w:id="1731223278">
                              <w:marLeft w:val="0"/>
                              <w:marRight w:val="0"/>
                              <w:marTop w:val="0"/>
                              <w:marBottom w:val="0"/>
                              <w:divBdr>
                                <w:top w:val="none" w:sz="0" w:space="0" w:color="auto"/>
                                <w:left w:val="none" w:sz="0" w:space="0" w:color="auto"/>
                                <w:bottom w:val="none" w:sz="0" w:space="0" w:color="auto"/>
                                <w:right w:val="none" w:sz="0" w:space="0" w:color="auto"/>
                              </w:divBdr>
                            </w:div>
                          </w:divsChild>
                        </w:div>
                        <w:div w:id="1168984048">
                          <w:marLeft w:val="0"/>
                          <w:marRight w:val="0"/>
                          <w:marTop w:val="0"/>
                          <w:marBottom w:val="0"/>
                          <w:divBdr>
                            <w:top w:val="none" w:sz="0" w:space="0" w:color="auto"/>
                            <w:left w:val="none" w:sz="0" w:space="0" w:color="auto"/>
                            <w:bottom w:val="none" w:sz="0" w:space="0" w:color="auto"/>
                            <w:right w:val="none" w:sz="0" w:space="0" w:color="auto"/>
                          </w:divBdr>
                          <w:divsChild>
                            <w:div w:id="694305575">
                              <w:marLeft w:val="0"/>
                              <w:marRight w:val="0"/>
                              <w:marTop w:val="0"/>
                              <w:marBottom w:val="0"/>
                              <w:divBdr>
                                <w:top w:val="none" w:sz="0" w:space="0" w:color="auto"/>
                                <w:left w:val="none" w:sz="0" w:space="0" w:color="auto"/>
                                <w:bottom w:val="none" w:sz="0" w:space="0" w:color="auto"/>
                                <w:right w:val="none" w:sz="0" w:space="0" w:color="auto"/>
                              </w:divBdr>
                              <w:divsChild>
                                <w:div w:id="999846088">
                                  <w:marLeft w:val="0"/>
                                  <w:marRight w:val="0"/>
                                  <w:marTop w:val="0"/>
                                  <w:marBottom w:val="0"/>
                                  <w:divBdr>
                                    <w:top w:val="none" w:sz="0" w:space="0" w:color="auto"/>
                                    <w:left w:val="none" w:sz="0" w:space="0" w:color="auto"/>
                                    <w:bottom w:val="none" w:sz="0" w:space="0" w:color="auto"/>
                                    <w:right w:val="none" w:sz="0" w:space="0" w:color="auto"/>
                                  </w:divBdr>
                                </w:div>
                                <w:div w:id="1195001210">
                                  <w:marLeft w:val="0"/>
                                  <w:marRight w:val="0"/>
                                  <w:marTop w:val="0"/>
                                  <w:marBottom w:val="0"/>
                                  <w:divBdr>
                                    <w:top w:val="none" w:sz="0" w:space="0" w:color="auto"/>
                                    <w:left w:val="none" w:sz="0" w:space="0" w:color="auto"/>
                                    <w:bottom w:val="none" w:sz="0" w:space="0" w:color="auto"/>
                                    <w:right w:val="none" w:sz="0" w:space="0" w:color="auto"/>
                                  </w:divBdr>
                                  <w:divsChild>
                                    <w:div w:id="1265069175">
                                      <w:marLeft w:val="0"/>
                                      <w:marRight w:val="0"/>
                                      <w:marTop w:val="0"/>
                                      <w:marBottom w:val="0"/>
                                      <w:divBdr>
                                        <w:top w:val="none" w:sz="0" w:space="0" w:color="auto"/>
                                        <w:left w:val="none" w:sz="0" w:space="0" w:color="auto"/>
                                        <w:bottom w:val="none" w:sz="0" w:space="0" w:color="auto"/>
                                        <w:right w:val="none" w:sz="0" w:space="0" w:color="auto"/>
                                      </w:divBdr>
                                    </w:div>
                                  </w:divsChild>
                                </w:div>
                                <w:div w:id="747919497">
                                  <w:marLeft w:val="0"/>
                                  <w:marRight w:val="0"/>
                                  <w:marTop w:val="0"/>
                                  <w:marBottom w:val="0"/>
                                  <w:divBdr>
                                    <w:top w:val="none" w:sz="0" w:space="0" w:color="auto"/>
                                    <w:left w:val="none" w:sz="0" w:space="0" w:color="auto"/>
                                    <w:bottom w:val="none" w:sz="0" w:space="0" w:color="auto"/>
                                    <w:right w:val="none" w:sz="0" w:space="0" w:color="auto"/>
                                  </w:divBdr>
                                  <w:divsChild>
                                    <w:div w:id="21049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223">
                              <w:marLeft w:val="0"/>
                              <w:marRight w:val="0"/>
                              <w:marTop w:val="0"/>
                              <w:marBottom w:val="0"/>
                              <w:divBdr>
                                <w:top w:val="none" w:sz="0" w:space="0" w:color="auto"/>
                                <w:left w:val="none" w:sz="0" w:space="0" w:color="auto"/>
                                <w:bottom w:val="none" w:sz="0" w:space="0" w:color="auto"/>
                                <w:right w:val="none" w:sz="0" w:space="0" w:color="auto"/>
                              </w:divBdr>
                              <w:divsChild>
                                <w:div w:id="329842728">
                                  <w:marLeft w:val="0"/>
                                  <w:marRight w:val="0"/>
                                  <w:marTop w:val="0"/>
                                  <w:marBottom w:val="0"/>
                                  <w:divBdr>
                                    <w:top w:val="none" w:sz="0" w:space="0" w:color="auto"/>
                                    <w:left w:val="none" w:sz="0" w:space="0" w:color="auto"/>
                                    <w:bottom w:val="none" w:sz="0" w:space="0" w:color="auto"/>
                                    <w:right w:val="none" w:sz="0" w:space="0" w:color="auto"/>
                                  </w:divBdr>
                                  <w:divsChild>
                                    <w:div w:id="15536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4309">
      <w:bodyDiv w:val="1"/>
      <w:marLeft w:val="0"/>
      <w:marRight w:val="0"/>
      <w:marTop w:val="0"/>
      <w:marBottom w:val="0"/>
      <w:divBdr>
        <w:top w:val="none" w:sz="0" w:space="0" w:color="auto"/>
        <w:left w:val="none" w:sz="0" w:space="0" w:color="auto"/>
        <w:bottom w:val="none" w:sz="0" w:space="0" w:color="auto"/>
        <w:right w:val="none" w:sz="0" w:space="0" w:color="auto"/>
      </w:divBdr>
      <w:divsChild>
        <w:div w:id="807942466">
          <w:marLeft w:val="0"/>
          <w:marRight w:val="0"/>
          <w:marTop w:val="0"/>
          <w:marBottom w:val="0"/>
          <w:divBdr>
            <w:top w:val="none" w:sz="0" w:space="0" w:color="auto"/>
            <w:left w:val="none" w:sz="0" w:space="0" w:color="auto"/>
            <w:bottom w:val="none" w:sz="0" w:space="0" w:color="auto"/>
            <w:right w:val="none" w:sz="0" w:space="0" w:color="auto"/>
          </w:divBdr>
          <w:divsChild>
            <w:div w:id="1609004121">
              <w:marLeft w:val="0"/>
              <w:marRight w:val="0"/>
              <w:marTop w:val="0"/>
              <w:marBottom w:val="0"/>
              <w:divBdr>
                <w:top w:val="none" w:sz="0" w:space="0" w:color="auto"/>
                <w:left w:val="none" w:sz="0" w:space="0" w:color="auto"/>
                <w:bottom w:val="none" w:sz="0" w:space="0" w:color="auto"/>
                <w:right w:val="none" w:sz="0" w:space="0" w:color="auto"/>
              </w:divBdr>
            </w:div>
          </w:divsChild>
        </w:div>
        <w:div w:id="1216314906">
          <w:marLeft w:val="0"/>
          <w:marRight w:val="0"/>
          <w:marTop w:val="0"/>
          <w:marBottom w:val="0"/>
          <w:divBdr>
            <w:top w:val="none" w:sz="0" w:space="0" w:color="auto"/>
            <w:left w:val="none" w:sz="0" w:space="0" w:color="auto"/>
            <w:bottom w:val="none" w:sz="0" w:space="0" w:color="auto"/>
            <w:right w:val="none" w:sz="0" w:space="0" w:color="auto"/>
          </w:divBdr>
          <w:divsChild>
            <w:div w:id="2075007673">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472061778">
                      <w:marLeft w:val="0"/>
                      <w:marRight w:val="0"/>
                      <w:marTop w:val="0"/>
                      <w:marBottom w:val="0"/>
                      <w:divBdr>
                        <w:top w:val="none" w:sz="0" w:space="0" w:color="auto"/>
                        <w:left w:val="none" w:sz="0" w:space="0" w:color="auto"/>
                        <w:bottom w:val="none" w:sz="0" w:space="0" w:color="auto"/>
                        <w:right w:val="none" w:sz="0" w:space="0" w:color="auto"/>
                      </w:divBdr>
                      <w:divsChild>
                        <w:div w:id="649947935">
                          <w:marLeft w:val="0"/>
                          <w:marRight w:val="0"/>
                          <w:marTop w:val="0"/>
                          <w:marBottom w:val="0"/>
                          <w:divBdr>
                            <w:top w:val="none" w:sz="0" w:space="0" w:color="auto"/>
                            <w:left w:val="none" w:sz="0" w:space="0" w:color="auto"/>
                            <w:bottom w:val="none" w:sz="0" w:space="0" w:color="auto"/>
                            <w:right w:val="none" w:sz="0" w:space="0" w:color="auto"/>
                          </w:divBdr>
                          <w:divsChild>
                            <w:div w:id="709575098">
                              <w:marLeft w:val="0"/>
                              <w:marRight w:val="0"/>
                              <w:marTop w:val="0"/>
                              <w:marBottom w:val="0"/>
                              <w:divBdr>
                                <w:top w:val="none" w:sz="0" w:space="0" w:color="auto"/>
                                <w:left w:val="none" w:sz="0" w:space="0" w:color="auto"/>
                                <w:bottom w:val="none" w:sz="0" w:space="0" w:color="auto"/>
                                <w:right w:val="none" w:sz="0" w:space="0" w:color="auto"/>
                              </w:divBdr>
                            </w:div>
                          </w:divsChild>
                        </w:div>
                        <w:div w:id="2075738681">
                          <w:marLeft w:val="0"/>
                          <w:marRight w:val="0"/>
                          <w:marTop w:val="0"/>
                          <w:marBottom w:val="0"/>
                          <w:divBdr>
                            <w:top w:val="none" w:sz="0" w:space="0" w:color="auto"/>
                            <w:left w:val="none" w:sz="0" w:space="0" w:color="auto"/>
                            <w:bottom w:val="none" w:sz="0" w:space="0" w:color="auto"/>
                            <w:right w:val="none" w:sz="0" w:space="0" w:color="auto"/>
                          </w:divBdr>
                          <w:divsChild>
                            <w:div w:id="564951302">
                              <w:marLeft w:val="0"/>
                              <w:marRight w:val="0"/>
                              <w:marTop w:val="0"/>
                              <w:marBottom w:val="0"/>
                              <w:divBdr>
                                <w:top w:val="none" w:sz="0" w:space="0" w:color="auto"/>
                                <w:left w:val="none" w:sz="0" w:space="0" w:color="auto"/>
                                <w:bottom w:val="none" w:sz="0" w:space="0" w:color="auto"/>
                                <w:right w:val="none" w:sz="0" w:space="0" w:color="auto"/>
                              </w:divBdr>
                              <w:divsChild>
                                <w:div w:id="2106683137">
                                  <w:marLeft w:val="0"/>
                                  <w:marRight w:val="0"/>
                                  <w:marTop w:val="0"/>
                                  <w:marBottom w:val="0"/>
                                  <w:divBdr>
                                    <w:top w:val="none" w:sz="0" w:space="0" w:color="auto"/>
                                    <w:left w:val="none" w:sz="0" w:space="0" w:color="auto"/>
                                    <w:bottom w:val="none" w:sz="0" w:space="0" w:color="auto"/>
                                    <w:right w:val="none" w:sz="0" w:space="0" w:color="auto"/>
                                  </w:divBdr>
                                  <w:divsChild>
                                    <w:div w:id="28340372">
                                      <w:marLeft w:val="0"/>
                                      <w:marRight w:val="0"/>
                                      <w:marTop w:val="0"/>
                                      <w:marBottom w:val="0"/>
                                      <w:divBdr>
                                        <w:top w:val="none" w:sz="0" w:space="0" w:color="auto"/>
                                        <w:left w:val="none" w:sz="0" w:space="0" w:color="auto"/>
                                        <w:bottom w:val="none" w:sz="0" w:space="0" w:color="auto"/>
                                        <w:right w:val="none" w:sz="0" w:space="0" w:color="auto"/>
                                      </w:divBdr>
                                      <w:divsChild>
                                        <w:div w:id="1259214436">
                                          <w:marLeft w:val="0"/>
                                          <w:marRight w:val="0"/>
                                          <w:marTop w:val="0"/>
                                          <w:marBottom w:val="0"/>
                                          <w:divBdr>
                                            <w:top w:val="none" w:sz="0" w:space="0" w:color="auto"/>
                                            <w:left w:val="none" w:sz="0" w:space="0" w:color="auto"/>
                                            <w:bottom w:val="none" w:sz="0" w:space="0" w:color="auto"/>
                                            <w:right w:val="none" w:sz="0" w:space="0" w:color="auto"/>
                                          </w:divBdr>
                                          <w:divsChild>
                                            <w:div w:id="275253157">
                                              <w:marLeft w:val="0"/>
                                              <w:marRight w:val="0"/>
                                              <w:marTop w:val="0"/>
                                              <w:marBottom w:val="0"/>
                                              <w:divBdr>
                                                <w:top w:val="none" w:sz="0" w:space="0" w:color="auto"/>
                                                <w:left w:val="none" w:sz="0" w:space="0" w:color="auto"/>
                                                <w:bottom w:val="none" w:sz="0" w:space="0" w:color="auto"/>
                                                <w:right w:val="none" w:sz="0" w:space="0" w:color="auto"/>
                                              </w:divBdr>
                                              <w:divsChild>
                                                <w:div w:id="1569726720">
                                                  <w:marLeft w:val="0"/>
                                                  <w:marRight w:val="0"/>
                                                  <w:marTop w:val="0"/>
                                                  <w:marBottom w:val="0"/>
                                                  <w:divBdr>
                                                    <w:top w:val="none" w:sz="0" w:space="0" w:color="auto"/>
                                                    <w:left w:val="none" w:sz="0" w:space="0" w:color="auto"/>
                                                    <w:bottom w:val="none" w:sz="0" w:space="0" w:color="auto"/>
                                                    <w:right w:val="none" w:sz="0" w:space="0" w:color="auto"/>
                                                  </w:divBdr>
                                                  <w:divsChild>
                                                    <w:div w:id="948700169">
                                                      <w:marLeft w:val="0"/>
                                                      <w:marRight w:val="0"/>
                                                      <w:marTop w:val="0"/>
                                                      <w:marBottom w:val="0"/>
                                                      <w:divBdr>
                                                        <w:top w:val="none" w:sz="0" w:space="0" w:color="auto"/>
                                                        <w:left w:val="none" w:sz="0" w:space="0" w:color="auto"/>
                                                        <w:bottom w:val="none" w:sz="0" w:space="0" w:color="auto"/>
                                                        <w:right w:val="none" w:sz="0" w:space="0" w:color="auto"/>
                                                      </w:divBdr>
                                                      <w:divsChild>
                                                        <w:div w:id="1294865938">
                                                          <w:marLeft w:val="0"/>
                                                          <w:marRight w:val="0"/>
                                                          <w:marTop w:val="0"/>
                                                          <w:marBottom w:val="0"/>
                                                          <w:divBdr>
                                                            <w:top w:val="none" w:sz="0" w:space="0" w:color="auto"/>
                                                            <w:left w:val="none" w:sz="0" w:space="0" w:color="auto"/>
                                                            <w:bottom w:val="none" w:sz="0" w:space="0" w:color="auto"/>
                                                            <w:right w:val="none" w:sz="0" w:space="0" w:color="auto"/>
                                                          </w:divBdr>
                                                          <w:divsChild>
                                                            <w:div w:id="1015496043">
                                                              <w:marLeft w:val="0"/>
                                                              <w:marRight w:val="0"/>
                                                              <w:marTop w:val="0"/>
                                                              <w:marBottom w:val="0"/>
                                                              <w:divBdr>
                                                                <w:top w:val="none" w:sz="0" w:space="0" w:color="auto"/>
                                                                <w:left w:val="none" w:sz="0" w:space="0" w:color="auto"/>
                                                                <w:bottom w:val="none" w:sz="0" w:space="0" w:color="auto"/>
                                                                <w:right w:val="none" w:sz="0" w:space="0" w:color="auto"/>
                                                              </w:divBdr>
                                                              <w:divsChild>
                                                                <w:div w:id="299068659">
                                                                  <w:marLeft w:val="0"/>
                                                                  <w:marRight w:val="0"/>
                                                                  <w:marTop w:val="0"/>
                                                                  <w:marBottom w:val="0"/>
                                                                  <w:divBdr>
                                                                    <w:top w:val="none" w:sz="0" w:space="0" w:color="auto"/>
                                                                    <w:left w:val="none" w:sz="0" w:space="0" w:color="auto"/>
                                                                    <w:bottom w:val="none" w:sz="0" w:space="0" w:color="auto"/>
                                                                    <w:right w:val="none" w:sz="0" w:space="0" w:color="auto"/>
                                                                  </w:divBdr>
                                                                  <w:divsChild>
                                                                    <w:div w:id="527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ewdaily.com.au/money/2015/02/05/low-interest-rates-one-losers/" TargetMode="External"/><Relationship Id="rId13" Type="http://schemas.openxmlformats.org/officeDocument/2006/relationships/hyperlink" Target="http://thenewdaily.com.au/wp-content/uploads/2015/02/Citibank-Emirates1.jpg" TargetMode="External"/><Relationship Id="rId18" Type="http://schemas.openxmlformats.org/officeDocument/2006/relationships/image" Target="media/image5.jpeg"/><Relationship Id="rId26" Type="http://schemas.openxmlformats.org/officeDocument/2006/relationships/hyperlink" Target="http://thenewdaily.com.au/wp-content/uploads/2015/02/CoastlineCreditCard1.jpg?resize=200%2C139"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thenewdaily.com.au/money/2015/02/10/find-better-savings-account/" TargetMode="External"/><Relationship Id="rId12" Type="http://schemas.openxmlformats.org/officeDocument/2006/relationships/image" Target="media/image2.png"/><Relationship Id="rId17" Type="http://schemas.openxmlformats.org/officeDocument/2006/relationships/hyperlink" Target="http://thenewdaily.com.au/wp-content/uploads/2014/12/5953160-541254-16x9.jpg"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thenewdaily.com.au/wp-content/uploads/2015/02/Lombard2.jpg?resize=200%2C12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newdaily.com.au/money/2015/02/09/banks-refuse-cut-credit-card-rates/" TargetMode="External"/><Relationship Id="rId11" Type="http://schemas.openxmlformats.org/officeDocument/2006/relationships/hyperlink" Target="http://thenewdaily.com.au/wp-content/uploads/2015/02/Citibank-Qantas.png" TargetMode="External"/><Relationship Id="rId24" Type="http://schemas.openxmlformats.org/officeDocument/2006/relationships/hyperlink" Target="http://thenewdaily.com.au/wp-content/uploads/2015/02/Unknown1.jpeg?resize=200%2C127" TargetMode="External"/><Relationship Id="rId5" Type="http://schemas.openxmlformats.org/officeDocument/2006/relationships/hyperlink" Target="http://thenewdaily.com.au/money/your-budget/2015/02/11/australias-worst-credit-cards/" TargetMode="External"/><Relationship Id="rId15" Type="http://schemas.openxmlformats.org/officeDocument/2006/relationships/hyperlink" Target="http://thenewdaily.com.au/wp-content/uploads/2015/02/GEMcard1.jpg"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reditcardfinder.com.au/" TargetMode="External"/><Relationship Id="rId4" Type="http://schemas.openxmlformats.org/officeDocument/2006/relationships/hyperlink" Target="file:///F:\Documents\My%20Web%20Sites\Muggaccinos\CreditCards\DefinedTerms\Defined_Terms_&amp;_Documents.htm" TargetMode="External"/><Relationship Id="rId9" Type="http://schemas.openxmlformats.org/officeDocument/2006/relationships/hyperlink" Target="http://thenewdaily.com.au/wp-content/uploads/2015/02/card-gemoney-copy.png" TargetMode="External"/><Relationship Id="rId14" Type="http://schemas.openxmlformats.org/officeDocument/2006/relationships/image" Target="media/image3.jpeg"/><Relationship Id="rId22" Type="http://schemas.openxmlformats.org/officeDocument/2006/relationships/hyperlink" Target="http://thenewdaily.com.au/wp-content/uploads/2015/02/GEgo.png?resize=200%2C126" TargetMode="External"/><Relationship Id="rId2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2022-09-23T01:27:00Z</dcterms:created>
  <dcterms:modified xsi:type="dcterms:W3CDTF">2022-09-23T02:06:00Z</dcterms:modified>
</cp:coreProperties>
</file>